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部门项目申报表(含绩效目标)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申报日期：</w:t>
      </w:r>
      <w:r>
        <w:rPr>
          <w:rFonts w:hint="eastAsia" w:ascii="宋体" w:hAnsi="宋体" w:cs="宋体"/>
          <w:szCs w:val="21"/>
          <w:lang w:val="en-US" w:eastAsia="zh-CN"/>
        </w:rPr>
        <w:t>2023年9月18日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</w:rPr>
        <w:t xml:space="preserve">                                           单位：万元</w:t>
      </w:r>
    </w:p>
    <w:tbl>
      <w:tblPr>
        <w:tblStyle w:val="3"/>
        <w:tblW w:w="8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5"/>
        <w:gridCol w:w="1001"/>
        <w:gridCol w:w="151"/>
        <w:gridCol w:w="996"/>
        <w:gridCol w:w="120"/>
        <w:gridCol w:w="832"/>
        <w:gridCol w:w="440"/>
        <w:gridCol w:w="1188"/>
        <w:gridCol w:w="312"/>
        <w:gridCol w:w="768"/>
        <w:gridCol w:w="730"/>
        <w:gridCol w:w="338"/>
        <w:gridCol w:w="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人大代表培训费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42011223005T000000102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区人大常委会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代工委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项目执行单位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代表人事任免科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汪欣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83252536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东西湖区吴家山东吴大道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791号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常年性项目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2023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根据《代表法》，对代表进行全覆盖培训，提高代表履职能力和水平，确保人大代表能够正确、合法的履职尽责。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举办人大代表专题培训班，覆盖新当选的东西湖区第十一届人大代表，提升代表履职尽责能力。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20" w:firstLineChars="2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630" w:firstLineChars="300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调剂减少35万元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1.2021年为59.5万元；2.2022年预算为80万元；3.当年预算变动情况：年初预算70万元，我单位人大代表培训经费原计划开展三期，根据区委最新要求，仅开展一期培训，故该项目经费预算有剩余指标且2023年度无法执行。同时开展专题调研、座谈会议及视察检查等活动，相应支出增加，导致专工委工作经费不足；另应区委区政府关于加强国有资产管理维护等工作要求，今年拟在机关增设车棚等设施，用于强化国有资产管理，故小型设施修缮及网络运行维护经费不足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综上将人大代表培训经费调剂使用，调减35万元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1024"/>
                <w:tab w:val="right" w:pos="2379"/>
              </w:tabs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-35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商品和服务支出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举办代表培训班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培训费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-35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按照“厉行节约”原则，根据《武汉市市级党政机关培训费管理办法》（武财行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{2017}434号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）文件标准进行测算。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科学安排代表履职培训工作，创新培训方式方法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科学安排代表履职培训工作，创新培训方式方法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人均培训成本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不超标准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举办培训班次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≥3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培训合格率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培训参与率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效益指标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提升人大代表的履职能力和水平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有所提升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受训学员满意度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人均培训成本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不超标准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不超标准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不超标准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举办培训班次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≥3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=1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培训合格率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培训参与率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效益指标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提升人大代表的履职能力和水平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有所提升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有所提升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有所提升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受训学员满意度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申报日期：</w:t>
      </w:r>
      <w:r>
        <w:rPr>
          <w:rFonts w:hint="eastAsia" w:ascii="宋体" w:hAnsi="宋体" w:cs="宋体"/>
          <w:szCs w:val="21"/>
          <w:lang w:val="en-US" w:eastAsia="zh-CN"/>
        </w:rPr>
        <w:t>2023年9月18日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</w:rPr>
        <w:t xml:space="preserve">                                          单位：万元</w:t>
      </w:r>
    </w:p>
    <w:tbl>
      <w:tblPr>
        <w:tblStyle w:val="3"/>
        <w:tblW w:w="8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12"/>
        <w:gridCol w:w="640"/>
        <w:gridCol w:w="632"/>
        <w:gridCol w:w="972"/>
        <w:gridCol w:w="408"/>
        <w:gridCol w:w="564"/>
        <w:gridCol w:w="862"/>
        <w:gridCol w:w="230"/>
        <w:gridCol w:w="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专工委工作经费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42011223005Y000000102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区人大常委会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lang w:eastAsia="zh-CN"/>
              </w:rPr>
              <w:t>机关各委办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各委办负责人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83252576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东西湖区吴家山东吴大道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791号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常年性项目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2023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保障机关各委办日常性工作的正常运行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机关各委办开展本委办日常性工作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及学习考察调研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产生的经费支出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20" w:firstLineChars="2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48万元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20" w:firstLineChars="200"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调剂增加20万元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1.2021年预算数40万元；2.2022年预算数40万元；3.当年预算变动情况：2023年年初预算数48万元，按照中央关于年度主题教育有关要求，区人大常委会各专工委积极响应大兴调查研究之风有关文件精神，开展专题调研、座谈会议及视察检查等活动，相应支出增加，导致专工委工作经费不足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故将人大代表培训费剩余指标调整20万至专工委工作经费。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1024"/>
                <w:tab w:val="right" w:pos="2379"/>
              </w:tabs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商品和服务支出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日常运行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办公经费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往年机关各委办经费支出实际使用情况、历史标准以及各委办计划需求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</w:rPr>
              <w:t>保障办公室及各委办工作以及老干、党建工作的正常运行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</w:rPr>
              <w:t>保障办公室及各委办工作以及老干、党建工作的正常运行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2244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成本控制有效性</w:t>
            </w:r>
          </w:p>
        </w:tc>
        <w:tc>
          <w:tcPr>
            <w:tcW w:w="9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不超预算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244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会议或者调研增加次数</w:t>
            </w:r>
          </w:p>
        </w:tc>
        <w:tc>
          <w:tcPr>
            <w:tcW w:w="9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244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各委办工作正常开展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完成率</w:t>
            </w:r>
          </w:p>
        </w:tc>
        <w:tc>
          <w:tcPr>
            <w:tcW w:w="9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对全区各项工作的推进程度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有所提升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使用对象满意度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≥95%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2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03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2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7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成本控制有效性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不超预算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会议或者调研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增加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次数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各委办工作正常开展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完成率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对全区各项工作的推进程度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有所提升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使用对象满意度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≥95%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</w:tbl>
    <w:p>
      <w:pPr>
        <w:pStyle w:val="2"/>
      </w:pP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申报日期：</w:t>
      </w:r>
      <w:r>
        <w:rPr>
          <w:rFonts w:hint="eastAsia" w:ascii="宋体" w:hAnsi="宋体" w:cs="宋体"/>
          <w:szCs w:val="21"/>
          <w:lang w:val="en-US" w:eastAsia="zh-CN"/>
        </w:rPr>
        <w:t>2023年9月18日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</w:rPr>
        <w:t xml:space="preserve">                                           单位：万元</w:t>
      </w:r>
    </w:p>
    <w:tbl>
      <w:tblPr>
        <w:tblStyle w:val="3"/>
        <w:tblW w:w="8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452"/>
        <w:gridCol w:w="1116"/>
        <w:gridCol w:w="420"/>
        <w:gridCol w:w="672"/>
        <w:gridCol w:w="778"/>
        <w:gridCol w:w="350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小型设施修缮及网络运行维护经费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42011223005Y000000101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区人大常委会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区人大常委会</w:t>
            </w:r>
            <w:r>
              <w:rPr>
                <w:rFonts w:hint="eastAsia" w:ascii="宋体" w:hAnsi="宋体" w:cs="Times New Roman"/>
                <w:kern w:val="0"/>
                <w:lang w:eastAsia="zh-CN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桂彬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83232536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东西湖区吴家山东吴大道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791号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常年性项目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2023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机关大楼设备、设施老化更替、日常保养，维持机关日常运转需要。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办公设备维修及更换、水电及消防设施采购、电器设备保养、机关大楼零星修缮、光纤网络及电信服务费。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20" w:firstLineChars="2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630" w:firstLineChars="300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调剂增加15万元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021年预算30万元；2.2022年预算20万元；3.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当年预算变动情况：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2023年预算30万元，应区委区政府关于加强国有资产管理维护等工作要求，今年拟在机关增设车棚等设施，用于强化国有资产管理，故小型设施修缮及网络运行维护经费不足，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故将人大代表培训费剩余指标调整15万至小型设施修缮及网络运行维护经费。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0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1024"/>
                <w:tab w:val="right" w:pos="2379"/>
              </w:tabs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商品和服务支出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办公大楼修缮维护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维护费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车棚建设及大楼院内修缮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保障办公室及各委办工作以及老干、党建工作的正常运行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保障办公室及各委办工作以及老干、党建工作的正常运行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成本控制有效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不超预算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设备设施维护验收合格率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设施正常运转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设施设备等维修质保时间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使用人员满意度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8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8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成本控制有效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不超预算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设备设施维护验收合格率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设施正常运转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设施设备等维修质保时间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使用人员满意度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Q1NmMyMDZlNGI1ZDIyNDhjMmVhNTg0ZjhiMTMifQ=="/>
  </w:docVars>
  <w:rsids>
    <w:rsidRoot w:val="605D0BE0"/>
    <w:rsid w:val="605D0BE0"/>
    <w:rsid w:val="650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2023-10-07T01:23:00Z</dcterms:created>
  <dc:creator>YXY</dc:creator>
  <cp:lastModifiedBy>YXY</cp:lastModifiedBy>
  <dcterms:modified xsi:type="dcterms:W3CDTF">2023-10-07T02:36:41Z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61A9AA09A82944B8A09ACF80E40F174A_11</vt:lpwstr>
  </property>
</Properties>
</file>