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728" w:type="dxa"/>
        <w:tblInd w:w="289" w:type="dxa"/>
        <w:tblLayout w:type="fixed"/>
        <w:tblCellMar>
          <w:top w:w="0" w:type="dxa"/>
          <w:left w:w="0" w:type="dxa"/>
          <w:bottom w:w="0" w:type="dxa"/>
          <w:right w:w="0" w:type="dxa"/>
        </w:tblCellMar>
      </w:tblPr>
      <w:tblGrid>
        <w:gridCol w:w="8728"/>
      </w:tblGrid>
      <w:tr>
        <w:tblPrEx>
          <w:tblCellMar>
            <w:top w:w="0" w:type="dxa"/>
            <w:left w:w="0" w:type="dxa"/>
            <w:bottom w:w="0" w:type="dxa"/>
            <w:right w:w="0" w:type="dxa"/>
          </w:tblCellMar>
        </w:tblPrEx>
        <w:trPr>
          <w:trHeight w:val="450" w:hRule="atLeast"/>
        </w:trPr>
        <w:tc>
          <w:tcPr>
            <w:tcW w:w="8728" w:type="dxa"/>
            <w:tcBorders>
              <w:top w:val="nil"/>
              <w:left w:val="nil"/>
              <w:bottom w:val="nil"/>
              <w:right w:val="nil"/>
            </w:tcBorders>
            <w:noWrap w:val="0"/>
            <w:vAlign w:val="center"/>
          </w:tcPr>
          <w:p>
            <w:pPr>
              <w:pStyle w:val="12"/>
              <w:wordWrap w:val="0"/>
              <w:spacing w:line="295" w:lineRule="exact"/>
              <w:ind w:right="104"/>
              <w:jc w:val="right"/>
              <w:rPr>
                <w:rFonts w:hint="eastAsia" w:ascii="宋体" w:hAnsi="宋体" w:eastAsia="宋体" w:cs="宋体"/>
                <w:b/>
                <w:sz w:val="28"/>
                <w:szCs w:val="28"/>
                <w:lang w:val="en-US"/>
              </w:rPr>
            </w:pPr>
          </w:p>
        </w:tc>
      </w:tr>
      <w:tr>
        <w:tblPrEx>
          <w:tblCellMar>
            <w:top w:w="0" w:type="dxa"/>
            <w:left w:w="0" w:type="dxa"/>
            <w:bottom w:w="0" w:type="dxa"/>
            <w:right w:w="0" w:type="dxa"/>
          </w:tblCellMar>
        </w:tblPrEx>
        <w:trPr>
          <w:trHeight w:val="894" w:hRule="atLeast"/>
        </w:trPr>
        <w:tc>
          <w:tcPr>
            <w:tcW w:w="8728" w:type="dxa"/>
            <w:tcBorders>
              <w:top w:val="nil"/>
              <w:left w:val="nil"/>
              <w:bottom w:val="nil"/>
              <w:right w:val="nil"/>
            </w:tcBorders>
            <w:noWrap w:val="0"/>
            <w:vAlign w:val="center"/>
          </w:tcPr>
          <w:p>
            <w:pPr>
              <w:bidi w:val="0"/>
              <w:jc w:val="right"/>
              <w:rPr>
                <w:rFonts w:hint="eastAsia" w:ascii="宋体" w:hAnsi="宋体" w:eastAsia="宋体" w:cs="宋体"/>
                <w:b/>
                <w:bCs/>
                <w:w w:val="85"/>
                <w:sz w:val="36"/>
                <w:szCs w:val="36"/>
                <w:lang w:val="en-US"/>
              </w:rPr>
            </w:pPr>
            <w:r>
              <w:rPr>
                <w:rFonts w:hint="eastAsia" w:ascii="宋体" w:hAnsi="宋体" w:eastAsia="宋体" w:cs="宋体"/>
                <w:b/>
                <w:bCs/>
                <w:w w:val="85"/>
                <w:sz w:val="36"/>
                <w:szCs w:val="36"/>
                <w:lang w:val="en-US"/>
              </w:rPr>
              <w:t>2024</w:t>
            </w:r>
            <w:r>
              <w:rPr>
                <w:rFonts w:hint="eastAsia" w:cs="宋体"/>
                <w:b/>
                <w:bCs/>
                <w:w w:val="85"/>
                <w:sz w:val="36"/>
                <w:szCs w:val="36"/>
                <w:lang w:val="en-US" w:eastAsia="zh-CN"/>
              </w:rPr>
              <w:t>年</w:t>
            </w:r>
            <w:r>
              <w:rPr>
                <w:rFonts w:hint="eastAsia" w:ascii="宋体" w:hAnsi="宋体" w:eastAsia="宋体" w:cs="宋体"/>
                <w:b/>
                <w:bCs/>
                <w:w w:val="85"/>
                <w:sz w:val="36"/>
                <w:szCs w:val="36"/>
                <w:lang w:val="en-US"/>
              </w:rPr>
              <w:t>视觉包装创意服务项目</w:t>
            </w:r>
          </w:p>
        </w:tc>
      </w:tr>
      <w:tr>
        <w:tblPrEx>
          <w:tblCellMar>
            <w:top w:w="0" w:type="dxa"/>
            <w:left w:w="0" w:type="dxa"/>
            <w:bottom w:w="0" w:type="dxa"/>
            <w:right w:w="0" w:type="dxa"/>
          </w:tblCellMar>
        </w:tblPrEx>
        <w:trPr>
          <w:trHeight w:val="589" w:hRule="atLeast"/>
        </w:trPr>
        <w:tc>
          <w:tcPr>
            <w:tcW w:w="8728" w:type="dxa"/>
            <w:tcBorders>
              <w:top w:val="nil"/>
              <w:left w:val="nil"/>
              <w:bottom w:val="nil"/>
              <w:right w:val="nil"/>
            </w:tcBorders>
            <w:noWrap w:val="0"/>
            <w:vAlign w:val="center"/>
          </w:tcPr>
          <w:p>
            <w:pPr>
              <w:bidi w:val="0"/>
              <w:jc w:val="right"/>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  </w:t>
            </w:r>
            <w:r>
              <w:rPr>
                <w:rStyle w:val="13"/>
                <w:rFonts w:hint="eastAsia" w:ascii="宋体" w:hAnsi="宋体" w:eastAsia="宋体" w:cs="宋体"/>
                <w:b/>
                <w:bCs/>
                <w:sz w:val="36"/>
                <w:szCs w:val="36"/>
              </w:rPr>
              <w:t>武汉市</w:t>
            </w:r>
            <w:r>
              <w:rPr>
                <w:rStyle w:val="13"/>
                <w:rFonts w:hint="eastAsia" w:ascii="宋体" w:hAnsi="宋体" w:eastAsia="宋体" w:cs="宋体"/>
                <w:b/>
                <w:bCs/>
                <w:sz w:val="36"/>
                <w:szCs w:val="36"/>
                <w:lang w:val="en-US" w:eastAsia="zh-CN"/>
              </w:rPr>
              <w:t>东西湖区</w:t>
            </w:r>
            <w:r>
              <w:rPr>
                <w:rStyle w:val="13"/>
                <w:rFonts w:hint="eastAsia" w:ascii="宋体" w:hAnsi="宋体" w:eastAsia="宋体" w:cs="宋体"/>
                <w:b/>
                <w:bCs/>
                <w:sz w:val="36"/>
                <w:szCs w:val="36"/>
              </w:rPr>
              <w:t>政府采购项目</w:t>
            </w:r>
          </w:p>
        </w:tc>
      </w:tr>
      <w:tr>
        <w:tblPrEx>
          <w:tblCellMar>
            <w:top w:w="0" w:type="dxa"/>
            <w:left w:w="0" w:type="dxa"/>
            <w:bottom w:w="0" w:type="dxa"/>
            <w:right w:w="0" w:type="dxa"/>
          </w:tblCellMar>
        </w:tblPrEx>
        <w:trPr>
          <w:trHeight w:val="589" w:hRule="atLeast"/>
        </w:trPr>
        <w:tc>
          <w:tcPr>
            <w:tcW w:w="8728" w:type="dxa"/>
            <w:tcBorders>
              <w:top w:val="nil"/>
              <w:left w:val="nil"/>
              <w:bottom w:val="nil"/>
              <w:right w:val="nil"/>
            </w:tcBorders>
            <w:noWrap w:val="0"/>
            <w:vAlign w:val="center"/>
          </w:tcPr>
          <w:p>
            <w:pPr>
              <w:jc w:val="right"/>
              <w:rPr>
                <w:rStyle w:val="13"/>
                <w:rFonts w:hint="eastAsia" w:ascii="宋体" w:hAnsi="宋体" w:eastAsia="宋体" w:cs="宋体"/>
                <w:b/>
                <w:bCs/>
                <w:sz w:val="36"/>
                <w:szCs w:val="36"/>
              </w:rPr>
            </w:pPr>
            <w:r>
              <w:rPr>
                <w:rFonts w:hint="eastAsia" w:ascii="宋体" w:hAnsi="宋体"/>
                <w:b/>
                <w:sz w:val="32"/>
              </w:rPr>
              <w:t>计划函号：420112-2024-01199</w:t>
            </w:r>
          </w:p>
        </w:tc>
      </w:tr>
      <w:tr>
        <w:tblPrEx>
          <w:tblCellMar>
            <w:top w:w="0" w:type="dxa"/>
            <w:left w:w="0" w:type="dxa"/>
            <w:bottom w:w="0" w:type="dxa"/>
            <w:right w:w="0" w:type="dxa"/>
          </w:tblCellMar>
        </w:tblPrEx>
        <w:trPr>
          <w:trHeight w:val="3596" w:hRule="atLeast"/>
        </w:trPr>
        <w:tc>
          <w:tcPr>
            <w:tcW w:w="8728" w:type="dxa"/>
            <w:tcBorders>
              <w:top w:val="nil"/>
              <w:left w:val="nil"/>
              <w:right w:val="nil"/>
            </w:tcBorders>
            <w:noWrap w:val="0"/>
            <w:vAlign w:val="top"/>
          </w:tcPr>
          <w:p>
            <w:pPr>
              <w:pStyle w:val="12"/>
              <w:spacing w:before="554"/>
              <w:ind w:left="1361" w:right="1361"/>
              <w:jc w:val="center"/>
              <w:rPr>
                <w:rFonts w:hint="eastAsia" w:ascii="宋体" w:hAnsi="宋体" w:eastAsia="宋体" w:cs="宋体"/>
                <w:b/>
                <w:sz w:val="72"/>
                <w:szCs w:val="72"/>
              </w:rPr>
            </w:pPr>
          </w:p>
          <w:p>
            <w:pPr>
              <w:pStyle w:val="12"/>
              <w:spacing w:before="554"/>
              <w:ind w:left="1361" w:right="1361"/>
              <w:jc w:val="center"/>
              <w:rPr>
                <w:rFonts w:hint="eastAsia" w:ascii="宋体" w:hAnsi="宋体" w:eastAsia="宋体" w:cs="宋体"/>
                <w:b/>
                <w:sz w:val="96"/>
              </w:rPr>
            </w:pPr>
            <w:r>
              <w:rPr>
                <w:rFonts w:hint="eastAsia" w:ascii="宋体" w:hAnsi="宋体" w:eastAsia="宋体" w:cs="宋体"/>
                <w:b/>
                <w:sz w:val="96"/>
              </w:rPr>
              <w:t>需求公示材料</w:t>
            </w:r>
          </w:p>
        </w:tc>
      </w:tr>
      <w:tr>
        <w:tblPrEx>
          <w:tblCellMar>
            <w:top w:w="0" w:type="dxa"/>
            <w:left w:w="0" w:type="dxa"/>
            <w:bottom w:w="0" w:type="dxa"/>
            <w:right w:w="0" w:type="dxa"/>
          </w:tblCellMar>
        </w:tblPrEx>
        <w:trPr>
          <w:trHeight w:val="5265" w:hRule="atLeast"/>
        </w:trPr>
        <w:tc>
          <w:tcPr>
            <w:tcW w:w="8728" w:type="dxa"/>
            <w:noWrap w:val="0"/>
            <w:vAlign w:val="top"/>
          </w:tcPr>
          <w:p>
            <w:pPr>
              <w:pStyle w:val="12"/>
              <w:spacing w:line="560" w:lineRule="exact"/>
              <w:rPr>
                <w:rFonts w:hint="eastAsia" w:ascii="宋体" w:hAnsi="宋体" w:eastAsia="宋体" w:cs="宋体"/>
                <w:sz w:val="36"/>
                <w:szCs w:val="36"/>
              </w:rPr>
            </w:pPr>
          </w:p>
          <w:p>
            <w:pPr>
              <w:pStyle w:val="12"/>
              <w:tabs>
                <w:tab w:val="left" w:pos="2080"/>
              </w:tabs>
              <w:spacing w:line="560" w:lineRule="exact"/>
              <w:rPr>
                <w:rFonts w:hint="eastAsia" w:ascii="宋体" w:hAnsi="宋体" w:eastAsia="宋体" w:cs="宋体"/>
                <w:sz w:val="36"/>
                <w:szCs w:val="36"/>
                <w:lang w:eastAsia="zh-CN"/>
              </w:rPr>
            </w:pPr>
            <w:r>
              <w:rPr>
                <w:rFonts w:hint="eastAsia" w:ascii="宋体" w:hAnsi="宋体" w:eastAsia="宋体" w:cs="宋体"/>
                <w:sz w:val="36"/>
                <w:szCs w:val="36"/>
                <w:lang w:eastAsia="zh-CN"/>
              </w:rPr>
              <w:tab/>
            </w:r>
          </w:p>
          <w:p>
            <w:pPr>
              <w:pStyle w:val="12"/>
              <w:spacing w:line="560" w:lineRule="exact"/>
              <w:rPr>
                <w:rFonts w:hint="eastAsia" w:ascii="宋体" w:hAnsi="宋体" w:eastAsia="宋体" w:cs="宋体"/>
                <w:sz w:val="36"/>
                <w:szCs w:val="36"/>
              </w:rPr>
            </w:pPr>
          </w:p>
          <w:p>
            <w:pPr>
              <w:pStyle w:val="12"/>
              <w:spacing w:line="560" w:lineRule="exact"/>
              <w:rPr>
                <w:rFonts w:hint="eastAsia" w:ascii="宋体" w:hAnsi="宋体" w:eastAsia="宋体" w:cs="宋体"/>
                <w:sz w:val="36"/>
                <w:szCs w:val="36"/>
              </w:rPr>
            </w:pPr>
          </w:p>
          <w:p>
            <w:pPr>
              <w:pStyle w:val="12"/>
              <w:spacing w:line="560" w:lineRule="exact"/>
              <w:rPr>
                <w:rFonts w:hint="eastAsia" w:ascii="宋体" w:hAnsi="宋体" w:eastAsia="宋体" w:cs="宋体"/>
                <w:sz w:val="36"/>
                <w:szCs w:val="36"/>
              </w:rPr>
            </w:pPr>
          </w:p>
          <w:p>
            <w:pPr>
              <w:pStyle w:val="12"/>
              <w:spacing w:line="560" w:lineRule="exact"/>
              <w:rPr>
                <w:rFonts w:hint="eastAsia" w:ascii="宋体" w:hAnsi="宋体" w:eastAsia="宋体" w:cs="宋体"/>
                <w:sz w:val="36"/>
                <w:szCs w:val="36"/>
              </w:rPr>
            </w:pPr>
          </w:p>
          <w:p>
            <w:pPr>
              <w:pStyle w:val="12"/>
              <w:spacing w:line="560" w:lineRule="exact"/>
              <w:rPr>
                <w:rFonts w:hint="eastAsia" w:ascii="宋体" w:hAnsi="宋体" w:eastAsia="宋体" w:cs="宋体"/>
                <w:sz w:val="36"/>
                <w:szCs w:val="36"/>
              </w:rPr>
            </w:pPr>
          </w:p>
          <w:p>
            <w:pPr>
              <w:pStyle w:val="12"/>
              <w:spacing w:line="560" w:lineRule="exact"/>
              <w:rPr>
                <w:rFonts w:hint="eastAsia" w:ascii="宋体" w:hAnsi="宋体" w:eastAsia="宋体" w:cs="宋体"/>
                <w:sz w:val="36"/>
                <w:szCs w:val="36"/>
              </w:rPr>
            </w:pPr>
          </w:p>
          <w:p>
            <w:pPr>
              <w:pStyle w:val="12"/>
              <w:spacing w:line="560" w:lineRule="exact"/>
              <w:ind w:left="108"/>
              <w:rPr>
                <w:rFonts w:hint="eastAsia" w:ascii="宋体" w:hAnsi="宋体" w:eastAsia="宋体" w:cs="宋体"/>
                <w:b/>
                <w:sz w:val="36"/>
                <w:szCs w:val="36"/>
              </w:rPr>
            </w:pPr>
            <w:r>
              <w:rPr>
                <w:rFonts w:hint="eastAsia" w:ascii="宋体" w:hAnsi="宋体" w:eastAsia="宋体" w:cs="宋体"/>
                <w:b/>
                <w:sz w:val="36"/>
                <w:szCs w:val="36"/>
              </w:rPr>
              <w:t>招</w:t>
            </w:r>
            <w:r>
              <w:rPr>
                <w:rFonts w:hint="eastAsia" w:ascii="宋体" w:hAnsi="宋体" w:eastAsia="宋体" w:cs="宋体"/>
                <w:b/>
                <w:sz w:val="36"/>
                <w:szCs w:val="36"/>
                <w:lang w:val="en-US"/>
              </w:rPr>
              <w:t xml:space="preserve"> </w:t>
            </w:r>
            <w:r>
              <w:rPr>
                <w:rFonts w:hint="eastAsia" w:ascii="宋体" w:hAnsi="宋体" w:eastAsia="宋体" w:cs="宋体"/>
                <w:b/>
                <w:sz w:val="36"/>
                <w:szCs w:val="36"/>
              </w:rPr>
              <w:t>标</w:t>
            </w:r>
            <w:r>
              <w:rPr>
                <w:rFonts w:hint="eastAsia" w:ascii="宋体" w:hAnsi="宋体" w:eastAsia="宋体" w:cs="宋体"/>
                <w:b/>
                <w:sz w:val="36"/>
                <w:szCs w:val="36"/>
                <w:lang w:val="en-US"/>
              </w:rPr>
              <w:t xml:space="preserve"> </w:t>
            </w:r>
            <w:r>
              <w:rPr>
                <w:rFonts w:hint="eastAsia" w:ascii="宋体" w:hAnsi="宋体" w:eastAsia="宋体" w:cs="宋体"/>
                <w:b/>
                <w:sz w:val="36"/>
                <w:szCs w:val="36"/>
              </w:rPr>
              <w:t>人：</w:t>
            </w:r>
            <w:r>
              <w:rPr>
                <w:rFonts w:hint="eastAsia" w:ascii="宋体" w:hAnsi="宋体" w:eastAsia="宋体" w:cs="宋体"/>
                <w:b/>
                <w:sz w:val="36"/>
                <w:szCs w:val="36"/>
                <w:lang w:val="en-US" w:eastAsia="zh-CN"/>
              </w:rPr>
              <w:fldChar w:fldCharType="begin"/>
            </w:r>
            <w:r>
              <w:rPr>
                <w:rFonts w:hint="eastAsia" w:ascii="宋体" w:hAnsi="宋体" w:eastAsia="宋体" w:cs="宋体"/>
                <w:b/>
                <w:sz w:val="36"/>
                <w:szCs w:val="36"/>
                <w:lang w:val="en-US" w:eastAsia="zh-CN"/>
              </w:rPr>
              <w:instrText xml:space="preserve"> HYPERLINK "https://shuidi.cn/company-3dce6f5ec2fcda757b76e58950551101.html?from_search=1&amp;showIntro1=1&amp;tag=doc" \t "https://shuidi.cn/_blank" </w:instrText>
            </w:r>
            <w:r>
              <w:rPr>
                <w:rFonts w:hint="eastAsia" w:ascii="宋体" w:hAnsi="宋体" w:eastAsia="宋体" w:cs="宋体"/>
                <w:b/>
                <w:sz w:val="36"/>
                <w:szCs w:val="36"/>
                <w:lang w:val="en-US" w:eastAsia="zh-CN"/>
              </w:rPr>
              <w:fldChar w:fldCharType="separate"/>
            </w:r>
            <w:r>
              <w:rPr>
                <w:rFonts w:hint="eastAsia" w:ascii="宋体" w:hAnsi="宋体" w:eastAsia="宋体" w:cs="宋体"/>
                <w:b/>
                <w:sz w:val="36"/>
                <w:szCs w:val="36"/>
                <w:lang w:val="en-US" w:eastAsia="zh-CN"/>
              </w:rPr>
              <w:t>武汉市东西湖区融媒体中心</w:t>
            </w:r>
            <w:r>
              <w:rPr>
                <w:rFonts w:hint="eastAsia" w:ascii="宋体" w:hAnsi="宋体" w:eastAsia="宋体" w:cs="宋体"/>
                <w:b/>
                <w:sz w:val="36"/>
                <w:szCs w:val="36"/>
                <w:lang w:val="en-US" w:eastAsia="zh-CN"/>
              </w:rPr>
              <w:fldChar w:fldCharType="end"/>
            </w:r>
          </w:p>
        </w:tc>
      </w:tr>
      <w:tr>
        <w:tblPrEx>
          <w:tblCellMar>
            <w:top w:w="0" w:type="dxa"/>
            <w:left w:w="0" w:type="dxa"/>
            <w:bottom w:w="0" w:type="dxa"/>
            <w:right w:w="0" w:type="dxa"/>
          </w:tblCellMar>
        </w:tblPrEx>
        <w:trPr>
          <w:trHeight w:val="905" w:hRule="atLeast"/>
        </w:trPr>
        <w:tc>
          <w:tcPr>
            <w:tcW w:w="8728" w:type="dxa"/>
            <w:noWrap w:val="0"/>
            <w:vAlign w:val="top"/>
          </w:tcPr>
          <w:p>
            <w:pPr>
              <w:pStyle w:val="12"/>
              <w:spacing w:line="560" w:lineRule="exact"/>
              <w:ind w:left="108"/>
              <w:rPr>
                <w:rFonts w:hint="eastAsia" w:ascii="宋体" w:hAnsi="宋体" w:eastAsia="宋体" w:cs="宋体"/>
                <w:b/>
                <w:sz w:val="36"/>
                <w:szCs w:val="36"/>
              </w:rPr>
            </w:pPr>
            <w:r>
              <w:rPr>
                <w:rFonts w:hint="eastAsia" w:ascii="宋体" w:hAnsi="宋体" w:eastAsia="宋体" w:cs="宋体"/>
                <w:b/>
                <w:sz w:val="36"/>
                <w:szCs w:val="36"/>
              </w:rPr>
              <w:t>代理机构：武汉润浦项目咨询有限公司</w:t>
            </w:r>
          </w:p>
        </w:tc>
      </w:tr>
      <w:tr>
        <w:tblPrEx>
          <w:tblCellMar>
            <w:top w:w="0" w:type="dxa"/>
            <w:left w:w="0" w:type="dxa"/>
            <w:bottom w:w="0" w:type="dxa"/>
            <w:right w:w="0" w:type="dxa"/>
          </w:tblCellMar>
        </w:tblPrEx>
        <w:trPr>
          <w:trHeight w:val="916" w:hRule="atLeast"/>
        </w:trPr>
        <w:tc>
          <w:tcPr>
            <w:tcW w:w="8728" w:type="dxa"/>
            <w:noWrap w:val="0"/>
            <w:vAlign w:val="top"/>
          </w:tcPr>
          <w:p>
            <w:pPr>
              <w:pStyle w:val="12"/>
              <w:spacing w:line="560" w:lineRule="exact"/>
              <w:ind w:left="108"/>
              <w:rPr>
                <w:rFonts w:hint="eastAsia" w:ascii="宋体" w:hAnsi="宋体" w:eastAsia="宋体" w:cs="宋体"/>
                <w:b/>
                <w:sz w:val="36"/>
                <w:szCs w:val="36"/>
              </w:rPr>
            </w:pPr>
            <w:r>
              <w:rPr>
                <w:rFonts w:hint="eastAsia" w:ascii="宋体" w:hAnsi="宋体" w:eastAsia="宋体" w:cs="宋体"/>
                <w:b/>
                <w:sz w:val="36"/>
                <w:szCs w:val="36"/>
              </w:rPr>
              <w:t>日</w:t>
            </w:r>
            <w:r>
              <w:rPr>
                <w:rFonts w:hint="eastAsia" w:ascii="宋体" w:hAnsi="宋体" w:eastAsia="宋体" w:cs="宋体"/>
                <w:b/>
                <w:sz w:val="36"/>
                <w:szCs w:val="36"/>
                <w:lang w:val="en-US"/>
              </w:rPr>
              <w:t xml:space="preserve">    </w:t>
            </w:r>
            <w:r>
              <w:rPr>
                <w:rFonts w:hint="eastAsia" w:ascii="宋体" w:hAnsi="宋体" w:eastAsia="宋体" w:cs="宋体"/>
                <w:b/>
                <w:sz w:val="36"/>
                <w:szCs w:val="36"/>
              </w:rPr>
              <w:t>期：202</w:t>
            </w:r>
            <w:r>
              <w:rPr>
                <w:rFonts w:hint="eastAsia" w:cs="宋体"/>
                <w:b/>
                <w:sz w:val="36"/>
                <w:szCs w:val="36"/>
                <w:lang w:val="en-US" w:eastAsia="zh-CN"/>
              </w:rPr>
              <w:t>4</w:t>
            </w:r>
            <w:r>
              <w:rPr>
                <w:rFonts w:hint="eastAsia" w:ascii="宋体" w:hAnsi="宋体" w:eastAsia="宋体" w:cs="宋体"/>
                <w:b/>
                <w:sz w:val="36"/>
                <w:szCs w:val="36"/>
              </w:rPr>
              <w:t>年</w:t>
            </w:r>
            <w:r>
              <w:rPr>
                <w:rFonts w:hint="eastAsia" w:cs="宋体"/>
                <w:b/>
                <w:sz w:val="36"/>
                <w:szCs w:val="36"/>
                <w:lang w:val="en-US" w:eastAsia="zh-CN"/>
              </w:rPr>
              <w:t>3</w:t>
            </w:r>
            <w:r>
              <w:rPr>
                <w:rFonts w:hint="eastAsia" w:ascii="宋体" w:hAnsi="宋体" w:eastAsia="宋体" w:cs="宋体"/>
                <w:b/>
                <w:sz w:val="36"/>
                <w:szCs w:val="36"/>
              </w:rPr>
              <w:t>月</w:t>
            </w:r>
          </w:p>
        </w:tc>
      </w:tr>
    </w:tbl>
    <w:p>
      <w:pPr>
        <w:sectPr>
          <w:pgSz w:w="11906" w:h="16838"/>
          <w:pgMar w:top="1440" w:right="1800" w:bottom="1440" w:left="1800" w:header="851" w:footer="992" w:gutter="0"/>
          <w:cols w:space="425" w:num="1"/>
          <w:docGrid w:type="lines" w:linePitch="312" w:charSpace="0"/>
        </w:sectPr>
      </w:pPr>
    </w:p>
    <w:p>
      <w:pPr>
        <w:pStyle w:val="5"/>
        <w:spacing w:before="7"/>
        <w:jc w:val="center"/>
        <w:rPr>
          <w:rFonts w:hint="eastAsia" w:ascii="宋体" w:hAnsi="宋体" w:eastAsia="宋体" w:cs="宋体"/>
          <w:b/>
          <w:bCs/>
          <w:lang w:val="en-US"/>
        </w:rPr>
      </w:pPr>
      <w:r>
        <w:rPr>
          <w:rFonts w:hint="eastAsia" w:ascii="宋体" w:hAnsi="宋体" w:eastAsia="宋体" w:cs="宋体"/>
          <w:b/>
          <w:sz w:val="32"/>
          <w:szCs w:val="48"/>
        </w:rPr>
        <w:t>第一部分  投标人资格要求</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1、满足《中华人民共和国政府采购法》第二十二条规定，即：</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（1）具有独立承担民事责任的能力；</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（2）具有良好的商业信誉和健全的财务会计制度；</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（3）具有履行合同所必需的设备和专业技术能力；</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（4）有依法缴纳税收和社会保障资金的良好记录；</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（5）参加政府采购活动前三年内，在经营活动中没有重大违法记录；</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（6）法律、行政法规规定的其他条件。</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2、单位负责人为同一人或者存在直接控股、管理关系的不同供应商，不得参加本项目同一合同项下的政府采购活动。</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3、为本采购项目提供整体设计、规范编制或者项目管理、监理、检测等服务的，不得再参加本项目的其他招标采购活动。</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4、未被列入失信被执行人、重大税收违法失信主体，未被列入政府采购严重违法失信行为记录名单。</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5、落实政府采购政策需满足的资格要求：本项目为非专门面向中小微企业的采购项目，所有符合条件的供应商均可参与。</w:t>
      </w:r>
    </w:p>
    <w:p>
      <w:pPr>
        <w:pStyle w:val="9"/>
        <w:spacing w:before="0" w:beforeAutospacing="0" w:after="0" w:afterAutospacing="0" w:line="500" w:lineRule="exact"/>
        <w:ind w:firstLine="480" w:firstLineChars="200"/>
        <w:jc w:val="both"/>
        <w:rPr>
          <w:rFonts w:hint="eastAsia"/>
          <w:shd w:val="clear" w:color="auto" w:fill="FFFFFF"/>
        </w:rPr>
      </w:pPr>
      <w:r>
        <w:rPr>
          <w:rFonts w:hint="eastAsia"/>
          <w:shd w:val="clear" w:color="auto" w:fill="FFFFFF"/>
        </w:rPr>
        <w:t>6、本项目的特定资格要求：</w:t>
      </w:r>
      <w:r>
        <w:rPr>
          <w:rFonts w:hint="eastAsia"/>
        </w:rPr>
        <w:t>/</w:t>
      </w:r>
    </w:p>
    <w:p>
      <w:pPr>
        <w:pStyle w:val="15"/>
        <w:numPr>
          <w:ilvl w:val="0"/>
          <w:numId w:val="0"/>
        </w:numPr>
        <w:tabs>
          <w:tab w:val="left" w:pos="1322"/>
        </w:tabs>
        <w:spacing w:line="480" w:lineRule="exact"/>
        <w:ind w:leftChars="200"/>
        <w:rPr>
          <w:rFonts w:hint="eastAsia" w:ascii="宋体" w:hAnsi="宋体" w:eastAsia="宋体" w:cs="宋体"/>
          <w:color w:val="000000"/>
          <w:spacing w:val="-8"/>
          <w:sz w:val="24"/>
          <w:highlight w:val="none"/>
        </w:rPr>
      </w:pPr>
    </w:p>
    <w:p>
      <w:pPr>
        <w:bidi w:val="0"/>
        <w:rPr>
          <w:rFonts w:hint="eastAsia"/>
        </w:rPr>
        <w:sectPr>
          <w:pgSz w:w="11906" w:h="16838"/>
          <w:pgMar w:top="1440" w:right="1800" w:bottom="1440" w:left="1800" w:header="851" w:footer="992" w:gutter="0"/>
          <w:cols w:space="425" w:num="1"/>
          <w:docGrid w:type="lines" w:linePitch="312" w:charSpace="0"/>
        </w:sectPr>
      </w:pPr>
    </w:p>
    <w:p>
      <w:pPr>
        <w:numPr>
          <w:ilvl w:val="0"/>
          <w:numId w:val="1"/>
        </w:numPr>
        <w:bidi w:val="0"/>
        <w:jc w:val="center"/>
        <w:rPr>
          <w:rFonts w:hint="eastAsia"/>
          <w:b/>
          <w:bCs/>
          <w:sz w:val="32"/>
          <w:szCs w:val="32"/>
        </w:rPr>
      </w:pPr>
      <w:r>
        <w:rPr>
          <w:rFonts w:hint="eastAsia"/>
          <w:b/>
          <w:bCs/>
          <w:sz w:val="32"/>
          <w:szCs w:val="32"/>
        </w:rPr>
        <w:t>项目采购需求</w:t>
      </w:r>
    </w:p>
    <w:p>
      <w:pPr>
        <w:spacing w:line="520" w:lineRule="exact"/>
        <w:ind w:firstLine="562" w:firstLineChars="200"/>
        <w:jc w:val="center"/>
        <w:rPr>
          <w:rFonts w:hint="eastAsia" w:ascii="宋体" w:hAnsi="宋体" w:eastAsia="宋体" w:cs="宋体"/>
          <w:b/>
          <w:bCs/>
          <w:sz w:val="24"/>
          <w:szCs w:val="24"/>
        </w:rPr>
      </w:pPr>
      <w:bookmarkStart w:id="0" w:name="_Toc198345621"/>
      <w:r>
        <w:rPr>
          <w:rFonts w:hint="eastAsia" w:ascii="宋体" w:hAnsi="宋体" w:cs="宋体"/>
          <w:b/>
          <w:bCs/>
          <w:sz w:val="28"/>
          <w:szCs w:val="28"/>
        </w:rPr>
        <w:t>（本章中标★的为实质性要求，不满足为无效响应）</w:t>
      </w:r>
    </w:p>
    <w:bookmarkEnd w:id="0"/>
    <w:p>
      <w:pPr>
        <w:pStyle w:val="4"/>
        <w:jc w:val="both"/>
        <w:rPr>
          <w:rFonts w:hint="eastAsia" w:ascii="仿宋" w:hAnsi="仿宋" w:eastAsia="仿宋" w:cs="仿宋"/>
        </w:rPr>
      </w:pPr>
      <w:bookmarkStart w:id="1" w:name="_Toc18741"/>
      <w:bookmarkStart w:id="2" w:name="_Toc19715"/>
      <w:bookmarkStart w:id="3" w:name="_Toc61854322"/>
      <w:bookmarkStart w:id="4" w:name="_Toc15953"/>
      <w:bookmarkStart w:id="5" w:name="_Toc534472732"/>
      <w:r>
        <w:rPr>
          <w:rFonts w:hint="eastAsia" w:ascii="仿宋" w:hAnsi="仿宋" w:eastAsia="仿宋" w:cs="仿宋"/>
        </w:rPr>
        <w:t>一、项目概况</w:t>
      </w:r>
      <w:bookmarkEnd w:id="1"/>
      <w:bookmarkEnd w:id="2"/>
    </w:p>
    <w:p>
      <w:pPr>
        <w:pStyle w:val="4"/>
        <w:ind w:firstLine="689" w:firstLineChars="245"/>
        <w:jc w:val="both"/>
        <w:rPr>
          <w:rFonts w:hint="eastAsia" w:ascii="仿宋" w:hAnsi="仿宋" w:eastAsia="仿宋" w:cs="仿宋"/>
        </w:rPr>
      </w:pPr>
      <w:bookmarkStart w:id="6" w:name="_Toc12434"/>
      <w:bookmarkStart w:id="7" w:name="_Toc5101"/>
      <w:bookmarkStart w:id="8" w:name="_Toc30880"/>
      <w:r>
        <w:rPr>
          <w:rFonts w:hint="eastAsia" w:ascii="仿宋" w:hAnsi="仿宋" w:eastAsia="仿宋" w:cs="仿宋"/>
        </w:rPr>
        <w:t>★1、采购标的：</w:t>
      </w:r>
      <w:bookmarkEnd w:id="6"/>
      <w:bookmarkEnd w:id="7"/>
      <w:bookmarkEnd w:id="8"/>
      <w:r>
        <w:rPr>
          <w:rFonts w:hint="eastAsia" w:ascii="仿宋" w:hAnsi="仿宋" w:eastAsia="仿宋" w:cs="仿宋"/>
        </w:rPr>
        <w:tab/>
      </w:r>
    </w:p>
    <w:p>
      <w:pPr>
        <w:tabs>
          <w:tab w:val="left" w:pos="1155"/>
        </w:tabs>
        <w:spacing w:line="520" w:lineRule="exact"/>
        <w:ind w:firstLine="480" w:firstLineChars="200"/>
        <w:rPr>
          <w:rFonts w:hint="eastAsia" w:ascii="宋体" w:hAnsi="宋体" w:eastAsia="宋体"/>
          <w:sz w:val="24"/>
          <w:lang w:eastAsia="zh-CN"/>
        </w:rPr>
      </w:pPr>
      <w:bookmarkStart w:id="9" w:name="_Toc8430"/>
      <w:bookmarkStart w:id="10" w:name="_Toc11659"/>
      <w:r>
        <w:rPr>
          <w:rFonts w:hint="eastAsia" w:ascii="宋体" w:hAnsi="宋体"/>
          <w:sz w:val="24"/>
          <w:lang w:eastAsia="zh-CN"/>
        </w:rPr>
        <w:t>2024</w:t>
      </w:r>
      <w:r>
        <w:rPr>
          <w:rFonts w:hint="eastAsia"/>
          <w:sz w:val="24"/>
          <w:lang w:val="en-US" w:eastAsia="zh-CN"/>
        </w:rPr>
        <w:t>年</w:t>
      </w:r>
      <w:r>
        <w:rPr>
          <w:rFonts w:hint="eastAsia" w:ascii="宋体" w:hAnsi="宋体"/>
          <w:sz w:val="24"/>
          <w:lang w:eastAsia="zh-CN"/>
        </w:rPr>
        <w:t>视觉包装创意服务项目</w:t>
      </w:r>
    </w:p>
    <w:p>
      <w:pPr>
        <w:pStyle w:val="4"/>
        <w:ind w:firstLine="843" w:firstLineChars="300"/>
        <w:jc w:val="both"/>
        <w:rPr>
          <w:rFonts w:hint="eastAsia" w:ascii="仿宋" w:hAnsi="仿宋" w:eastAsia="仿宋" w:cs="仿宋"/>
        </w:rPr>
      </w:pPr>
      <w:bookmarkStart w:id="11" w:name="_Toc18671"/>
      <w:r>
        <w:rPr>
          <w:rFonts w:hint="eastAsia" w:ascii="仿宋" w:hAnsi="仿宋" w:eastAsia="仿宋" w:cs="仿宋"/>
        </w:rPr>
        <w:t>2、采购标的需实现的功能或者目标</w:t>
      </w:r>
      <w:bookmarkEnd w:id="9"/>
      <w:bookmarkEnd w:id="10"/>
      <w:bookmarkEnd w:id="11"/>
    </w:p>
    <w:p>
      <w:pPr>
        <w:tabs>
          <w:tab w:val="left" w:pos="1155"/>
        </w:tabs>
        <w:spacing w:line="520" w:lineRule="exact"/>
        <w:ind w:firstLine="480" w:firstLineChars="200"/>
        <w:rPr>
          <w:rFonts w:hint="eastAsia" w:ascii="宋体" w:hAnsi="宋体"/>
          <w:sz w:val="24"/>
        </w:rPr>
      </w:pPr>
      <w:r>
        <w:rPr>
          <w:rFonts w:hint="eastAsia" w:ascii="宋体" w:hAnsi="宋体"/>
          <w:sz w:val="24"/>
        </w:rPr>
        <w:t>本次招标采购是</w:t>
      </w:r>
      <w:r>
        <w:rPr>
          <w:rFonts w:ascii="宋体" w:hAnsi="宋体" w:cs="宋体"/>
          <w:sz w:val="24"/>
        </w:rPr>
        <w:t>为武汉市东西湖区融媒体中心</w:t>
      </w:r>
      <w:r>
        <w:rPr>
          <w:rFonts w:hint="eastAsia" w:ascii="宋体" w:hAnsi="宋体" w:cs="宋体"/>
          <w:sz w:val="24"/>
        </w:rPr>
        <w:t>提供</w:t>
      </w:r>
      <w:r>
        <w:rPr>
          <w:rFonts w:hint="eastAsia" w:ascii="宋体" w:hAnsi="宋体" w:cs="宋体"/>
          <w:sz w:val="24"/>
          <w:lang w:eastAsia="zh-CN"/>
        </w:rPr>
        <w:t>2024</w:t>
      </w:r>
      <w:r>
        <w:rPr>
          <w:rFonts w:hint="eastAsia" w:cs="宋体"/>
          <w:sz w:val="24"/>
          <w:lang w:val="en-US" w:eastAsia="zh-CN"/>
        </w:rPr>
        <w:t>年</w:t>
      </w:r>
      <w:r>
        <w:rPr>
          <w:rFonts w:hint="eastAsia" w:ascii="宋体" w:hAnsi="宋体" w:cs="宋体"/>
          <w:sz w:val="24"/>
          <w:lang w:eastAsia="zh-CN"/>
        </w:rPr>
        <w:t>视觉包装创意服务项目</w:t>
      </w:r>
      <w:r>
        <w:rPr>
          <w:rFonts w:ascii="宋体" w:hAnsi="宋体" w:cs="宋体"/>
          <w:sz w:val="24"/>
        </w:rPr>
        <w:t>，</w:t>
      </w:r>
      <w:r>
        <w:rPr>
          <w:rFonts w:hint="eastAsia" w:ascii="宋体" w:hAnsi="宋体" w:cs="宋体"/>
          <w:sz w:val="24"/>
        </w:rPr>
        <w:t>供应商</w:t>
      </w:r>
      <w:r>
        <w:rPr>
          <w:rFonts w:ascii="宋体" w:hAnsi="宋体" w:cs="宋体"/>
          <w:sz w:val="24"/>
        </w:rPr>
        <w:t>应根据</w:t>
      </w:r>
      <w:r>
        <w:rPr>
          <w:rFonts w:hint="eastAsia" w:ascii="宋体" w:hAnsi="宋体" w:cs="宋体"/>
          <w:sz w:val="24"/>
        </w:rPr>
        <w:t>磋商</w:t>
      </w:r>
      <w:r>
        <w:rPr>
          <w:rFonts w:ascii="宋体" w:hAnsi="宋体" w:cs="宋体"/>
          <w:sz w:val="24"/>
        </w:rPr>
        <w:t>文件所提出的技术和服务要求，提供符合要求的技术服务。</w:t>
      </w:r>
    </w:p>
    <w:p>
      <w:pPr>
        <w:pStyle w:val="4"/>
        <w:ind w:firstLine="689" w:firstLineChars="245"/>
        <w:jc w:val="both"/>
        <w:rPr>
          <w:rFonts w:hint="eastAsia" w:ascii="仿宋" w:hAnsi="仿宋" w:eastAsia="仿宋" w:cs="仿宋"/>
        </w:rPr>
      </w:pPr>
      <w:bookmarkStart w:id="12" w:name="_Toc26052"/>
      <w:bookmarkStart w:id="13" w:name="_Toc9847"/>
      <w:bookmarkStart w:id="14" w:name="_Toc29468"/>
      <w:r>
        <w:rPr>
          <w:rFonts w:hint="eastAsia" w:ascii="仿宋" w:hAnsi="仿宋" w:eastAsia="仿宋" w:cs="仿宋"/>
        </w:rPr>
        <w:t>3、为落实政府采购政策需满足的要求</w:t>
      </w:r>
      <w:bookmarkEnd w:id="12"/>
      <w:bookmarkEnd w:id="13"/>
      <w:bookmarkEnd w:id="14"/>
    </w:p>
    <w:p>
      <w:pPr>
        <w:shd w:val="clear" w:color="auto" w:fill="FFFFFF"/>
        <w:spacing w:line="520" w:lineRule="exact"/>
        <w:ind w:firstLine="480" w:firstLineChars="200"/>
        <w:jc w:val="left"/>
        <w:rPr>
          <w:rFonts w:ascii="宋体" w:hAnsi="宋体" w:cs="宋体"/>
          <w:sz w:val="24"/>
        </w:rPr>
      </w:pPr>
      <w:r>
        <w:rPr>
          <w:rFonts w:hint="eastAsia" w:ascii="宋体" w:hAnsi="宋体" w:cs="宋体"/>
          <w:sz w:val="24"/>
        </w:rPr>
        <w:t>1、促进小微型企业发展政策：详见第二章供应商须知前附表要求。供应商对其提供的证明材料（《中小企业声明函》或《残疾人福利性单位声明函》或监狱企业证明）的内容真实性负责，内容不实的，属于提供虚假材料谋取中标、成交，依照《中华人民共和国政府采购法》等国家有关规定追究相应责任。</w:t>
      </w:r>
    </w:p>
    <w:p>
      <w:pPr>
        <w:shd w:val="clear" w:color="auto" w:fill="FFFFFF"/>
        <w:spacing w:line="520" w:lineRule="exact"/>
        <w:ind w:firstLine="480" w:firstLineChars="200"/>
        <w:jc w:val="left"/>
        <w:rPr>
          <w:rFonts w:hint="eastAsia" w:ascii="宋体" w:hAnsi="宋体" w:cs="宋体"/>
          <w:sz w:val="24"/>
        </w:rPr>
      </w:pPr>
      <w:r>
        <w:rPr>
          <w:rFonts w:hint="eastAsia" w:ascii="宋体" w:hAnsi="宋体" w:cs="宋体"/>
          <w:sz w:val="24"/>
        </w:rPr>
        <w:t>2、节能、环保政府采购政策：执行政策要求详见第二章供应商须知前附表要求。供应商和产品制造商应对提交的相关证书的真实性负责，提交的相关证书不真实的，应承担相应的法律责任。</w:t>
      </w:r>
    </w:p>
    <w:p>
      <w:pPr>
        <w:pStyle w:val="4"/>
        <w:jc w:val="both"/>
        <w:rPr>
          <w:rFonts w:hint="eastAsia" w:ascii="仿宋" w:hAnsi="仿宋" w:eastAsia="仿宋" w:cs="仿宋"/>
        </w:rPr>
      </w:pPr>
      <w:bookmarkStart w:id="15" w:name="_Toc2797"/>
      <w:bookmarkStart w:id="16" w:name="_Toc24696"/>
      <w:r>
        <w:rPr>
          <w:rFonts w:hint="eastAsia" w:ascii="仿宋" w:hAnsi="仿宋" w:eastAsia="仿宋" w:cs="仿宋"/>
        </w:rPr>
        <w:t>二、项目主要商务要求</w:t>
      </w:r>
      <w:bookmarkEnd w:id="15"/>
      <w:bookmarkEnd w:id="16"/>
    </w:p>
    <w:p>
      <w:pPr>
        <w:tabs>
          <w:tab w:val="left" w:pos="1155"/>
        </w:tabs>
        <w:spacing w:line="520" w:lineRule="exact"/>
        <w:ind w:firstLine="480" w:firstLineChars="200"/>
        <w:rPr>
          <w:rFonts w:hint="eastAsia" w:ascii="宋体" w:hAnsi="宋体"/>
          <w:sz w:val="24"/>
        </w:rPr>
      </w:pPr>
      <w:r>
        <w:rPr>
          <w:rFonts w:hint="eastAsia" w:ascii="宋体" w:hAnsi="宋体"/>
          <w:sz w:val="24"/>
        </w:rPr>
        <w:t>（一）预算金额：本项目预算金额为人民币</w:t>
      </w:r>
      <w:r>
        <w:rPr>
          <w:rFonts w:hint="eastAsia" w:ascii="宋体" w:hAnsi="宋体"/>
          <w:color w:val="auto"/>
          <w:sz w:val="24"/>
        </w:rPr>
        <w:t>1</w:t>
      </w:r>
      <w:r>
        <w:rPr>
          <w:rFonts w:hint="eastAsia" w:ascii="宋体" w:hAnsi="宋体"/>
          <w:color w:val="auto"/>
          <w:sz w:val="24"/>
          <w:lang w:val="en-US" w:eastAsia="zh-CN"/>
        </w:rPr>
        <w:t>50</w:t>
      </w:r>
      <w:r>
        <w:rPr>
          <w:rFonts w:hint="eastAsia" w:ascii="宋体" w:hAnsi="宋体"/>
          <w:color w:val="auto"/>
          <w:sz w:val="24"/>
        </w:rPr>
        <w:t>万</w:t>
      </w:r>
      <w:r>
        <w:rPr>
          <w:rFonts w:hint="eastAsia" w:ascii="宋体" w:hAnsi="宋体"/>
          <w:sz w:val="24"/>
        </w:rPr>
        <w:t>元，磋商报价超预算金额为无效磋商。</w:t>
      </w:r>
    </w:p>
    <w:p>
      <w:pPr>
        <w:pStyle w:val="9"/>
        <w:spacing w:before="0" w:beforeAutospacing="0" w:after="0" w:afterAutospacing="0" w:line="500" w:lineRule="exact"/>
        <w:ind w:firstLine="480" w:firstLineChars="200"/>
        <w:jc w:val="both"/>
        <w:rPr>
          <w:rFonts w:hint="eastAsia"/>
        </w:rPr>
      </w:pPr>
      <w:r>
        <w:rPr>
          <w:rFonts w:hint="eastAsia"/>
        </w:rPr>
        <w:t>★（二）合同履行期限：</w:t>
      </w:r>
      <w:r>
        <w:rPr>
          <w:rFonts w:hint="eastAsia"/>
          <w:shd w:val="clear" w:color="auto" w:fill="FFFFFF"/>
        </w:rPr>
        <w:t>合同签订之日起至2024年12月10日。</w:t>
      </w:r>
    </w:p>
    <w:p>
      <w:pPr>
        <w:tabs>
          <w:tab w:val="left" w:pos="1155"/>
        </w:tabs>
        <w:spacing w:line="520" w:lineRule="exact"/>
        <w:ind w:firstLine="480" w:firstLineChars="200"/>
        <w:rPr>
          <w:rFonts w:hint="eastAsia" w:ascii="宋体" w:hAnsi="宋体"/>
          <w:sz w:val="24"/>
        </w:rPr>
      </w:pPr>
      <w:r>
        <w:rPr>
          <w:rFonts w:hint="eastAsia" w:ascii="宋体" w:hAnsi="宋体"/>
          <w:sz w:val="24"/>
        </w:rPr>
        <w:t>（三）项目地点：武汉市东西湖区。</w:t>
      </w:r>
    </w:p>
    <w:p>
      <w:pPr>
        <w:tabs>
          <w:tab w:val="left" w:pos="1155"/>
        </w:tabs>
        <w:spacing w:line="520" w:lineRule="exact"/>
        <w:ind w:firstLine="480" w:firstLineChars="200"/>
        <w:rPr>
          <w:rFonts w:ascii="宋体" w:hAnsi="宋体" w:cs="宋体"/>
          <w:color w:val="0000FF"/>
          <w:sz w:val="24"/>
        </w:rPr>
      </w:pPr>
      <w:r>
        <w:rPr>
          <w:rFonts w:hint="eastAsia" w:ascii="宋体" w:hAnsi="宋体"/>
          <w:sz w:val="24"/>
        </w:rPr>
        <w:t>★（四）付款方式：采购人在合同签订后15日内支付合同款项的30%；成交人在完成工作内容70%并通过阶段性验收合格后，支付合同款项的40%；采购人在合同履行完毕验收合格后，据实核算支付剩余费用。</w:t>
      </w:r>
    </w:p>
    <w:p>
      <w:pPr>
        <w:pStyle w:val="4"/>
        <w:numPr>
          <w:ilvl w:val="0"/>
          <w:numId w:val="2"/>
        </w:numPr>
        <w:jc w:val="both"/>
        <w:rPr>
          <w:rFonts w:hint="eastAsia" w:ascii="仿宋" w:hAnsi="仿宋" w:eastAsia="仿宋" w:cs="仿宋"/>
        </w:rPr>
      </w:pPr>
      <w:bookmarkStart w:id="17" w:name="_Toc19816"/>
      <w:bookmarkStart w:id="18" w:name="_Toc1102"/>
      <w:r>
        <w:rPr>
          <w:rFonts w:hint="eastAsia" w:ascii="仿宋" w:hAnsi="仿宋" w:eastAsia="仿宋" w:cs="仿宋"/>
        </w:rPr>
        <w:t>项目主要技术要求</w:t>
      </w:r>
      <w:bookmarkEnd w:id="17"/>
      <w:bookmarkEnd w:id="18"/>
    </w:p>
    <w:p>
      <w:pPr>
        <w:pStyle w:val="4"/>
        <w:ind w:firstLine="551" w:firstLineChars="196"/>
        <w:jc w:val="both"/>
        <w:rPr>
          <w:rFonts w:hint="eastAsia" w:ascii="仿宋" w:hAnsi="仿宋" w:eastAsia="仿宋" w:cs="仿宋"/>
          <w:lang w:val="en-US" w:eastAsia="zh-CN"/>
        </w:rPr>
      </w:pPr>
      <w:bookmarkStart w:id="19" w:name="_Toc5306"/>
      <w:bookmarkStart w:id="20" w:name="_Toc22914"/>
      <w:bookmarkStart w:id="21" w:name="_Toc31796"/>
      <w:bookmarkStart w:id="22" w:name="_Toc1376"/>
      <w:bookmarkStart w:id="23" w:name="_Toc2576"/>
      <w:bookmarkStart w:id="24" w:name="_Toc18527"/>
      <w:bookmarkStart w:id="25" w:name="_Toc28934664"/>
      <w:r>
        <w:rPr>
          <w:rFonts w:hint="eastAsia" w:ascii="仿宋" w:hAnsi="仿宋" w:eastAsia="仿宋" w:cs="仿宋"/>
        </w:rPr>
        <w:t>（一）</w:t>
      </w:r>
      <w:bookmarkEnd w:id="19"/>
      <w:bookmarkEnd w:id="20"/>
      <w:bookmarkEnd w:id="21"/>
      <w:bookmarkEnd w:id="22"/>
      <w:r>
        <w:rPr>
          <w:rFonts w:hint="eastAsia" w:ascii="仿宋" w:hAnsi="仿宋" w:eastAsia="仿宋" w:cs="仿宋"/>
          <w:lang w:val="en-US" w:eastAsia="zh-CN"/>
        </w:rPr>
        <w:t>项目背景</w:t>
      </w:r>
      <w:bookmarkEnd w:id="23"/>
    </w:p>
    <w:p>
      <w:pPr>
        <w:widowControl/>
        <w:spacing w:line="520" w:lineRule="exact"/>
        <w:ind w:firstLine="480" w:firstLineChars="200"/>
        <w:jc w:val="left"/>
        <w:textAlignment w:val="center"/>
        <w:rPr>
          <w:rFonts w:hint="eastAsia" w:ascii="宋体" w:hAnsi="宋体"/>
          <w:sz w:val="24"/>
          <w:lang w:val="zh-TW"/>
        </w:rPr>
      </w:pPr>
      <w:r>
        <w:rPr>
          <w:rFonts w:hint="eastAsia" w:ascii="宋体" w:hAnsi="宋体"/>
          <w:sz w:val="24"/>
          <w:lang w:val="zh-TW"/>
        </w:rPr>
        <w:t>面向新时代宣传思想文化工作新要求，东西湖区融媒体中心需加强全媒体视觉包装创意能力，满足全媒体平台在精品中短视频、精品栏目短视频、视觉传达设计、直播等方面的需求，以进一步提升区融媒体平台在区域内外的传播力、影响力。</w:t>
      </w:r>
    </w:p>
    <w:p>
      <w:pPr>
        <w:widowControl/>
        <w:spacing w:line="520" w:lineRule="exact"/>
        <w:ind w:firstLine="480" w:firstLineChars="200"/>
        <w:jc w:val="left"/>
        <w:textAlignment w:val="center"/>
        <w:rPr>
          <w:rFonts w:hint="eastAsia" w:ascii="宋体" w:hAnsi="宋体"/>
          <w:sz w:val="24"/>
        </w:rPr>
      </w:pPr>
      <w:r>
        <w:rPr>
          <w:rFonts w:hint="eastAsia" w:ascii="宋体" w:hAnsi="宋体"/>
          <w:sz w:val="24"/>
          <w:lang w:val="zh-TW"/>
        </w:rPr>
        <w:t>为加强全媒体视觉创意设计，东西湖区融媒体中心拟通过购买高质量视觉产品的方式，开展传播手段建设和创新，擦亮“中国网谷”这一国家品牌。。</w:t>
      </w:r>
    </w:p>
    <w:p>
      <w:pPr>
        <w:pStyle w:val="4"/>
        <w:ind w:firstLine="551" w:firstLineChars="196"/>
        <w:jc w:val="both"/>
        <w:rPr>
          <w:rFonts w:hint="eastAsia" w:ascii="仿宋" w:hAnsi="仿宋" w:eastAsia="仿宋" w:cs="仿宋"/>
          <w:lang w:val="en-US" w:eastAsia="zh-CN"/>
        </w:rPr>
      </w:pPr>
      <w:bookmarkStart w:id="26" w:name="_Toc24395"/>
      <w:bookmarkStart w:id="27" w:name="_Toc3851"/>
      <w:bookmarkStart w:id="28" w:name="_Toc5483"/>
      <w:bookmarkStart w:id="29" w:name="_Toc12426"/>
      <w:r>
        <w:rPr>
          <w:rFonts w:hint="eastAsia" w:ascii="仿宋" w:hAnsi="仿宋" w:eastAsia="仿宋" w:cs="仿宋"/>
        </w:rPr>
        <w:t>（二）</w:t>
      </w:r>
      <w:bookmarkEnd w:id="26"/>
      <w:bookmarkEnd w:id="27"/>
      <w:bookmarkEnd w:id="28"/>
      <w:r>
        <w:rPr>
          <w:rFonts w:hint="eastAsia" w:ascii="仿宋" w:hAnsi="仿宋" w:eastAsia="仿宋" w:cs="仿宋"/>
          <w:lang w:val="en-US" w:eastAsia="zh-CN"/>
        </w:rPr>
        <w:t>服务内容</w:t>
      </w:r>
      <w:bookmarkEnd w:id="29"/>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w:t>
      </w:r>
      <w:r>
        <w:rPr>
          <w:rFonts w:hint="eastAsia" w:ascii="宋体" w:hAnsi="宋体" w:eastAsia="宋体" w:cs="宋体"/>
          <w:color w:val="000000"/>
          <w:kern w:val="2"/>
          <w:sz w:val="24"/>
          <w:szCs w:val="24"/>
          <w:u w:val="none" w:color="000000"/>
          <w:lang w:val="zh-TW" w:eastAsia="zh-TW" w:bidi="ar-SA"/>
        </w:rPr>
        <w:t>服务期内，</w:t>
      </w:r>
      <w:r>
        <w:rPr>
          <w:rFonts w:hint="eastAsia" w:ascii="宋体" w:hAnsi="宋体" w:eastAsia="宋体" w:cs="宋体"/>
          <w:color w:val="000000"/>
          <w:kern w:val="2"/>
          <w:sz w:val="24"/>
          <w:szCs w:val="24"/>
          <w:u w:val="none" w:color="000000"/>
          <w:lang w:val="zh-TW" w:eastAsia="zh-CN" w:bidi="ar-SA"/>
        </w:rPr>
        <w:t>完成</w:t>
      </w:r>
      <w:r>
        <w:rPr>
          <w:rFonts w:hint="default" w:ascii="宋体" w:hAnsi="宋体" w:eastAsia="宋体" w:cs="宋体"/>
          <w:color w:val="000000"/>
          <w:kern w:val="2"/>
          <w:sz w:val="24"/>
          <w:szCs w:val="24"/>
          <w:u w:val="none" w:color="000000"/>
          <w:lang w:val="en-US" w:eastAsia="zh-CN" w:bidi="ar-SA"/>
        </w:rPr>
        <w:t>精品中视频5条</w:t>
      </w:r>
      <w:r>
        <w:rPr>
          <w:rFonts w:hint="eastAsia" w:ascii="宋体" w:hAnsi="宋体" w:eastAsia="宋体" w:cs="宋体"/>
          <w:color w:val="000000"/>
          <w:kern w:val="2"/>
          <w:sz w:val="24"/>
          <w:szCs w:val="24"/>
          <w:u w:val="none" w:color="000000"/>
          <w:lang w:val="en-US" w:eastAsia="zh-CN" w:bidi="ar-SA"/>
        </w:rPr>
        <w:t>，</w:t>
      </w:r>
      <w:r>
        <w:rPr>
          <w:rFonts w:hint="default" w:ascii="宋体" w:hAnsi="宋体" w:eastAsia="宋体" w:cs="宋体"/>
          <w:color w:val="000000"/>
          <w:kern w:val="2"/>
          <w:sz w:val="24"/>
          <w:szCs w:val="24"/>
          <w:u w:val="none" w:color="000000"/>
          <w:lang w:val="en-US" w:eastAsia="zh-CN" w:bidi="ar-SA"/>
        </w:rPr>
        <w:t>展现东西湖区</w:t>
      </w:r>
      <w:r>
        <w:rPr>
          <w:rFonts w:hint="eastAsia" w:ascii="宋体" w:hAnsi="宋体" w:eastAsia="宋体" w:cs="宋体"/>
          <w:color w:val="000000"/>
          <w:kern w:val="2"/>
          <w:sz w:val="24"/>
          <w:szCs w:val="24"/>
          <w:u w:val="none" w:color="000000"/>
          <w:lang w:val="en-US" w:eastAsia="zh-CN" w:bidi="ar-SA"/>
        </w:rPr>
        <w:t>改革创新、</w:t>
      </w:r>
      <w:r>
        <w:rPr>
          <w:rFonts w:hint="default" w:ascii="宋体" w:hAnsi="宋体" w:eastAsia="宋体" w:cs="宋体"/>
          <w:color w:val="000000"/>
          <w:kern w:val="2"/>
          <w:sz w:val="24"/>
          <w:szCs w:val="24"/>
          <w:u w:val="none" w:color="000000"/>
          <w:lang w:val="en-US" w:eastAsia="zh-CN" w:bidi="ar-SA"/>
        </w:rPr>
        <w:t>经济发展、城市建设、人文风光等方面的主题宣传视频。单条时长3-6分钟。</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w:t>
      </w:r>
      <w:r>
        <w:rPr>
          <w:rFonts w:hint="eastAsia" w:ascii="宋体" w:hAnsi="宋体" w:eastAsia="宋体" w:cs="宋体"/>
          <w:color w:val="000000"/>
          <w:kern w:val="2"/>
          <w:sz w:val="24"/>
          <w:szCs w:val="24"/>
          <w:u w:val="none" w:color="000000"/>
          <w:lang w:val="zh-TW" w:eastAsia="zh-CN" w:bidi="ar-SA"/>
        </w:rPr>
        <w:t>服务期内，完成</w:t>
      </w:r>
      <w:r>
        <w:rPr>
          <w:rFonts w:hint="default" w:ascii="宋体" w:hAnsi="宋体" w:eastAsia="宋体" w:cs="宋体"/>
          <w:color w:val="000000"/>
          <w:kern w:val="2"/>
          <w:sz w:val="24"/>
          <w:szCs w:val="24"/>
          <w:u w:val="none" w:color="000000"/>
          <w:lang w:val="en-US" w:eastAsia="zh-CN" w:bidi="ar-SA"/>
        </w:rPr>
        <w:t>精品栏目短视频</w:t>
      </w:r>
      <w:r>
        <w:rPr>
          <w:rFonts w:hint="eastAsia" w:ascii="宋体" w:hAnsi="宋体" w:eastAsia="宋体" w:cs="宋体"/>
          <w:color w:val="000000"/>
          <w:kern w:val="2"/>
          <w:sz w:val="24"/>
          <w:szCs w:val="24"/>
          <w:u w:val="none" w:color="000000"/>
          <w:lang w:val="en-US" w:eastAsia="zh-CN" w:bidi="ar-SA"/>
        </w:rPr>
        <w:t>6</w:t>
      </w:r>
      <w:r>
        <w:rPr>
          <w:rFonts w:hint="default" w:ascii="宋体" w:hAnsi="宋体" w:eastAsia="宋体" w:cs="宋体"/>
          <w:color w:val="000000"/>
          <w:kern w:val="2"/>
          <w:sz w:val="24"/>
          <w:szCs w:val="24"/>
          <w:u w:val="none" w:color="000000"/>
          <w:lang w:val="en-US" w:eastAsia="zh-CN" w:bidi="ar-SA"/>
        </w:rPr>
        <w:t>0条</w:t>
      </w:r>
      <w:r>
        <w:rPr>
          <w:rFonts w:hint="eastAsia" w:ascii="宋体" w:hAnsi="宋体" w:eastAsia="宋体" w:cs="宋体"/>
          <w:color w:val="000000"/>
          <w:kern w:val="2"/>
          <w:sz w:val="24"/>
          <w:szCs w:val="24"/>
          <w:u w:val="none" w:color="000000"/>
          <w:lang w:val="en-US" w:eastAsia="zh-CN" w:bidi="ar-SA"/>
        </w:rPr>
        <w:t>。</w:t>
      </w:r>
      <w:r>
        <w:rPr>
          <w:rFonts w:hint="default" w:ascii="宋体" w:hAnsi="宋体" w:eastAsia="宋体" w:cs="宋体"/>
          <w:color w:val="000000"/>
          <w:kern w:val="2"/>
          <w:sz w:val="24"/>
          <w:szCs w:val="24"/>
          <w:u w:val="none" w:color="000000"/>
          <w:lang w:val="en-US" w:eastAsia="zh-CN" w:bidi="ar-SA"/>
        </w:rPr>
        <w:t>通过栏目形式，展示东西湖区经济、社会、城市、农业、文化等方面的短视频。单条时长30秒-3分钟。</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auto"/>
          <w:kern w:val="2"/>
          <w:sz w:val="24"/>
          <w:szCs w:val="24"/>
          <w:u w:val="none" w:color="000000"/>
          <w:lang w:val="zh-TW" w:eastAsia="zh-TW" w:bidi="ar-SA"/>
        </w:rPr>
      </w:pPr>
      <w:r>
        <w:rPr>
          <w:rFonts w:hint="eastAsia" w:ascii="宋体" w:hAnsi="宋体" w:eastAsia="宋体" w:cs="宋体"/>
          <w:color w:val="000000"/>
          <w:kern w:val="2"/>
          <w:sz w:val="24"/>
          <w:szCs w:val="24"/>
          <w:u w:val="none" w:color="000000"/>
          <w:lang w:val="en-US" w:eastAsia="zh-CN" w:bidi="ar-SA"/>
        </w:rPr>
        <w:t>3、服务期内，完成</w:t>
      </w:r>
      <w:r>
        <w:rPr>
          <w:rFonts w:hint="default" w:ascii="宋体" w:hAnsi="宋体" w:eastAsia="宋体" w:cs="宋体"/>
          <w:color w:val="000000"/>
          <w:kern w:val="2"/>
          <w:sz w:val="24"/>
          <w:szCs w:val="24"/>
          <w:u w:val="none" w:color="000000"/>
          <w:lang w:val="en-US" w:eastAsia="zh-CN" w:bidi="ar-SA"/>
        </w:rPr>
        <w:t>微信图文编排</w:t>
      </w:r>
      <w:r>
        <w:rPr>
          <w:rFonts w:hint="eastAsia" w:ascii="宋体" w:hAnsi="宋体" w:eastAsia="宋体" w:cs="宋体"/>
          <w:color w:val="000000"/>
          <w:kern w:val="2"/>
          <w:sz w:val="24"/>
          <w:szCs w:val="24"/>
          <w:u w:val="none" w:color="000000"/>
          <w:lang w:val="en-US" w:eastAsia="zh-CN" w:bidi="ar-SA"/>
        </w:rPr>
        <w:t>不低</w:t>
      </w:r>
      <w:r>
        <w:rPr>
          <w:rFonts w:hint="eastAsia" w:ascii="宋体" w:hAnsi="宋体" w:eastAsia="宋体" w:cs="宋体"/>
          <w:color w:val="auto"/>
          <w:kern w:val="2"/>
          <w:sz w:val="24"/>
          <w:szCs w:val="24"/>
          <w:u w:val="none" w:color="000000"/>
          <w:lang w:val="en-US" w:eastAsia="zh-CN" w:bidi="ar-SA"/>
        </w:rPr>
        <w:t>于</w:t>
      </w:r>
      <w:r>
        <w:rPr>
          <w:rFonts w:hint="default" w:ascii="宋体" w:hAnsi="宋体" w:eastAsia="宋体" w:cs="宋体"/>
          <w:color w:val="auto"/>
          <w:kern w:val="2"/>
          <w:sz w:val="24"/>
          <w:szCs w:val="24"/>
          <w:u w:val="none" w:color="000000"/>
          <w:lang w:val="en-US" w:eastAsia="zh-CN" w:bidi="ar-SA"/>
        </w:rPr>
        <w:t>1</w:t>
      </w:r>
      <w:r>
        <w:rPr>
          <w:rFonts w:hint="eastAsia" w:ascii="宋体" w:hAnsi="宋体" w:eastAsia="宋体" w:cs="宋体"/>
          <w:color w:val="auto"/>
          <w:kern w:val="2"/>
          <w:sz w:val="24"/>
          <w:szCs w:val="24"/>
          <w:u w:val="none" w:color="000000"/>
          <w:lang w:val="en-US" w:eastAsia="zh-CN" w:bidi="ar-SA"/>
        </w:rPr>
        <w:t>00</w:t>
      </w:r>
      <w:r>
        <w:rPr>
          <w:rFonts w:hint="default" w:ascii="宋体" w:hAnsi="宋体" w:eastAsia="宋体" w:cs="宋体"/>
          <w:color w:val="auto"/>
          <w:kern w:val="2"/>
          <w:sz w:val="24"/>
          <w:szCs w:val="24"/>
          <w:u w:val="none" w:color="000000"/>
          <w:lang w:val="en-US" w:eastAsia="zh-CN" w:bidi="ar-SA"/>
        </w:rPr>
        <w:t>条</w:t>
      </w:r>
      <w:r>
        <w:rPr>
          <w:rFonts w:hint="eastAsia" w:ascii="宋体" w:hAnsi="宋体" w:eastAsia="宋体" w:cs="宋体"/>
          <w:color w:val="auto"/>
          <w:kern w:val="2"/>
          <w:sz w:val="24"/>
          <w:szCs w:val="24"/>
          <w:u w:val="none" w:color="000000"/>
          <w:lang w:val="en-US" w:eastAsia="zh-CN" w:bidi="ar-SA"/>
        </w:rPr>
        <w:t>。由</w:t>
      </w:r>
      <w:r>
        <w:rPr>
          <w:rFonts w:hint="default" w:ascii="宋体" w:hAnsi="宋体" w:eastAsia="宋体" w:cs="宋体"/>
          <w:color w:val="auto"/>
          <w:kern w:val="2"/>
          <w:sz w:val="24"/>
          <w:szCs w:val="24"/>
          <w:u w:val="none" w:color="000000"/>
          <w:lang w:val="en-US" w:eastAsia="zh-CN" w:bidi="ar-SA"/>
        </w:rPr>
        <w:t>美术编辑对新媒体推文进行图文的编辑美化</w:t>
      </w:r>
      <w:r>
        <w:rPr>
          <w:rFonts w:hint="eastAsia" w:ascii="宋体" w:hAnsi="宋体" w:eastAsia="宋体" w:cs="宋体"/>
          <w:color w:val="auto"/>
          <w:kern w:val="2"/>
          <w:sz w:val="24"/>
          <w:szCs w:val="24"/>
          <w:u w:val="none" w:color="000000"/>
          <w:lang w:val="zh-TW" w:eastAsia="zh-CN" w:bidi="ar-SA"/>
        </w:rPr>
        <w:t>，</w:t>
      </w:r>
      <w:r>
        <w:rPr>
          <w:rFonts w:hint="default" w:ascii="宋体" w:hAnsi="宋体" w:eastAsia="宋体" w:cs="宋体"/>
          <w:color w:val="auto"/>
          <w:kern w:val="2"/>
          <w:sz w:val="24"/>
          <w:szCs w:val="24"/>
          <w:u w:val="none" w:color="000000"/>
          <w:lang w:val="en-US" w:eastAsia="zh-CN" w:bidi="ar-SA"/>
        </w:rPr>
        <w:t>含微信推文相关的字体和海报设计</w:t>
      </w:r>
      <w:r>
        <w:rPr>
          <w:rFonts w:hint="eastAsia" w:ascii="宋体" w:hAnsi="宋体" w:eastAsia="宋体" w:cs="宋体"/>
          <w:color w:val="auto"/>
          <w:kern w:val="2"/>
          <w:sz w:val="24"/>
          <w:szCs w:val="24"/>
          <w:u w:val="none" w:color="000000"/>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4、服务期内，完成</w:t>
      </w:r>
      <w:r>
        <w:rPr>
          <w:rFonts w:hint="default" w:ascii="宋体" w:hAnsi="宋体" w:eastAsia="宋体" w:cs="宋体"/>
          <w:color w:val="auto"/>
          <w:kern w:val="2"/>
          <w:sz w:val="24"/>
          <w:szCs w:val="24"/>
          <w:u w:val="none" w:color="000000"/>
          <w:lang w:val="en-US" w:eastAsia="zh-CN" w:bidi="ar-SA"/>
        </w:rPr>
        <w:t>平面设计</w:t>
      </w:r>
      <w:r>
        <w:rPr>
          <w:rFonts w:hint="eastAsia" w:ascii="宋体" w:hAnsi="宋体" w:eastAsia="宋体" w:cs="宋体"/>
          <w:color w:val="auto"/>
          <w:kern w:val="2"/>
          <w:sz w:val="24"/>
          <w:szCs w:val="24"/>
          <w:u w:val="none" w:color="000000"/>
          <w:lang w:val="en-US" w:eastAsia="zh-CN" w:bidi="ar-SA"/>
        </w:rPr>
        <w:t>不低于</w:t>
      </w:r>
      <w:r>
        <w:rPr>
          <w:rFonts w:hint="default" w:ascii="宋体" w:hAnsi="宋体" w:eastAsia="宋体" w:cs="宋体"/>
          <w:color w:val="auto"/>
          <w:kern w:val="2"/>
          <w:sz w:val="24"/>
          <w:szCs w:val="24"/>
          <w:u w:val="none" w:color="000000"/>
          <w:lang w:val="en-US" w:eastAsia="zh-CN" w:bidi="ar-SA"/>
        </w:rPr>
        <w:t>60件</w:t>
      </w:r>
      <w:r>
        <w:rPr>
          <w:rFonts w:hint="eastAsia" w:ascii="宋体" w:hAnsi="宋体" w:eastAsia="宋体" w:cs="宋体"/>
          <w:color w:val="auto"/>
          <w:kern w:val="2"/>
          <w:sz w:val="24"/>
          <w:szCs w:val="24"/>
          <w:u w:val="none" w:color="000000"/>
          <w:lang w:val="en-US" w:eastAsia="zh-CN" w:bidi="ar-SA"/>
        </w:rPr>
        <w:t>（套）。包括但不限于</w:t>
      </w:r>
      <w:r>
        <w:rPr>
          <w:rFonts w:hint="default" w:ascii="宋体" w:hAnsi="宋体" w:eastAsia="宋体" w:cs="宋体"/>
          <w:color w:val="auto"/>
          <w:kern w:val="2"/>
          <w:sz w:val="24"/>
          <w:szCs w:val="24"/>
          <w:u w:val="none" w:color="000000"/>
          <w:lang w:val="en-US" w:eastAsia="zh-CN" w:bidi="ar-SA"/>
        </w:rPr>
        <w:t>节</w:t>
      </w:r>
      <w:r>
        <w:rPr>
          <w:rFonts w:hint="default" w:ascii="宋体" w:hAnsi="宋体" w:eastAsia="宋体" w:cs="宋体"/>
          <w:color w:val="000000"/>
          <w:kern w:val="2"/>
          <w:sz w:val="24"/>
          <w:szCs w:val="24"/>
          <w:u w:val="none" w:color="000000"/>
          <w:lang w:val="en-US" w:eastAsia="zh-CN" w:bidi="ar-SA"/>
        </w:rPr>
        <w:t>日、节气、区域重大活动海报、长图作品、蓝图海报、动图、策划视频封面图</w:t>
      </w:r>
      <w:r>
        <w:rPr>
          <w:rFonts w:hint="eastAsia" w:ascii="宋体" w:hAnsi="宋体" w:eastAsia="宋体" w:cs="宋体"/>
          <w:color w:val="000000"/>
          <w:kern w:val="2"/>
          <w:sz w:val="24"/>
          <w:szCs w:val="24"/>
          <w:u w:val="none" w:color="000000"/>
          <w:lang w:val="en-US" w:eastAsia="zh-CN" w:bidi="ar-SA"/>
        </w:rPr>
        <w:t>、</w:t>
      </w:r>
      <w:r>
        <w:rPr>
          <w:rFonts w:hint="default" w:ascii="宋体" w:hAnsi="宋体" w:eastAsia="宋体" w:cs="宋体"/>
          <w:color w:val="000000"/>
          <w:kern w:val="2"/>
          <w:sz w:val="24"/>
          <w:szCs w:val="24"/>
          <w:u w:val="none" w:color="000000"/>
          <w:lang w:val="en-US" w:eastAsia="zh-CN" w:bidi="ar-SA"/>
        </w:rPr>
        <w:t>客户端界面设计等</w:t>
      </w:r>
      <w:r>
        <w:rPr>
          <w:rFonts w:hint="eastAsia" w:ascii="宋体" w:hAnsi="宋体" w:eastAsia="宋体" w:cs="宋体"/>
          <w:color w:val="000000"/>
          <w:kern w:val="2"/>
          <w:sz w:val="24"/>
          <w:szCs w:val="24"/>
          <w:u w:val="none" w:color="000000"/>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5、服务期内，通过</w:t>
      </w:r>
      <w:r>
        <w:rPr>
          <w:rFonts w:hint="default" w:ascii="宋体" w:hAnsi="宋体" w:eastAsia="宋体" w:cs="宋体"/>
          <w:color w:val="000000"/>
          <w:kern w:val="2"/>
          <w:sz w:val="24"/>
          <w:szCs w:val="24"/>
          <w:u w:val="none" w:color="000000"/>
          <w:lang w:val="en-US" w:eastAsia="zh-CN" w:bidi="ar-SA"/>
        </w:rPr>
        <w:t>提供</w:t>
      </w:r>
      <w:r>
        <w:rPr>
          <w:rFonts w:hint="eastAsia" w:ascii="宋体" w:hAnsi="宋体" w:eastAsia="宋体" w:cs="宋体"/>
          <w:color w:val="000000"/>
          <w:kern w:val="2"/>
          <w:sz w:val="24"/>
          <w:szCs w:val="24"/>
          <w:u w:val="none" w:color="000000"/>
          <w:lang w:val="en-US" w:eastAsia="zh-CN" w:bidi="ar-SA"/>
        </w:rPr>
        <w:t>导播、拉流转发实现不低于10</w:t>
      </w:r>
      <w:r>
        <w:rPr>
          <w:rFonts w:hint="default" w:ascii="宋体" w:hAnsi="宋体" w:eastAsia="宋体" w:cs="宋体"/>
          <w:color w:val="000000"/>
          <w:kern w:val="2"/>
          <w:sz w:val="24"/>
          <w:szCs w:val="24"/>
          <w:u w:val="none" w:color="000000"/>
          <w:lang w:val="en-US" w:eastAsia="zh-CN" w:bidi="ar-SA"/>
        </w:rPr>
        <w:t>场新媒体</w:t>
      </w:r>
      <w:r>
        <w:rPr>
          <w:rFonts w:hint="eastAsia" w:ascii="宋体" w:hAnsi="宋体" w:eastAsia="宋体" w:cs="宋体"/>
          <w:color w:val="000000"/>
          <w:kern w:val="2"/>
          <w:sz w:val="24"/>
          <w:szCs w:val="24"/>
          <w:u w:val="none" w:color="000000"/>
          <w:lang w:val="en-US" w:eastAsia="zh-CN" w:bidi="ar-SA"/>
        </w:rPr>
        <w:t>平台（云上临空港、抖音、微博、视频号）</w:t>
      </w:r>
      <w:r>
        <w:rPr>
          <w:rFonts w:hint="default" w:ascii="宋体" w:hAnsi="宋体" w:eastAsia="宋体" w:cs="宋体"/>
          <w:color w:val="000000"/>
          <w:kern w:val="2"/>
          <w:sz w:val="24"/>
          <w:szCs w:val="24"/>
          <w:u w:val="none" w:color="000000"/>
          <w:lang w:val="en-US" w:eastAsia="zh-CN" w:bidi="ar-SA"/>
        </w:rPr>
        <w:t>直播服务</w:t>
      </w:r>
      <w:r>
        <w:rPr>
          <w:rFonts w:hint="eastAsia" w:ascii="宋体" w:hAnsi="宋体" w:eastAsia="宋体" w:cs="宋体"/>
          <w:color w:val="000000"/>
          <w:kern w:val="2"/>
          <w:sz w:val="24"/>
          <w:szCs w:val="24"/>
          <w:u w:val="none" w:color="000000"/>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6、服务期内，完成不低于10条播放量达100万+抖音产品。</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7、以上新媒体视觉创意产品，全网推发，至少3篇产品在央级平台转发。</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8、服务期内，提供不少于4人次的省级媒体跟班实习；为融媒体中心采编人员提供不少于15人次的业务培训3次。</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240" w:firstLineChars="100"/>
        <w:textAlignment w:val="auto"/>
        <w:rPr>
          <w:rFonts w:hint="eastAsia" w:ascii="宋体" w:hAnsi="宋体" w:eastAsia="宋体" w:cs="宋体"/>
          <w:color w:val="000000"/>
          <w:kern w:val="2"/>
          <w:sz w:val="24"/>
          <w:szCs w:val="24"/>
          <w:u w:val="none" w:color="000000"/>
          <w:lang w:val="zh-TW" w:eastAsia="zh-TW" w:bidi="ar-SA"/>
        </w:rPr>
      </w:pPr>
      <w:r>
        <w:rPr>
          <w:rFonts w:hint="eastAsia" w:ascii="宋体" w:hAnsi="宋体" w:eastAsia="宋体" w:cs="宋体"/>
          <w:color w:val="000000"/>
          <w:kern w:val="2"/>
          <w:sz w:val="24"/>
          <w:szCs w:val="24"/>
          <w:u w:val="none" w:color="000000"/>
          <w:lang w:val="en-US" w:eastAsia="zh-CN" w:bidi="ar-SA"/>
        </w:rPr>
        <w:t xml:space="preserve">  9、服务期内，为融媒体中心视频团队提供策划、摄制、包装智力及技术支持。</w:t>
      </w:r>
    </w:p>
    <w:p>
      <w:pPr>
        <w:pStyle w:val="2"/>
        <w:rPr>
          <w:rFonts w:hint="eastAsia" w:ascii="宋体" w:hAnsi="宋体"/>
          <w:sz w:val="24"/>
        </w:rPr>
      </w:pPr>
    </w:p>
    <w:p>
      <w:pPr>
        <w:pStyle w:val="4"/>
        <w:jc w:val="both"/>
        <w:rPr>
          <w:rFonts w:hint="eastAsia" w:ascii="仿宋" w:hAnsi="仿宋" w:eastAsia="仿宋" w:cs="仿宋"/>
        </w:rPr>
      </w:pPr>
      <w:bookmarkStart w:id="30" w:name="_Toc16592"/>
      <w:bookmarkStart w:id="31" w:name="_Toc18777"/>
      <w:bookmarkStart w:id="32" w:name="_Toc11655"/>
      <w:bookmarkStart w:id="33" w:name="_Toc11478"/>
      <w:r>
        <w:rPr>
          <w:rFonts w:hint="eastAsia" w:ascii="仿宋" w:hAnsi="仿宋" w:eastAsia="仿宋" w:cs="仿宋"/>
        </w:rPr>
        <w:t>四、项目验收标准</w:t>
      </w:r>
      <w:bookmarkEnd w:id="30"/>
      <w:bookmarkEnd w:id="31"/>
      <w:bookmarkEnd w:id="32"/>
      <w:bookmarkEnd w:id="33"/>
    </w:p>
    <w:p>
      <w:pPr>
        <w:widowControl/>
        <w:spacing w:line="520" w:lineRule="exact"/>
        <w:ind w:firstLine="480" w:firstLineChars="200"/>
        <w:jc w:val="left"/>
        <w:textAlignment w:val="center"/>
        <w:rPr>
          <w:rFonts w:hint="eastAsia" w:ascii="宋体" w:hAnsi="宋体"/>
          <w:sz w:val="24"/>
        </w:rPr>
      </w:pPr>
      <w:r>
        <w:rPr>
          <w:rFonts w:hint="eastAsia" w:ascii="宋体" w:hAnsi="宋体"/>
          <w:sz w:val="24"/>
        </w:rPr>
        <w:t xml:space="preserve">1、验收方案要求： </w:t>
      </w:r>
    </w:p>
    <w:p>
      <w:pPr>
        <w:widowControl/>
        <w:spacing w:line="520" w:lineRule="exact"/>
        <w:ind w:firstLine="480" w:firstLineChars="200"/>
        <w:jc w:val="left"/>
        <w:textAlignment w:val="center"/>
        <w:rPr>
          <w:rFonts w:ascii="宋体" w:hAnsi="宋体" w:cs="宋体"/>
          <w:sz w:val="24"/>
        </w:rPr>
      </w:pPr>
      <w:r>
        <w:rPr>
          <w:rFonts w:ascii="宋体" w:hAnsi="宋体" w:cs="宋体"/>
          <w:sz w:val="24"/>
        </w:rPr>
        <w:t xml:space="preserve">（1）采购人检查。采购人对供应商提交资料及相关成果资料检查，检查成果的完整性、现势性等相关内容； </w:t>
      </w:r>
    </w:p>
    <w:p>
      <w:pPr>
        <w:widowControl/>
        <w:spacing w:line="520" w:lineRule="exact"/>
        <w:ind w:firstLine="480" w:firstLineChars="200"/>
        <w:jc w:val="left"/>
        <w:textAlignment w:val="center"/>
        <w:rPr>
          <w:rFonts w:hint="eastAsia" w:ascii="宋体" w:hAnsi="宋体"/>
          <w:sz w:val="24"/>
        </w:rPr>
      </w:pPr>
      <w:r>
        <w:rPr>
          <w:rFonts w:ascii="宋体" w:hAnsi="宋体" w:cs="宋体"/>
          <w:sz w:val="24"/>
        </w:rPr>
        <w:t>（2）组织验收。相关成果经采购人检查后组织验收，就成果规范性、准确性、 完整性等内容检查验收，对不合格情况需整改，直至通过验收</w:t>
      </w:r>
      <w:r>
        <w:rPr>
          <w:rFonts w:hint="eastAsia" w:ascii="宋体" w:hAnsi="宋体"/>
          <w:sz w:val="24"/>
        </w:rPr>
        <w:t>。</w:t>
      </w:r>
    </w:p>
    <w:p>
      <w:pPr>
        <w:widowControl/>
        <w:spacing w:line="520" w:lineRule="exact"/>
        <w:ind w:firstLine="480" w:firstLineChars="200"/>
        <w:jc w:val="left"/>
        <w:textAlignment w:val="center"/>
        <w:rPr>
          <w:rFonts w:hint="eastAsia" w:ascii="宋体" w:hAnsi="宋体"/>
          <w:sz w:val="24"/>
        </w:rPr>
      </w:pPr>
      <w:r>
        <w:rPr>
          <w:rFonts w:hint="eastAsia" w:ascii="宋体" w:hAnsi="宋体"/>
          <w:sz w:val="24"/>
        </w:rPr>
        <w:t>2、验收资料要求：验收过程中的资料按采购人要求全部整理归档，按采购人要求时间提供。</w:t>
      </w:r>
    </w:p>
    <w:bookmarkEnd w:id="24"/>
    <w:bookmarkEnd w:id="25"/>
    <w:p>
      <w:pPr>
        <w:pStyle w:val="4"/>
        <w:jc w:val="both"/>
        <w:rPr>
          <w:rFonts w:hint="eastAsia" w:ascii="仿宋" w:hAnsi="仿宋" w:eastAsia="仿宋" w:cs="仿宋"/>
        </w:rPr>
      </w:pPr>
      <w:bookmarkStart w:id="34" w:name="_Toc17306"/>
      <w:bookmarkStart w:id="35" w:name="_Toc32686"/>
      <w:bookmarkStart w:id="36" w:name="_Toc18105"/>
      <w:bookmarkStart w:id="37" w:name="_Toc24133"/>
      <w:bookmarkStart w:id="38" w:name="_Toc536622573"/>
      <w:r>
        <w:rPr>
          <w:rFonts w:hint="eastAsia" w:ascii="仿宋" w:hAnsi="仿宋" w:eastAsia="仿宋" w:cs="仿宋"/>
        </w:rPr>
        <w:t>★五、报价要求</w:t>
      </w:r>
      <w:bookmarkEnd w:id="34"/>
      <w:bookmarkEnd w:id="35"/>
      <w:bookmarkEnd w:id="36"/>
      <w:r>
        <w:rPr>
          <w:rFonts w:hint="eastAsia" w:ascii="仿宋" w:hAnsi="仿宋" w:eastAsia="仿宋" w:cs="仿宋"/>
        </w:rPr>
        <w:t>（投标人需提供书面承诺）</w:t>
      </w:r>
      <w:bookmarkEnd w:id="37"/>
    </w:p>
    <w:bookmarkEnd w:id="38"/>
    <w:p>
      <w:pPr>
        <w:tabs>
          <w:tab w:val="left" w:pos="1155"/>
        </w:tabs>
        <w:spacing w:line="520" w:lineRule="exact"/>
        <w:ind w:firstLine="480" w:firstLineChars="200"/>
        <w:rPr>
          <w:rFonts w:hint="eastAsia" w:ascii="宋体" w:hAnsi="宋体"/>
          <w:sz w:val="24"/>
        </w:rPr>
      </w:pPr>
      <w:r>
        <w:rPr>
          <w:rFonts w:hint="eastAsia" w:ascii="宋体" w:hAnsi="宋体"/>
          <w:sz w:val="24"/>
        </w:rPr>
        <w:t>1、</w:t>
      </w:r>
      <w:r>
        <w:rPr>
          <w:rFonts w:ascii="宋体" w:hAnsi="宋体" w:cs="宋体"/>
          <w:sz w:val="24"/>
        </w:rPr>
        <w:t>投标报价应为完成本次采购范围内全部内容的所有费用,报价应包括工资、奖 金、补贴、加班费、技术工作费、差旅费、管理费、利润和税金等所有费用。</w:t>
      </w:r>
      <w:r>
        <w:rPr>
          <w:rFonts w:hint="eastAsia" w:ascii="宋体" w:hAnsi="宋体" w:cs="宋体"/>
          <w:sz w:val="24"/>
        </w:rPr>
        <w:t>供应商</w:t>
      </w:r>
      <w:r>
        <w:rPr>
          <w:rFonts w:ascii="宋体" w:hAnsi="宋体" w:cs="宋体"/>
          <w:sz w:val="24"/>
        </w:rPr>
        <w:t>对报价的准确性负责，任何漏报、错报等均是投标人的风险。</w:t>
      </w:r>
      <w:r>
        <w:rPr>
          <w:rFonts w:hint="eastAsia" w:ascii="宋体" w:hAnsi="宋体"/>
          <w:sz w:val="24"/>
        </w:rPr>
        <w:t>。</w:t>
      </w:r>
    </w:p>
    <w:p>
      <w:pPr>
        <w:tabs>
          <w:tab w:val="left" w:pos="1155"/>
        </w:tabs>
        <w:spacing w:line="520" w:lineRule="exact"/>
        <w:ind w:firstLine="480" w:firstLineChars="200"/>
        <w:rPr>
          <w:rFonts w:hint="eastAsia" w:ascii="宋体" w:hAnsi="宋体"/>
          <w:sz w:val="24"/>
        </w:rPr>
      </w:pPr>
      <w:r>
        <w:rPr>
          <w:rFonts w:hint="eastAsia" w:ascii="宋体" w:hAnsi="宋体"/>
          <w:sz w:val="24"/>
        </w:rPr>
        <w:t>2、本项目为“交钥匙项目”，投标人须对项目清单中未列出，而实现项目功能又必须的产品、材料在投标文件中一次性完整报价。若中标，成交人不得以任何理由在项目招标范围内提出增加费用的要求，否则采购人有权不予签订政府采购合同，并可向成交人索赔因此而造成的损失。</w:t>
      </w:r>
    </w:p>
    <w:p>
      <w:pPr>
        <w:pStyle w:val="4"/>
        <w:jc w:val="both"/>
        <w:rPr>
          <w:rFonts w:hint="eastAsia" w:ascii="仿宋" w:hAnsi="仿宋" w:eastAsia="仿宋" w:cs="仿宋"/>
          <w:lang w:val="en-US" w:eastAsia="zh-CN"/>
        </w:rPr>
      </w:pPr>
      <w:bookmarkStart w:id="39" w:name="_Toc10783"/>
      <w:r>
        <w:rPr>
          <w:rFonts w:hint="eastAsia" w:ascii="仿宋" w:hAnsi="仿宋" w:eastAsia="仿宋" w:cs="仿宋"/>
        </w:rPr>
        <w:t>六、</w:t>
      </w:r>
      <w:r>
        <w:rPr>
          <w:rFonts w:hint="eastAsia" w:ascii="仿宋" w:hAnsi="仿宋" w:eastAsia="仿宋" w:cs="仿宋"/>
          <w:lang w:val="en-US" w:eastAsia="zh-CN"/>
        </w:rPr>
        <w:t>项目团队人员</w:t>
      </w:r>
      <w:bookmarkEnd w:id="39"/>
    </w:p>
    <w:p>
      <w:pPr>
        <w:tabs>
          <w:tab w:val="left" w:pos="1155"/>
        </w:tabs>
        <w:spacing w:line="520" w:lineRule="exact"/>
        <w:ind w:firstLine="480" w:firstLineChars="200"/>
        <w:rPr>
          <w:rFonts w:hint="eastAsia" w:ascii="宋体" w:hAnsi="宋体"/>
          <w:sz w:val="24"/>
        </w:rPr>
      </w:pPr>
      <w:r>
        <w:rPr>
          <w:rFonts w:hint="eastAsia"/>
          <w:sz w:val="24"/>
        </w:rPr>
        <w:t>本项目服务团队需具备相应的工作经验。供应商须保证项目服务团队成员的稳定性，保证项目效率及效果，满足采购方的质量和效率要求。供应商须严格管理服务团队人员，对影响项目建设进度、质量行为负全部责任；采购方可以要求供应商更换服务人员，以达到采购方的需求；供应商须安排一位常务联系人和紧急情况联系人，以保证联系的畅通和问题的及时处理。</w:t>
      </w:r>
    </w:p>
    <w:p>
      <w:pPr>
        <w:pStyle w:val="4"/>
        <w:jc w:val="both"/>
        <w:rPr>
          <w:rFonts w:hint="eastAsia" w:ascii="仿宋" w:hAnsi="仿宋" w:eastAsia="仿宋" w:cs="仿宋"/>
        </w:rPr>
      </w:pPr>
      <w:bookmarkStart w:id="40" w:name="_Toc21571"/>
      <w:bookmarkStart w:id="41" w:name="_Toc1897"/>
      <w:bookmarkStart w:id="42" w:name="_Toc27841"/>
      <w:r>
        <w:rPr>
          <w:rFonts w:hint="eastAsia" w:ascii="仿宋" w:hAnsi="仿宋" w:eastAsia="仿宋" w:cs="仿宋"/>
          <w:lang w:val="en-US" w:eastAsia="zh-CN"/>
        </w:rPr>
        <w:t>七</w:t>
      </w:r>
      <w:r>
        <w:rPr>
          <w:rFonts w:hint="eastAsia" w:ascii="仿宋" w:hAnsi="仿宋" w:eastAsia="仿宋" w:cs="仿宋"/>
        </w:rPr>
        <w:t>、其他要求</w:t>
      </w:r>
      <w:bookmarkEnd w:id="40"/>
      <w:bookmarkEnd w:id="41"/>
      <w:bookmarkEnd w:id="42"/>
    </w:p>
    <w:p>
      <w:pPr>
        <w:tabs>
          <w:tab w:val="left" w:pos="1155"/>
        </w:tabs>
        <w:spacing w:line="520" w:lineRule="exact"/>
        <w:ind w:firstLine="480" w:firstLineChars="200"/>
        <w:rPr>
          <w:rFonts w:ascii="宋体" w:hAnsi="宋体" w:cs="宋体"/>
          <w:sz w:val="24"/>
        </w:rPr>
      </w:pPr>
      <w:r>
        <w:rPr>
          <w:rFonts w:ascii="宋体" w:hAnsi="宋体" w:cs="宋体"/>
          <w:sz w:val="24"/>
        </w:rPr>
        <w:t>1、保密要求：本项目涉及的资料及成果内容应当严格按照国家保密法律法规规 定，加强安全保密管理工作，建立完善的数据保密管理制度。项目实施过程中各项资料准确、完整，同时做好档案归档和管理工作，随时方便采购人及相关部门使用。未经采购人许可，不得向任何第三方泄漏有关项目的信息和所有资料。</w:t>
      </w:r>
    </w:p>
    <w:p>
      <w:pPr>
        <w:tabs>
          <w:tab w:val="left" w:pos="1155"/>
        </w:tabs>
        <w:spacing w:line="520" w:lineRule="exact"/>
        <w:ind w:firstLine="480" w:firstLineChars="200"/>
        <w:rPr>
          <w:rFonts w:ascii="宋体" w:hAnsi="宋体" w:cs="宋体"/>
          <w:sz w:val="24"/>
        </w:rPr>
      </w:pPr>
      <w:r>
        <w:rPr>
          <w:rFonts w:ascii="宋体" w:hAnsi="宋体" w:cs="宋体"/>
          <w:sz w:val="24"/>
        </w:rPr>
        <w:t>2、积极与采购人进行信息交流，定期汇报工程进度情况，接到项目任务时随叫 随到，及时完成项目要求的工作，确保项目成果满足采购人需求。</w:t>
      </w:r>
    </w:p>
    <w:p>
      <w:pPr>
        <w:tabs>
          <w:tab w:val="left" w:pos="1155"/>
        </w:tabs>
        <w:spacing w:line="520" w:lineRule="exact"/>
        <w:ind w:firstLine="480" w:firstLineChars="200"/>
        <w:rPr>
          <w:rFonts w:hint="eastAsia" w:ascii="宋体" w:hAnsi="宋体"/>
          <w:sz w:val="24"/>
        </w:rPr>
      </w:pPr>
      <w:r>
        <w:rPr>
          <w:rFonts w:ascii="宋体" w:hAnsi="宋体" w:cs="宋体"/>
          <w:sz w:val="24"/>
        </w:rPr>
        <w:t>3、在服务期限内提供与项目相关咨询、协调等技术支持，并确保项目成果满足采购人要求。</w:t>
      </w:r>
    </w:p>
    <w:bookmarkEnd w:id="3"/>
    <w:bookmarkEnd w:id="4"/>
    <w:bookmarkEnd w:id="5"/>
    <w:p>
      <w:pPr>
        <w:rPr>
          <w:rFonts w:hint="eastAsia"/>
          <w:b/>
          <w:bCs/>
          <w:sz w:val="32"/>
          <w:szCs w:val="32"/>
        </w:rPr>
      </w:pPr>
      <w:r>
        <w:rPr>
          <w:rFonts w:hint="eastAsia"/>
          <w:b/>
          <w:bCs/>
          <w:sz w:val="32"/>
          <w:szCs w:val="32"/>
        </w:rPr>
        <w:br w:type="page"/>
      </w:r>
    </w:p>
    <w:p>
      <w:pPr>
        <w:pStyle w:val="2"/>
        <w:rPr>
          <w:rFonts w:hint="eastAsia"/>
        </w:rPr>
      </w:pPr>
    </w:p>
    <w:p>
      <w:pPr>
        <w:numPr>
          <w:ilvl w:val="0"/>
          <w:numId w:val="1"/>
        </w:numPr>
        <w:bidi w:val="0"/>
        <w:ind w:left="0" w:leftChars="0" w:firstLine="0" w:firstLineChars="0"/>
        <w:jc w:val="center"/>
        <w:rPr>
          <w:rFonts w:hint="eastAsia"/>
          <w:b/>
          <w:bCs/>
          <w:sz w:val="32"/>
          <w:szCs w:val="32"/>
        </w:rPr>
      </w:pPr>
      <w:r>
        <w:rPr>
          <w:rFonts w:hint="eastAsia"/>
          <w:b/>
          <w:bCs/>
          <w:sz w:val="32"/>
          <w:szCs w:val="32"/>
        </w:rPr>
        <w:t xml:space="preserve"> 资格审查与评标办法</w:t>
      </w:r>
    </w:p>
    <w:p>
      <w:pPr>
        <w:spacing w:line="500" w:lineRule="exact"/>
        <w:ind w:firstLine="480" w:firstLineChars="200"/>
        <w:rPr>
          <w:rFonts w:hint="eastAsia" w:ascii="宋体" w:hAnsi="宋体" w:cs="宋体"/>
          <w:sz w:val="24"/>
        </w:rPr>
      </w:pPr>
      <w:r>
        <w:rPr>
          <w:rFonts w:hint="eastAsia" w:ascii="宋体" w:hAnsi="宋体" w:cs="宋体"/>
          <w:sz w:val="24"/>
        </w:rPr>
        <w:t>根据《中华人民共和国政府采购法》、《中华人民共和国政府采购法实施条例》、《政府采购竞争性磋商采购方式管理暂行办法》（财库[2014]214号）等有关法律、法规和规章的规定，确定以下评审办法。</w:t>
      </w:r>
    </w:p>
    <w:p>
      <w:pPr>
        <w:pStyle w:val="4"/>
        <w:spacing w:line="500" w:lineRule="exact"/>
        <w:ind w:firstLine="562" w:firstLineChars="200"/>
        <w:jc w:val="both"/>
        <w:rPr>
          <w:rFonts w:hint="eastAsia" w:ascii="仿宋" w:hAnsi="仿宋" w:eastAsia="仿宋" w:cs="仿宋"/>
        </w:rPr>
      </w:pPr>
      <w:bookmarkStart w:id="43" w:name="_Toc986"/>
      <w:bookmarkStart w:id="44" w:name="_Toc13294"/>
      <w:bookmarkStart w:id="45" w:name="_Toc31613"/>
      <w:bookmarkStart w:id="46" w:name="_Toc25163"/>
      <w:r>
        <w:rPr>
          <w:rFonts w:hint="eastAsia" w:ascii="仿宋" w:hAnsi="仿宋" w:eastAsia="仿宋" w:cs="仿宋"/>
        </w:rPr>
        <w:t>一、评审方法</w:t>
      </w:r>
      <w:bookmarkEnd w:id="43"/>
      <w:bookmarkEnd w:id="44"/>
      <w:bookmarkEnd w:id="45"/>
      <w:bookmarkEnd w:id="46"/>
    </w:p>
    <w:p>
      <w:pPr>
        <w:spacing w:line="500" w:lineRule="exact"/>
        <w:ind w:firstLine="480" w:firstLineChars="200"/>
        <w:rPr>
          <w:rFonts w:hint="eastAsia" w:ascii="宋体" w:hAnsi="宋体" w:cs="宋体"/>
          <w:sz w:val="24"/>
        </w:rPr>
      </w:pPr>
      <w:r>
        <w:rPr>
          <w:rFonts w:hint="eastAsia" w:ascii="宋体" w:hAnsi="宋体" w:cs="宋体"/>
          <w:sz w:val="24"/>
        </w:rPr>
        <w:t>本次评审采用综合评分法，是指响应文件满足磋商文件全部实质性要求且按照评审因素的量化指标评审得分最高的供应商为成交候选供应商的评审方法。</w:t>
      </w:r>
    </w:p>
    <w:p>
      <w:pPr>
        <w:pStyle w:val="4"/>
        <w:spacing w:line="500" w:lineRule="exact"/>
        <w:ind w:firstLine="562" w:firstLineChars="200"/>
        <w:jc w:val="both"/>
        <w:rPr>
          <w:rFonts w:hint="eastAsia" w:ascii="仿宋" w:hAnsi="仿宋" w:eastAsia="仿宋" w:cs="仿宋"/>
        </w:rPr>
      </w:pPr>
      <w:bookmarkStart w:id="47" w:name="_Toc31728"/>
      <w:bookmarkStart w:id="48" w:name="_Toc25286"/>
      <w:bookmarkStart w:id="49" w:name="_Toc15111"/>
      <w:bookmarkStart w:id="50" w:name="_Toc8386"/>
      <w:r>
        <w:rPr>
          <w:rFonts w:hint="eastAsia" w:ascii="仿宋" w:hAnsi="仿宋" w:eastAsia="仿宋" w:cs="仿宋"/>
        </w:rPr>
        <w:t>二、评审步骤</w:t>
      </w:r>
      <w:bookmarkEnd w:id="47"/>
      <w:bookmarkEnd w:id="48"/>
      <w:bookmarkEnd w:id="49"/>
      <w:bookmarkEnd w:id="50"/>
    </w:p>
    <w:p>
      <w:pPr>
        <w:pStyle w:val="4"/>
        <w:spacing w:line="500" w:lineRule="exact"/>
        <w:ind w:firstLine="562" w:firstLineChars="200"/>
        <w:jc w:val="both"/>
        <w:rPr>
          <w:rFonts w:hint="eastAsia" w:ascii="仿宋" w:hAnsi="仿宋" w:eastAsia="仿宋" w:cs="仿宋"/>
        </w:rPr>
      </w:pPr>
      <w:bookmarkStart w:id="51" w:name="_Toc27890"/>
      <w:bookmarkStart w:id="52" w:name="_Toc2563"/>
      <w:bookmarkStart w:id="53" w:name="_Toc29704"/>
      <w:bookmarkStart w:id="54" w:name="_Toc30589"/>
      <w:r>
        <w:rPr>
          <w:rFonts w:hint="eastAsia" w:ascii="仿宋" w:hAnsi="仿宋" w:eastAsia="仿宋" w:cs="仿宋"/>
        </w:rPr>
        <w:t>（一）资格审查</w:t>
      </w:r>
      <w:bookmarkEnd w:id="51"/>
      <w:bookmarkEnd w:id="52"/>
      <w:bookmarkEnd w:id="53"/>
      <w:bookmarkEnd w:id="54"/>
    </w:p>
    <w:p>
      <w:pPr>
        <w:spacing w:line="500" w:lineRule="exact"/>
        <w:ind w:firstLine="480" w:firstLineChars="200"/>
        <w:rPr>
          <w:rFonts w:hint="eastAsia" w:ascii="宋体" w:hAnsi="宋体" w:cs="宋体"/>
          <w:b/>
          <w:sz w:val="24"/>
        </w:rPr>
      </w:pPr>
      <w:r>
        <w:rPr>
          <w:rFonts w:hint="eastAsia" w:ascii="宋体" w:hAnsi="宋体" w:cs="宋体"/>
          <w:sz w:val="24"/>
        </w:rPr>
        <w:t>磋商小组依据法律法规和磋商文件的规定，对响应文件中的资格证明材料进行审查，以确定供应商是否具备磋商资格，</w:t>
      </w:r>
      <w:r>
        <w:rPr>
          <w:rFonts w:hint="eastAsia" w:ascii="宋体" w:hAnsi="宋体" w:cs="宋体"/>
          <w:b/>
          <w:sz w:val="24"/>
        </w:rPr>
        <w:t>具体审查因素详见《资格审查表》（附表1）。</w:t>
      </w:r>
    </w:p>
    <w:p>
      <w:pPr>
        <w:pStyle w:val="4"/>
        <w:spacing w:line="500" w:lineRule="exact"/>
        <w:ind w:firstLine="562" w:firstLineChars="200"/>
        <w:jc w:val="both"/>
        <w:rPr>
          <w:rFonts w:hint="eastAsia" w:ascii="仿宋" w:hAnsi="仿宋" w:eastAsia="仿宋" w:cs="仿宋"/>
        </w:rPr>
      </w:pPr>
      <w:bookmarkStart w:id="55" w:name="_Toc13653"/>
      <w:bookmarkStart w:id="56" w:name="_Toc6989"/>
      <w:bookmarkStart w:id="57" w:name="_Toc27918"/>
      <w:bookmarkStart w:id="58" w:name="_Toc29624"/>
      <w:r>
        <w:rPr>
          <w:rFonts w:hint="eastAsia" w:ascii="仿宋" w:hAnsi="仿宋" w:eastAsia="仿宋" w:cs="仿宋"/>
        </w:rPr>
        <w:t>（二）符合性审查</w:t>
      </w:r>
      <w:bookmarkEnd w:id="55"/>
      <w:bookmarkEnd w:id="56"/>
      <w:bookmarkEnd w:id="57"/>
      <w:bookmarkEnd w:id="58"/>
    </w:p>
    <w:p>
      <w:pPr>
        <w:spacing w:line="500" w:lineRule="exact"/>
        <w:ind w:firstLine="480" w:firstLineChars="200"/>
        <w:rPr>
          <w:rFonts w:hint="eastAsia" w:ascii="宋体" w:hAnsi="宋体" w:cs="宋体"/>
          <w:b/>
          <w:sz w:val="24"/>
        </w:rPr>
      </w:pPr>
      <w:r>
        <w:rPr>
          <w:rFonts w:hint="eastAsia" w:ascii="宋体" w:hAnsi="宋体" w:cs="宋体"/>
          <w:sz w:val="24"/>
        </w:rPr>
        <w:t>磋商小组依据磋商文件的规定，从响应文件的有效性、完整性和对磋商文件的响应程度进行审查，以确定是否对磋商文件的实质性要求作出响应，</w:t>
      </w:r>
      <w:r>
        <w:rPr>
          <w:rFonts w:hint="eastAsia" w:ascii="宋体" w:hAnsi="宋体" w:cs="宋体"/>
          <w:b/>
          <w:sz w:val="24"/>
        </w:rPr>
        <w:t>具体审查因素详见《符合性审查表》（附表2）。</w:t>
      </w:r>
    </w:p>
    <w:p>
      <w:pPr>
        <w:pStyle w:val="4"/>
        <w:spacing w:line="500" w:lineRule="exact"/>
        <w:ind w:firstLine="562" w:firstLineChars="200"/>
        <w:jc w:val="both"/>
        <w:rPr>
          <w:rFonts w:hint="eastAsia" w:ascii="仿宋" w:hAnsi="仿宋" w:eastAsia="仿宋" w:cs="仿宋"/>
        </w:rPr>
      </w:pPr>
      <w:bookmarkStart w:id="59" w:name="_Toc23732"/>
      <w:bookmarkStart w:id="60" w:name="_Toc29755"/>
      <w:bookmarkStart w:id="61" w:name="_Toc10502"/>
      <w:bookmarkStart w:id="62" w:name="_Toc21573"/>
      <w:r>
        <w:rPr>
          <w:rFonts w:hint="eastAsia" w:ascii="仿宋" w:hAnsi="仿宋" w:eastAsia="仿宋" w:cs="仿宋"/>
        </w:rPr>
        <w:t>（三）澄清有关问题（如有）</w:t>
      </w:r>
      <w:bookmarkEnd w:id="59"/>
      <w:bookmarkEnd w:id="60"/>
      <w:bookmarkEnd w:id="61"/>
      <w:bookmarkEnd w:id="62"/>
    </w:p>
    <w:p>
      <w:pPr>
        <w:spacing w:line="500" w:lineRule="exact"/>
        <w:ind w:firstLine="480" w:firstLineChars="200"/>
        <w:rPr>
          <w:rFonts w:hint="eastAsia" w:ascii="宋体" w:hAnsi="宋体" w:cs="宋体"/>
          <w:sz w:val="24"/>
        </w:rPr>
      </w:pPr>
      <w:r>
        <w:rPr>
          <w:rFonts w:hint="eastAsia" w:ascii="宋体" w:hAnsi="宋体" w:cs="宋体"/>
          <w:sz w:val="24"/>
        </w:rPr>
        <w:t>磋商小组对响应文件中含义不明确、同类问题表述不一致或者有明显文字和计算错误的内容，以书面形式（应当由磋商小组专家签字）要求供应商做出必要的澄清、说明或者纠正。供应商的澄清、说明或者补正应通过政府采购电子交易系统提交。</w:t>
      </w:r>
    </w:p>
    <w:p>
      <w:pPr>
        <w:spacing w:line="500" w:lineRule="exact"/>
        <w:ind w:firstLine="480" w:firstLineChars="200"/>
        <w:rPr>
          <w:rFonts w:hint="eastAsia" w:ascii="宋体" w:hAnsi="宋体" w:cs="宋体"/>
          <w:sz w:val="24"/>
        </w:rPr>
      </w:pPr>
      <w:r>
        <w:rPr>
          <w:rFonts w:hint="eastAsia" w:ascii="宋体" w:hAnsi="宋体" w:cs="宋体"/>
          <w:sz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4"/>
        <w:bidi w:val="0"/>
        <w:jc w:val="left"/>
        <w:rPr>
          <w:rFonts w:hint="eastAsia"/>
        </w:rPr>
      </w:pPr>
      <w:bookmarkStart w:id="63" w:name="_Toc5094151"/>
      <w:bookmarkStart w:id="64" w:name="_Toc14256"/>
      <w:bookmarkStart w:id="65" w:name="_Toc21086"/>
      <w:bookmarkStart w:id="66" w:name="_Toc3455"/>
      <w:bookmarkStart w:id="67" w:name="_Toc10412"/>
      <w:r>
        <w:rPr>
          <w:rFonts w:hint="eastAsia"/>
        </w:rPr>
        <w:t>（四）评价</w:t>
      </w:r>
      <w:bookmarkEnd w:id="63"/>
      <w:r>
        <w:rPr>
          <w:rFonts w:hint="eastAsia"/>
        </w:rPr>
        <w:t>与计分</w:t>
      </w:r>
      <w:bookmarkEnd w:id="64"/>
      <w:bookmarkEnd w:id="65"/>
      <w:bookmarkEnd w:id="66"/>
      <w:bookmarkEnd w:id="67"/>
    </w:p>
    <w:p>
      <w:pPr>
        <w:spacing w:line="500" w:lineRule="exact"/>
        <w:ind w:firstLine="480" w:firstLineChars="200"/>
        <w:rPr>
          <w:rFonts w:hint="eastAsia" w:ascii="宋体" w:hAnsi="宋体" w:cs="宋体"/>
          <w:b/>
          <w:sz w:val="24"/>
        </w:rPr>
      </w:pPr>
      <w:r>
        <w:rPr>
          <w:rFonts w:hint="eastAsia" w:ascii="宋体" w:hAnsi="宋体" w:cs="宋体"/>
          <w:sz w:val="24"/>
        </w:rPr>
        <w:t>1、磋商小组成员按磋商文件中规定的评标办法和标准，独立对资格审查和符合性审查合格的响应文件进行评价，并按</w:t>
      </w:r>
      <w:r>
        <w:rPr>
          <w:rFonts w:hint="eastAsia" w:ascii="宋体" w:hAnsi="宋体" w:cs="宋体"/>
          <w:b/>
          <w:sz w:val="24"/>
        </w:rPr>
        <w:t>《评分标准表》（附表3）</w:t>
      </w:r>
      <w:r>
        <w:rPr>
          <w:rFonts w:hint="eastAsia" w:ascii="宋体" w:hAnsi="宋体" w:cs="宋体"/>
          <w:sz w:val="24"/>
        </w:rPr>
        <w:t>给各响应文件打分，商务、技术、价格三部分的总分为供应商的评定分数。</w:t>
      </w:r>
    </w:p>
    <w:p>
      <w:pPr>
        <w:spacing w:line="500" w:lineRule="exact"/>
        <w:ind w:firstLine="480" w:firstLineChars="200"/>
        <w:rPr>
          <w:rFonts w:hint="eastAsia" w:ascii="宋体" w:hAnsi="宋体" w:cs="宋体"/>
          <w:sz w:val="24"/>
        </w:rPr>
      </w:pPr>
      <w:r>
        <w:rPr>
          <w:rFonts w:hint="eastAsia" w:ascii="宋体" w:hAnsi="宋体" w:cs="宋体"/>
          <w:sz w:val="24"/>
        </w:rPr>
        <w:t>2、计分办法</w:t>
      </w:r>
    </w:p>
    <w:p>
      <w:pPr>
        <w:spacing w:line="500" w:lineRule="exact"/>
        <w:ind w:firstLine="480" w:firstLineChars="200"/>
        <w:rPr>
          <w:rFonts w:hint="eastAsia" w:ascii="宋体" w:hAnsi="宋体" w:cs="宋体"/>
          <w:sz w:val="24"/>
        </w:rPr>
      </w:pPr>
      <w:r>
        <w:rPr>
          <w:rFonts w:hint="eastAsia" w:ascii="宋体" w:hAnsi="宋体" w:cs="宋体"/>
          <w:sz w:val="24"/>
        </w:rPr>
        <w:t>（1）各供应商的最终得分为各评委所评定分数的算术平均值。</w:t>
      </w:r>
    </w:p>
    <w:p>
      <w:pPr>
        <w:spacing w:line="500" w:lineRule="exact"/>
        <w:ind w:firstLine="480" w:firstLineChars="200"/>
        <w:rPr>
          <w:rFonts w:hint="eastAsia" w:ascii="宋体" w:hAnsi="宋体" w:cs="宋体"/>
          <w:sz w:val="24"/>
        </w:rPr>
      </w:pPr>
      <w:r>
        <w:rPr>
          <w:rFonts w:hint="eastAsia" w:ascii="宋体" w:hAnsi="宋体" w:cs="宋体"/>
          <w:sz w:val="24"/>
        </w:rPr>
        <w:t>（2）最终评分结果按四舍五入方法精确到小数点后两位。</w:t>
      </w:r>
    </w:p>
    <w:p>
      <w:pPr>
        <w:pStyle w:val="4"/>
        <w:spacing w:line="500" w:lineRule="exact"/>
        <w:ind w:firstLine="562" w:firstLineChars="200"/>
        <w:jc w:val="both"/>
        <w:rPr>
          <w:rFonts w:hint="eastAsia" w:cs="宋体"/>
        </w:rPr>
      </w:pPr>
      <w:bookmarkStart w:id="68" w:name="_Toc4137"/>
      <w:bookmarkStart w:id="69" w:name="_Toc23792"/>
      <w:bookmarkStart w:id="70" w:name="_Toc15811"/>
      <w:bookmarkStart w:id="71" w:name="_Toc13886"/>
      <w:r>
        <w:rPr>
          <w:rFonts w:hint="eastAsia" w:cs="宋体"/>
        </w:rPr>
        <w:t>（五）推荐成交候选供应商</w:t>
      </w:r>
      <w:bookmarkEnd w:id="68"/>
      <w:bookmarkEnd w:id="69"/>
      <w:bookmarkEnd w:id="70"/>
      <w:bookmarkEnd w:id="71"/>
    </w:p>
    <w:p>
      <w:pPr>
        <w:spacing w:line="500" w:lineRule="exact"/>
        <w:ind w:firstLine="480" w:firstLineChars="200"/>
        <w:rPr>
          <w:rFonts w:hint="eastAsia" w:ascii="宋体" w:hAnsi="宋体" w:cs="宋体"/>
          <w:sz w:val="24"/>
        </w:rPr>
      </w:pPr>
      <w:r>
        <w:rPr>
          <w:rFonts w:hint="eastAsia" w:ascii="宋体" w:hAnsi="宋体" w:cs="宋体"/>
          <w:sz w:val="24"/>
        </w:rPr>
        <w:t>成交候选供应商数量详见《供应商须知前附表》。磋商小组按评审后得分由高到低顺序推荐。评审得分相同的，按最后报价由低到高顺序推荐。评审得分且最后报价相同的，按技术指标优劣顺序推荐。</w:t>
      </w:r>
    </w:p>
    <w:p>
      <w:pPr>
        <w:pStyle w:val="4"/>
        <w:spacing w:line="500" w:lineRule="exact"/>
        <w:ind w:firstLine="562" w:firstLineChars="200"/>
        <w:jc w:val="both"/>
        <w:rPr>
          <w:rFonts w:hint="eastAsia" w:cs="宋体"/>
        </w:rPr>
      </w:pPr>
      <w:bookmarkStart w:id="72" w:name="_Toc17331"/>
      <w:bookmarkStart w:id="73" w:name="_Toc10039"/>
      <w:bookmarkStart w:id="74" w:name="_Toc28333"/>
      <w:bookmarkStart w:id="75" w:name="_Toc20368"/>
      <w:r>
        <w:rPr>
          <w:rFonts w:hint="eastAsia" w:cs="宋体"/>
        </w:rPr>
        <w:t>（六）编写评审报告</w:t>
      </w:r>
      <w:bookmarkEnd w:id="72"/>
      <w:bookmarkEnd w:id="73"/>
      <w:bookmarkEnd w:id="74"/>
      <w:bookmarkEnd w:id="75"/>
    </w:p>
    <w:p>
      <w:pPr>
        <w:spacing w:line="500" w:lineRule="exact"/>
        <w:ind w:firstLine="480" w:firstLineChars="200"/>
        <w:rPr>
          <w:rFonts w:hint="eastAsia" w:ascii="宋体" w:hAnsi="宋体" w:cs="宋体"/>
          <w:sz w:val="24"/>
        </w:rPr>
      </w:pPr>
      <w:r>
        <w:rPr>
          <w:rFonts w:hint="eastAsia" w:ascii="宋体" w:hAnsi="宋体" w:cs="宋体"/>
          <w:sz w:val="24"/>
        </w:rPr>
        <w:t>磋商小组根据全体评审成员签字的原始评审记录和评审结果编写评审报告。</w:t>
      </w:r>
    </w:p>
    <w:p>
      <w:pPr>
        <w:pStyle w:val="4"/>
        <w:spacing w:line="500" w:lineRule="exact"/>
        <w:ind w:firstLine="562" w:firstLineChars="200"/>
        <w:jc w:val="both"/>
        <w:rPr>
          <w:rFonts w:hint="eastAsia" w:cs="宋体"/>
        </w:rPr>
      </w:pPr>
      <w:bookmarkStart w:id="76" w:name="_Toc18054"/>
      <w:bookmarkStart w:id="77" w:name="_Toc13658"/>
      <w:bookmarkStart w:id="78" w:name="_Toc4582"/>
      <w:bookmarkStart w:id="79" w:name="_Toc5486"/>
      <w:r>
        <w:rPr>
          <w:rFonts w:hint="eastAsia" w:cs="宋体"/>
        </w:rPr>
        <w:t>三、附表</w:t>
      </w:r>
      <w:bookmarkEnd w:id="76"/>
      <w:bookmarkEnd w:id="77"/>
      <w:bookmarkEnd w:id="78"/>
      <w:bookmarkEnd w:id="79"/>
    </w:p>
    <w:p>
      <w:pPr>
        <w:pStyle w:val="4"/>
        <w:spacing w:line="500" w:lineRule="exact"/>
        <w:ind w:firstLine="562" w:firstLineChars="200"/>
        <w:jc w:val="both"/>
        <w:rPr>
          <w:rFonts w:hint="eastAsia" w:cs="宋体"/>
        </w:rPr>
      </w:pPr>
      <w:bookmarkStart w:id="80" w:name="_Toc4972"/>
      <w:bookmarkStart w:id="81" w:name="_Toc26991"/>
      <w:bookmarkStart w:id="82" w:name="_Toc11250"/>
      <w:bookmarkStart w:id="83" w:name="_Toc7911"/>
      <w:r>
        <w:rPr>
          <w:rFonts w:hint="eastAsia" w:cs="宋体"/>
        </w:rPr>
        <w:t>附表1：资格审查表</w:t>
      </w:r>
      <w:bookmarkEnd w:id="80"/>
      <w:bookmarkEnd w:id="81"/>
      <w:bookmarkEnd w:id="82"/>
      <w:bookmarkEnd w:id="83"/>
    </w:p>
    <w:tbl>
      <w:tblPr>
        <w:tblStyle w:val="10"/>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4476"/>
        <w:gridCol w:w="4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sz w:val="24"/>
              </w:rPr>
            </w:pPr>
            <w:r>
              <w:rPr>
                <w:rFonts w:hint="eastAsia"/>
                <w:sz w:val="24"/>
              </w:rPr>
              <w:t>序号</w:t>
            </w:r>
          </w:p>
        </w:tc>
        <w:tc>
          <w:tcPr>
            <w:tcW w:w="4476" w:type="dxa"/>
            <w:noWrap w:val="0"/>
            <w:vAlign w:val="center"/>
          </w:tcPr>
          <w:p>
            <w:pPr>
              <w:jc w:val="center"/>
              <w:rPr>
                <w:sz w:val="24"/>
              </w:rPr>
            </w:pPr>
            <w:r>
              <w:rPr>
                <w:rFonts w:hint="eastAsia"/>
                <w:sz w:val="24"/>
              </w:rPr>
              <w:t>资格要求</w:t>
            </w:r>
          </w:p>
        </w:tc>
        <w:tc>
          <w:tcPr>
            <w:tcW w:w="4250" w:type="dxa"/>
            <w:noWrap w:val="0"/>
            <w:vAlign w:val="center"/>
          </w:tcPr>
          <w:p>
            <w:pPr>
              <w:jc w:val="center"/>
              <w:rPr>
                <w:sz w:val="24"/>
              </w:rPr>
            </w:pPr>
            <w:r>
              <w:rPr>
                <w:rFonts w:hint="eastAsia"/>
                <w:sz w:val="24"/>
              </w:rPr>
              <w:t>需提供的资料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rFonts w:hint="eastAsia"/>
                <w:sz w:val="24"/>
              </w:rPr>
            </w:pPr>
            <w:r>
              <w:rPr>
                <w:rFonts w:hint="eastAsia"/>
                <w:sz w:val="24"/>
              </w:rPr>
              <w:t>1</w:t>
            </w:r>
          </w:p>
        </w:tc>
        <w:tc>
          <w:tcPr>
            <w:tcW w:w="4476" w:type="dxa"/>
            <w:noWrap w:val="0"/>
            <w:vAlign w:val="center"/>
          </w:tcPr>
          <w:p>
            <w:pPr>
              <w:rPr>
                <w:rFonts w:hint="eastAsia" w:ascii="宋体" w:hAnsi="宋体" w:cs="宋体"/>
                <w:sz w:val="24"/>
                <w:lang w:val="zh-CN" w:bidi="zh-CN"/>
              </w:rPr>
            </w:pPr>
            <w:r>
              <w:rPr>
                <w:rFonts w:hint="eastAsia"/>
                <w:sz w:val="24"/>
              </w:rPr>
              <w:t>具有独立承担民事责任的能力；</w:t>
            </w:r>
          </w:p>
        </w:tc>
        <w:tc>
          <w:tcPr>
            <w:tcW w:w="4250" w:type="dxa"/>
            <w:noWrap w:val="0"/>
            <w:vAlign w:val="center"/>
          </w:tcPr>
          <w:p>
            <w:pPr>
              <w:rPr>
                <w:rFonts w:hint="eastAsia" w:ascii="宋体" w:hAnsi="宋体" w:cs="宋体"/>
                <w:sz w:val="24"/>
                <w:lang w:bidi="zh-CN"/>
              </w:rPr>
            </w:pPr>
            <w:r>
              <w:rPr>
                <w:rFonts w:hint="eastAsia"/>
                <w:sz w:val="24"/>
              </w:rPr>
              <w:t>提供营业执照，或事业单位法人证书，或个体工商户营业执照等证明文件。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rFonts w:hint="eastAsia"/>
                <w:sz w:val="24"/>
              </w:rPr>
            </w:pPr>
            <w:r>
              <w:rPr>
                <w:rFonts w:hint="eastAsia"/>
                <w:sz w:val="24"/>
              </w:rPr>
              <w:t>2</w:t>
            </w:r>
          </w:p>
        </w:tc>
        <w:tc>
          <w:tcPr>
            <w:tcW w:w="4476" w:type="dxa"/>
            <w:noWrap w:val="0"/>
            <w:vAlign w:val="center"/>
          </w:tcPr>
          <w:p>
            <w:pPr>
              <w:rPr>
                <w:rFonts w:hint="eastAsia" w:ascii="宋体" w:hAnsi="宋体" w:cs="宋体"/>
                <w:sz w:val="24"/>
                <w:lang w:val="zh-CN" w:bidi="zh-CN"/>
              </w:rPr>
            </w:pPr>
            <w:r>
              <w:rPr>
                <w:rFonts w:hint="eastAsia"/>
                <w:sz w:val="24"/>
              </w:rPr>
              <w:t>具有良好的商业信誉和健全的财务会计制度；</w:t>
            </w:r>
          </w:p>
        </w:tc>
        <w:tc>
          <w:tcPr>
            <w:tcW w:w="4250" w:type="dxa"/>
            <w:noWrap w:val="0"/>
            <w:vAlign w:val="center"/>
          </w:tcPr>
          <w:p>
            <w:pPr>
              <w:rPr>
                <w:rFonts w:hint="eastAsia" w:ascii="宋体" w:hAnsi="宋体" w:cs="宋体"/>
                <w:sz w:val="24"/>
                <w:lang w:bidi="zh-CN"/>
              </w:rPr>
            </w:pPr>
            <w:r>
              <w:rPr>
                <w:rFonts w:hint="eastAsia"/>
                <w:sz w:val="24"/>
              </w:rPr>
              <w:t>按照磋商文件第六章《资格条件承诺函》的格式根据自身实际情况进行承诺满足本条要求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rFonts w:hint="eastAsia"/>
                <w:sz w:val="24"/>
              </w:rPr>
            </w:pPr>
            <w:r>
              <w:rPr>
                <w:rFonts w:hint="eastAsia"/>
                <w:sz w:val="24"/>
              </w:rPr>
              <w:t>3</w:t>
            </w:r>
          </w:p>
        </w:tc>
        <w:tc>
          <w:tcPr>
            <w:tcW w:w="4476" w:type="dxa"/>
            <w:noWrap w:val="0"/>
            <w:vAlign w:val="center"/>
          </w:tcPr>
          <w:p>
            <w:pPr>
              <w:rPr>
                <w:rFonts w:hint="eastAsia" w:ascii="宋体" w:hAnsi="宋体" w:cs="宋体"/>
                <w:sz w:val="24"/>
                <w:lang w:val="zh-CN" w:bidi="zh-CN"/>
              </w:rPr>
            </w:pPr>
            <w:r>
              <w:rPr>
                <w:rFonts w:hint="eastAsia"/>
                <w:sz w:val="24"/>
              </w:rPr>
              <w:t>具有履行合同所必需的设备和专业技术能力；</w:t>
            </w:r>
          </w:p>
        </w:tc>
        <w:tc>
          <w:tcPr>
            <w:tcW w:w="4250" w:type="dxa"/>
            <w:noWrap w:val="0"/>
            <w:vAlign w:val="center"/>
          </w:tcPr>
          <w:p>
            <w:pPr>
              <w:rPr>
                <w:rFonts w:hint="eastAsia" w:ascii="宋体" w:hAnsi="宋体" w:cs="宋体"/>
                <w:sz w:val="24"/>
                <w:lang w:bidi="zh-CN"/>
              </w:rPr>
            </w:pPr>
            <w:r>
              <w:rPr>
                <w:rFonts w:hint="eastAsia"/>
                <w:sz w:val="24"/>
              </w:rPr>
              <w:t>按照磋商文件第六章《资格条件承诺函》的格式根据自身实际情况进行承诺满足本条要求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rFonts w:hint="eastAsia"/>
                <w:sz w:val="24"/>
              </w:rPr>
            </w:pPr>
            <w:r>
              <w:rPr>
                <w:rFonts w:hint="eastAsia"/>
                <w:sz w:val="24"/>
              </w:rPr>
              <w:t>4</w:t>
            </w:r>
          </w:p>
        </w:tc>
        <w:tc>
          <w:tcPr>
            <w:tcW w:w="4476" w:type="dxa"/>
            <w:noWrap w:val="0"/>
            <w:vAlign w:val="center"/>
          </w:tcPr>
          <w:p>
            <w:pPr>
              <w:rPr>
                <w:rFonts w:hint="eastAsia" w:ascii="宋体" w:hAnsi="宋体" w:cs="宋体"/>
                <w:sz w:val="24"/>
                <w:lang w:val="zh-CN" w:bidi="zh-CN"/>
              </w:rPr>
            </w:pPr>
            <w:r>
              <w:rPr>
                <w:rFonts w:hint="eastAsia"/>
                <w:sz w:val="24"/>
              </w:rPr>
              <w:t>有依法缴纳税收和社会保障资金的良好记录；</w:t>
            </w:r>
          </w:p>
        </w:tc>
        <w:tc>
          <w:tcPr>
            <w:tcW w:w="4250" w:type="dxa"/>
            <w:noWrap w:val="0"/>
            <w:vAlign w:val="center"/>
          </w:tcPr>
          <w:p>
            <w:pPr>
              <w:rPr>
                <w:rFonts w:hint="eastAsia" w:ascii="宋体" w:hAnsi="宋体" w:cs="宋体"/>
                <w:sz w:val="24"/>
                <w:lang w:bidi="zh-CN"/>
              </w:rPr>
            </w:pPr>
            <w:r>
              <w:rPr>
                <w:rFonts w:hint="eastAsia"/>
                <w:sz w:val="24"/>
              </w:rPr>
              <w:t>按照磋商文件第六章《资格条件承诺函》的格式根据自身实际情况进行承诺满足本条要求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rFonts w:hint="eastAsia"/>
                <w:sz w:val="24"/>
              </w:rPr>
            </w:pPr>
            <w:r>
              <w:rPr>
                <w:rFonts w:hint="eastAsia"/>
                <w:sz w:val="24"/>
              </w:rPr>
              <w:t>5</w:t>
            </w:r>
          </w:p>
        </w:tc>
        <w:tc>
          <w:tcPr>
            <w:tcW w:w="4476" w:type="dxa"/>
            <w:noWrap w:val="0"/>
            <w:vAlign w:val="center"/>
          </w:tcPr>
          <w:p>
            <w:pPr>
              <w:rPr>
                <w:rFonts w:hint="eastAsia" w:ascii="宋体" w:hAnsi="宋体" w:cs="宋体"/>
                <w:sz w:val="24"/>
                <w:lang w:val="zh-CN" w:bidi="zh-CN"/>
              </w:rPr>
            </w:pPr>
            <w:r>
              <w:rPr>
                <w:rFonts w:hint="eastAsia"/>
                <w:sz w:val="24"/>
              </w:rPr>
              <w:t>参加政府采购活动前三年内，在经营活动中没有重大违法记录；</w:t>
            </w:r>
          </w:p>
        </w:tc>
        <w:tc>
          <w:tcPr>
            <w:tcW w:w="4250" w:type="dxa"/>
            <w:noWrap w:val="0"/>
            <w:vAlign w:val="center"/>
          </w:tcPr>
          <w:p>
            <w:pPr>
              <w:rPr>
                <w:rFonts w:hint="eastAsia" w:ascii="宋体" w:hAnsi="宋体" w:cs="宋体"/>
                <w:sz w:val="24"/>
                <w:lang w:bidi="zh-CN"/>
              </w:rPr>
            </w:pPr>
            <w:r>
              <w:rPr>
                <w:rFonts w:hint="eastAsia"/>
                <w:sz w:val="24"/>
              </w:rPr>
              <w:t>按照磋商文件第六章《资格条件承诺函》的格式根据自身实际情况进行承诺满足本条要求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rFonts w:hint="eastAsia"/>
                <w:sz w:val="24"/>
              </w:rPr>
            </w:pPr>
            <w:r>
              <w:rPr>
                <w:rFonts w:hint="eastAsia"/>
                <w:sz w:val="24"/>
              </w:rPr>
              <w:t>6</w:t>
            </w:r>
          </w:p>
        </w:tc>
        <w:tc>
          <w:tcPr>
            <w:tcW w:w="4476" w:type="dxa"/>
            <w:noWrap w:val="0"/>
            <w:vAlign w:val="center"/>
          </w:tcPr>
          <w:p>
            <w:pPr>
              <w:rPr>
                <w:rFonts w:hint="eastAsia" w:ascii="宋体" w:hAnsi="宋体" w:cs="宋体"/>
                <w:sz w:val="24"/>
                <w:lang w:val="zh-CN" w:bidi="zh-CN"/>
              </w:rPr>
            </w:pPr>
            <w:r>
              <w:rPr>
                <w:rFonts w:hint="eastAsia"/>
                <w:sz w:val="24"/>
              </w:rPr>
              <w:t>法律、行政法规规定的其他条件。</w:t>
            </w:r>
          </w:p>
        </w:tc>
        <w:tc>
          <w:tcPr>
            <w:tcW w:w="4250" w:type="dxa"/>
            <w:noWrap w:val="0"/>
            <w:vAlign w:val="center"/>
          </w:tcPr>
          <w:p>
            <w:pPr>
              <w:rPr>
                <w:rFonts w:hint="eastAsia" w:ascii="宋体" w:hAnsi="宋体" w:cs="宋体"/>
                <w:sz w:val="24"/>
                <w:lang w:bidi="zh-CN"/>
              </w:rPr>
            </w:pPr>
            <w:r>
              <w:rPr>
                <w:rFonts w:hint="eastAsia"/>
                <w:sz w:val="24"/>
              </w:rPr>
              <w:t>按照磋商文件第六章《资格条件承诺函》的格式根据自身实际情况进行承诺满足本条要求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rFonts w:hint="eastAsia"/>
                <w:sz w:val="24"/>
              </w:rPr>
            </w:pPr>
            <w:r>
              <w:rPr>
                <w:rFonts w:hint="eastAsia"/>
                <w:sz w:val="24"/>
              </w:rPr>
              <w:t>7</w:t>
            </w:r>
          </w:p>
        </w:tc>
        <w:tc>
          <w:tcPr>
            <w:tcW w:w="4476" w:type="dxa"/>
            <w:noWrap w:val="0"/>
            <w:vAlign w:val="center"/>
          </w:tcPr>
          <w:p>
            <w:pPr>
              <w:rPr>
                <w:sz w:val="24"/>
              </w:rPr>
            </w:pPr>
            <w:r>
              <w:rPr>
                <w:rFonts w:hint="eastAsia"/>
                <w:spacing w:val="-6"/>
                <w:sz w:val="24"/>
              </w:rPr>
              <w:t>单位负责人为同一人或者存在直接控股、管理关系的不同供应商，不得参</w:t>
            </w:r>
            <w:r>
              <w:rPr>
                <w:rFonts w:hint="eastAsia"/>
                <w:sz w:val="24"/>
              </w:rPr>
              <w:t>加本项目同一合同项下的政府采购活动。</w:t>
            </w:r>
          </w:p>
        </w:tc>
        <w:tc>
          <w:tcPr>
            <w:tcW w:w="4250" w:type="dxa"/>
            <w:noWrap w:val="0"/>
            <w:vAlign w:val="center"/>
          </w:tcPr>
          <w:p>
            <w:pPr>
              <w:rPr>
                <w:sz w:val="24"/>
              </w:rPr>
            </w:pPr>
            <w:r>
              <w:rPr>
                <w:rFonts w:hint="eastAsia"/>
                <w:sz w:val="24"/>
              </w:rPr>
              <w:t>按照磋商文件第六章《无政府采购回避事项和重大违法记录的书面声明》的格式进行声明。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rFonts w:hint="eastAsia"/>
                <w:sz w:val="24"/>
              </w:rPr>
            </w:pPr>
            <w:r>
              <w:rPr>
                <w:rFonts w:hint="eastAsia"/>
                <w:sz w:val="24"/>
              </w:rPr>
              <w:t>8</w:t>
            </w:r>
          </w:p>
        </w:tc>
        <w:tc>
          <w:tcPr>
            <w:tcW w:w="4476" w:type="dxa"/>
            <w:noWrap w:val="0"/>
            <w:vAlign w:val="center"/>
          </w:tcPr>
          <w:p>
            <w:pPr>
              <w:rPr>
                <w:sz w:val="24"/>
              </w:rPr>
            </w:pPr>
            <w:r>
              <w:rPr>
                <w:rFonts w:hint="eastAsia"/>
                <w:spacing w:val="-7"/>
                <w:sz w:val="24"/>
              </w:rPr>
              <w:t>为本采购项目提供整体设计、规范编制或者项目管理、监理、检测等服务</w:t>
            </w:r>
            <w:r>
              <w:rPr>
                <w:rFonts w:hint="eastAsia"/>
                <w:sz w:val="24"/>
              </w:rPr>
              <w:t>的，不得再参加本项目的其他招标采购活动。</w:t>
            </w:r>
          </w:p>
        </w:tc>
        <w:tc>
          <w:tcPr>
            <w:tcW w:w="4250" w:type="dxa"/>
            <w:noWrap w:val="0"/>
            <w:vAlign w:val="center"/>
          </w:tcPr>
          <w:p>
            <w:pPr>
              <w:rPr>
                <w:sz w:val="24"/>
              </w:rPr>
            </w:pPr>
            <w:r>
              <w:rPr>
                <w:rFonts w:hint="eastAsia"/>
                <w:sz w:val="24"/>
              </w:rPr>
              <w:t>按照磋商文件第六章《无政府采购回避事项和重大违法记录的书面声明》的格式进行声明。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rFonts w:hint="eastAsia"/>
                <w:sz w:val="24"/>
              </w:rPr>
            </w:pPr>
            <w:r>
              <w:rPr>
                <w:rFonts w:hint="eastAsia"/>
                <w:sz w:val="24"/>
              </w:rPr>
              <w:t>9</w:t>
            </w:r>
          </w:p>
        </w:tc>
        <w:tc>
          <w:tcPr>
            <w:tcW w:w="4476" w:type="dxa"/>
            <w:noWrap w:val="0"/>
            <w:vAlign w:val="center"/>
          </w:tcPr>
          <w:p>
            <w:pPr>
              <w:rPr>
                <w:sz w:val="24"/>
              </w:rPr>
            </w:pPr>
            <w:r>
              <w:rPr>
                <w:rFonts w:hint="eastAsia"/>
                <w:spacing w:val="-8"/>
                <w:sz w:val="24"/>
              </w:rPr>
              <w:t>未被列入失信被执行人、重大税收违法失信主体，未被列入政府采</w:t>
            </w:r>
            <w:r>
              <w:rPr>
                <w:rFonts w:hint="eastAsia"/>
                <w:sz w:val="24"/>
              </w:rPr>
              <w:t>购严重违法失信行为记录名单。</w:t>
            </w:r>
          </w:p>
        </w:tc>
        <w:tc>
          <w:tcPr>
            <w:tcW w:w="4250" w:type="dxa"/>
            <w:noWrap w:val="0"/>
            <w:vAlign w:val="center"/>
          </w:tcPr>
          <w:p>
            <w:pPr>
              <w:rPr>
                <w:rFonts w:hint="eastAsia"/>
                <w:spacing w:val="-7"/>
                <w:sz w:val="24"/>
              </w:rPr>
            </w:pPr>
            <w:r>
              <w:rPr>
                <w:rFonts w:hint="eastAsia"/>
                <w:sz w:val="24"/>
              </w:rPr>
              <w:t>无需提供证明材料，由</w:t>
            </w:r>
            <w:r>
              <w:rPr>
                <w:rFonts w:hint="eastAsia"/>
                <w:sz w:val="24"/>
                <w:lang w:val="en-US" w:eastAsia="zh-CN"/>
              </w:rPr>
              <w:t>磋商</w:t>
            </w:r>
            <w:r>
              <w:rPr>
                <w:rFonts w:hint="eastAsia"/>
                <w:sz w:val="24"/>
              </w:rPr>
              <w:t>小组在开标后进行查询，以当时查询结果为准并存档。查询网站：信用中国(www.creditchina.gov.cn)、中国政府采购（</w:t>
            </w:r>
            <w:r>
              <w:rPr>
                <w:rFonts w:hint="eastAsia"/>
                <w:sz w:val="24"/>
              </w:rPr>
              <w:fldChar w:fldCharType="begin"/>
            </w:r>
            <w:r>
              <w:rPr>
                <w:rFonts w:hint="eastAsia"/>
                <w:sz w:val="24"/>
              </w:rPr>
              <w:instrText xml:space="preserve">HYPERLINK "http://www.ccgp.gov.cn/" \h</w:instrText>
            </w:r>
            <w:r>
              <w:rPr>
                <w:rFonts w:hint="eastAsia"/>
                <w:sz w:val="24"/>
              </w:rPr>
              <w:fldChar w:fldCharType="separate"/>
            </w:r>
            <w:r>
              <w:rPr>
                <w:rFonts w:hint="eastAsia"/>
                <w:sz w:val="24"/>
              </w:rPr>
              <w:t>www.ccgp.gov.cn</w:t>
            </w:r>
            <w:r>
              <w:rPr>
                <w:rFonts w:hint="eastAsia"/>
                <w:sz w:val="24"/>
              </w:rPr>
              <w:fldChar w:fldCharType="end"/>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jc w:val="center"/>
              <w:rPr>
                <w:sz w:val="24"/>
              </w:rPr>
            </w:pPr>
            <w:r>
              <w:rPr>
                <w:rFonts w:hint="eastAsia"/>
                <w:sz w:val="24"/>
              </w:rPr>
              <w:t>10</w:t>
            </w:r>
          </w:p>
        </w:tc>
        <w:tc>
          <w:tcPr>
            <w:tcW w:w="4476" w:type="dxa"/>
            <w:noWrap w:val="0"/>
            <w:vAlign w:val="center"/>
          </w:tcPr>
          <w:p>
            <w:pPr>
              <w:rPr>
                <w:sz w:val="24"/>
              </w:rPr>
            </w:pPr>
            <w:r>
              <w:rPr>
                <w:rFonts w:hint="eastAsia"/>
                <w:spacing w:val="-8"/>
                <w:sz w:val="24"/>
              </w:rPr>
              <w:t>落实政府采购政策需满足的资格要求：</w:t>
            </w:r>
          </w:p>
        </w:tc>
        <w:tc>
          <w:tcPr>
            <w:tcW w:w="4250" w:type="dxa"/>
            <w:noWrap w:val="0"/>
            <w:vAlign w:val="center"/>
          </w:tcPr>
          <w:p>
            <w:pPr>
              <w:rPr>
                <w:rFonts w:hint="eastAsia"/>
                <w:spacing w:val="-7"/>
                <w:sz w:val="24"/>
              </w:rPr>
            </w:pPr>
            <w:r>
              <w:rPr>
                <w:rFonts w:hint="eastAsia"/>
                <w:spacing w:val="-7"/>
                <w:sz w:val="24"/>
              </w:rPr>
              <w:t>本项目为非专门面向中小微企业的采购项目，所有符合条件的供应商均可参与。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37" w:type="dxa"/>
            <w:noWrap w:val="0"/>
            <w:vAlign w:val="center"/>
          </w:tcPr>
          <w:p>
            <w:pPr>
              <w:jc w:val="center"/>
              <w:rPr>
                <w:spacing w:val="-8"/>
                <w:sz w:val="24"/>
              </w:rPr>
            </w:pPr>
            <w:r>
              <w:rPr>
                <w:rFonts w:hint="eastAsia"/>
                <w:spacing w:val="-8"/>
                <w:sz w:val="24"/>
              </w:rPr>
              <w:t>11</w:t>
            </w:r>
          </w:p>
        </w:tc>
        <w:tc>
          <w:tcPr>
            <w:tcW w:w="4476" w:type="dxa"/>
            <w:noWrap w:val="0"/>
            <w:vAlign w:val="center"/>
          </w:tcPr>
          <w:p>
            <w:pPr>
              <w:pStyle w:val="15"/>
              <w:tabs>
                <w:tab w:val="left" w:pos="1322"/>
              </w:tabs>
              <w:ind w:firstLine="0" w:firstLineChars="0"/>
              <w:rPr>
                <w:rFonts w:hint="eastAsia"/>
                <w:spacing w:val="-8"/>
                <w:sz w:val="24"/>
              </w:rPr>
            </w:pPr>
            <w:r>
              <w:rPr>
                <w:rFonts w:hint="eastAsia"/>
                <w:color w:val="000000"/>
                <w:spacing w:val="-8"/>
                <w:sz w:val="24"/>
              </w:rPr>
              <w:t>本项目的特定资格要求：</w:t>
            </w:r>
            <w:r>
              <w:rPr>
                <w:rFonts w:hint="eastAsia"/>
                <w:spacing w:val="-8"/>
                <w:sz w:val="24"/>
              </w:rPr>
              <w:t>/</w:t>
            </w:r>
          </w:p>
        </w:tc>
        <w:tc>
          <w:tcPr>
            <w:tcW w:w="4250" w:type="dxa"/>
            <w:noWrap w:val="0"/>
            <w:vAlign w:val="center"/>
          </w:tcPr>
          <w:p>
            <w:pPr>
              <w:rPr>
                <w:rFonts w:hint="eastAsia"/>
                <w:spacing w:val="-8"/>
                <w:sz w:val="24"/>
              </w:rPr>
            </w:pPr>
            <w:r>
              <w:rPr>
                <w:rFonts w:hint="eastAsia"/>
                <w:spacing w:val="-8"/>
                <w:sz w:val="24"/>
              </w:rPr>
              <w:t>/</w:t>
            </w:r>
          </w:p>
        </w:tc>
      </w:tr>
    </w:tbl>
    <w:p>
      <w:pPr>
        <w:spacing w:line="560" w:lineRule="exact"/>
        <w:ind w:left="585"/>
        <w:rPr>
          <w:rFonts w:hint="eastAsia" w:ascii="宋体" w:hAnsi="宋体" w:cs="宋体"/>
          <w:b/>
          <w:sz w:val="24"/>
        </w:rPr>
      </w:pPr>
      <w:r>
        <w:rPr>
          <w:rFonts w:hint="eastAsia" w:ascii="宋体" w:hAnsi="宋体" w:cs="宋体"/>
          <w:b/>
          <w:sz w:val="24"/>
        </w:rPr>
        <w:t>特别说明：</w:t>
      </w:r>
    </w:p>
    <w:p>
      <w:pPr>
        <w:spacing w:line="560" w:lineRule="exact"/>
        <w:ind w:firstLine="480" w:firstLineChars="200"/>
        <w:rPr>
          <w:rFonts w:hint="eastAsia" w:ascii="宋体" w:hAnsi="宋体" w:cs="宋体"/>
          <w:sz w:val="24"/>
        </w:rPr>
      </w:pPr>
      <w:r>
        <w:rPr>
          <w:rFonts w:hint="eastAsia" w:ascii="宋体" w:hAnsi="宋体" w:cs="宋体"/>
          <w:sz w:val="24"/>
        </w:rPr>
        <w:t>（1）供应商所提供材料的要求详见供应商须知前附表。</w:t>
      </w:r>
    </w:p>
    <w:p>
      <w:pPr>
        <w:spacing w:line="560" w:lineRule="exact"/>
        <w:ind w:firstLine="480" w:firstLineChars="200"/>
        <w:rPr>
          <w:rFonts w:hint="eastAsia" w:ascii="宋体" w:hAnsi="宋体" w:cs="宋体"/>
          <w:sz w:val="24"/>
        </w:rPr>
      </w:pPr>
      <w:r>
        <w:rPr>
          <w:rFonts w:hint="eastAsia" w:ascii="宋体" w:hAnsi="宋体" w:cs="宋体"/>
          <w:sz w:val="24"/>
        </w:rPr>
        <w:t>（2）对于响应文件中有任意一条不满足上表要求的将导致其磋商无效，不进入下一项评审。</w:t>
      </w:r>
    </w:p>
    <w:p>
      <w:pPr>
        <w:pStyle w:val="4"/>
        <w:ind w:firstLine="689" w:firstLineChars="245"/>
        <w:jc w:val="both"/>
        <w:rPr>
          <w:rFonts w:hint="eastAsia" w:cs="宋体"/>
        </w:rPr>
      </w:pPr>
      <w:bookmarkStart w:id="84" w:name="_Toc11260"/>
      <w:bookmarkStart w:id="85" w:name="_Toc25478"/>
      <w:bookmarkStart w:id="86" w:name="_Toc2596"/>
      <w:bookmarkStart w:id="87" w:name="_Toc27845"/>
      <w:r>
        <w:rPr>
          <w:rFonts w:hint="eastAsia" w:cs="宋体"/>
        </w:rPr>
        <w:t>附表2：符合性审查表</w:t>
      </w:r>
      <w:bookmarkEnd w:id="84"/>
      <w:bookmarkEnd w:id="85"/>
      <w:bookmarkEnd w:id="86"/>
      <w:bookmarkEnd w:id="87"/>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715"/>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rPr>
                <w:bCs/>
                <w:spacing w:val="6"/>
                <w:szCs w:val="21"/>
              </w:rPr>
            </w:pPr>
            <w:r>
              <w:rPr>
                <w:bCs/>
                <w:spacing w:val="6"/>
                <w:szCs w:val="21"/>
              </w:rPr>
              <w:t>序号</w:t>
            </w:r>
          </w:p>
        </w:tc>
        <w:tc>
          <w:tcPr>
            <w:tcW w:w="5715" w:type="dxa"/>
            <w:noWrap w:val="0"/>
            <w:vAlign w:val="center"/>
          </w:tcPr>
          <w:p>
            <w:pPr>
              <w:spacing w:line="300" w:lineRule="exact"/>
              <w:jc w:val="center"/>
              <w:rPr>
                <w:bCs/>
                <w:spacing w:val="6"/>
                <w:szCs w:val="21"/>
              </w:rPr>
            </w:pPr>
            <w:r>
              <w:rPr>
                <w:rFonts w:hint="eastAsia"/>
                <w:bCs/>
                <w:spacing w:val="6"/>
                <w:szCs w:val="21"/>
              </w:rPr>
              <w:t>审查项目</w:t>
            </w:r>
          </w:p>
        </w:tc>
        <w:tc>
          <w:tcPr>
            <w:tcW w:w="2254" w:type="dxa"/>
            <w:noWrap w:val="0"/>
            <w:vAlign w:val="center"/>
          </w:tcPr>
          <w:p>
            <w:pPr>
              <w:spacing w:line="300" w:lineRule="exact"/>
              <w:jc w:val="center"/>
              <w:rPr>
                <w:bCs/>
                <w:spacing w:val="6"/>
                <w:szCs w:val="21"/>
              </w:rPr>
            </w:pPr>
            <w:r>
              <w:rPr>
                <w:rFonts w:hint="eastAsia"/>
                <w:bCs/>
                <w:spacing w:val="6"/>
                <w:szCs w:val="21"/>
              </w:rPr>
              <w:t>对应响应文件内容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bCs/>
                <w:spacing w:val="6"/>
                <w:szCs w:val="21"/>
              </w:rPr>
            </w:pPr>
            <w:r>
              <w:rPr>
                <w:bCs/>
                <w:spacing w:val="6"/>
                <w:szCs w:val="21"/>
              </w:rPr>
              <w:t>1</w:t>
            </w:r>
          </w:p>
        </w:tc>
        <w:tc>
          <w:tcPr>
            <w:tcW w:w="5715" w:type="dxa"/>
            <w:noWrap w:val="0"/>
            <w:vAlign w:val="center"/>
          </w:tcPr>
          <w:p>
            <w:pPr>
              <w:spacing w:line="300" w:lineRule="exact"/>
              <w:rPr>
                <w:color w:val="FF0000"/>
                <w:szCs w:val="21"/>
              </w:rPr>
            </w:pPr>
            <w:r>
              <w:rPr>
                <w:rFonts w:hint="eastAsia"/>
                <w:szCs w:val="21"/>
              </w:rPr>
              <w:t>响应文件按磋商文件要求签署、盖章。</w:t>
            </w:r>
          </w:p>
        </w:tc>
        <w:tc>
          <w:tcPr>
            <w:tcW w:w="2254" w:type="dxa"/>
            <w:noWrap w:val="0"/>
            <w:vAlign w:val="center"/>
          </w:tcPr>
          <w:p>
            <w:pPr>
              <w:spacing w:line="300" w:lineRule="exact"/>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bCs/>
                <w:spacing w:val="6"/>
                <w:szCs w:val="21"/>
              </w:rPr>
            </w:pPr>
            <w:r>
              <w:rPr>
                <w:bCs/>
                <w:spacing w:val="6"/>
                <w:szCs w:val="21"/>
              </w:rPr>
              <w:t>2</w:t>
            </w:r>
          </w:p>
        </w:tc>
        <w:tc>
          <w:tcPr>
            <w:tcW w:w="5715" w:type="dxa"/>
            <w:noWrap w:val="0"/>
            <w:vAlign w:val="center"/>
          </w:tcPr>
          <w:p>
            <w:pPr>
              <w:spacing w:line="300" w:lineRule="exact"/>
              <w:rPr>
                <w:color w:val="FF0000"/>
                <w:szCs w:val="21"/>
              </w:rPr>
            </w:pPr>
            <w:r>
              <w:rPr>
                <w:rFonts w:hint="eastAsia"/>
                <w:szCs w:val="21"/>
              </w:rPr>
              <w:t>报价未超过磋商文件中规定的预算金额或者最高限价。</w:t>
            </w:r>
          </w:p>
        </w:tc>
        <w:tc>
          <w:tcPr>
            <w:tcW w:w="2254" w:type="dxa"/>
            <w:noWrap w:val="0"/>
            <w:vAlign w:val="center"/>
          </w:tcPr>
          <w:p>
            <w:pPr>
              <w:spacing w:line="300" w:lineRule="exact"/>
              <w:jc w:val="center"/>
              <w:rPr>
                <w:szCs w:val="21"/>
              </w:rPr>
            </w:pPr>
            <w:r>
              <w:rPr>
                <w:rFonts w:hint="eastAsia"/>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bCs/>
                <w:spacing w:val="6"/>
                <w:szCs w:val="21"/>
              </w:rPr>
            </w:pPr>
            <w:r>
              <w:rPr>
                <w:bCs/>
                <w:spacing w:val="6"/>
                <w:szCs w:val="21"/>
              </w:rPr>
              <w:t>3</w:t>
            </w:r>
          </w:p>
        </w:tc>
        <w:tc>
          <w:tcPr>
            <w:tcW w:w="5715" w:type="dxa"/>
            <w:noWrap w:val="0"/>
            <w:vAlign w:val="center"/>
          </w:tcPr>
          <w:p>
            <w:pPr>
              <w:spacing w:line="300" w:lineRule="exact"/>
              <w:rPr>
                <w:color w:val="FF0000"/>
                <w:szCs w:val="21"/>
              </w:rPr>
            </w:pPr>
            <w:r>
              <w:rPr>
                <w:rFonts w:hint="eastAsia"/>
                <w:szCs w:val="21"/>
              </w:rPr>
              <w:t>响应文件未附有采购人不能接受的附加条件。</w:t>
            </w:r>
          </w:p>
        </w:tc>
        <w:tc>
          <w:tcPr>
            <w:tcW w:w="2254" w:type="dxa"/>
            <w:noWrap w:val="0"/>
            <w:vAlign w:val="center"/>
          </w:tcPr>
          <w:p>
            <w:pPr>
              <w:spacing w:line="300" w:lineRule="exact"/>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bCs/>
                <w:spacing w:val="6"/>
                <w:szCs w:val="21"/>
              </w:rPr>
            </w:pPr>
            <w:r>
              <w:rPr>
                <w:bCs/>
                <w:spacing w:val="6"/>
                <w:szCs w:val="21"/>
              </w:rPr>
              <w:t>4</w:t>
            </w:r>
          </w:p>
        </w:tc>
        <w:tc>
          <w:tcPr>
            <w:tcW w:w="5715" w:type="dxa"/>
            <w:noWrap w:val="0"/>
            <w:vAlign w:val="center"/>
          </w:tcPr>
          <w:p>
            <w:pPr>
              <w:spacing w:line="300" w:lineRule="exact"/>
              <w:rPr>
                <w:color w:val="FF0000"/>
                <w:szCs w:val="21"/>
              </w:rPr>
            </w:pPr>
            <w:r>
              <w:rPr>
                <w:rFonts w:hint="eastAsia" w:cs="Arial"/>
                <w:szCs w:val="21"/>
              </w:rPr>
              <w:t>响应</w:t>
            </w:r>
            <w:r>
              <w:rPr>
                <w:rFonts w:cs="Arial"/>
                <w:szCs w:val="21"/>
              </w:rPr>
              <w:t>有效期</w:t>
            </w:r>
            <w:r>
              <w:rPr>
                <w:rFonts w:hint="eastAsia" w:cs="Arial"/>
                <w:szCs w:val="21"/>
              </w:rPr>
              <w:t>符合磋商文件要求</w:t>
            </w:r>
            <w:r>
              <w:rPr>
                <w:rFonts w:cs="Arial"/>
                <w:szCs w:val="21"/>
              </w:rPr>
              <w:t>。</w:t>
            </w:r>
          </w:p>
        </w:tc>
        <w:tc>
          <w:tcPr>
            <w:tcW w:w="2254" w:type="dxa"/>
            <w:noWrap w:val="0"/>
            <w:vAlign w:val="center"/>
          </w:tcPr>
          <w:p>
            <w:pPr>
              <w:spacing w:line="300" w:lineRule="exact"/>
              <w:jc w:val="center"/>
              <w:rPr>
                <w:rFonts w:cs="Arial"/>
                <w:szCs w:val="21"/>
              </w:rPr>
            </w:pPr>
            <w:r>
              <w:rPr>
                <w:rFonts w:hint="eastAsia" w:cs="Arial"/>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bCs/>
                <w:spacing w:val="6"/>
                <w:szCs w:val="21"/>
              </w:rPr>
            </w:pPr>
            <w:r>
              <w:rPr>
                <w:bCs/>
                <w:spacing w:val="6"/>
                <w:szCs w:val="21"/>
              </w:rPr>
              <w:t>5</w:t>
            </w:r>
          </w:p>
        </w:tc>
        <w:tc>
          <w:tcPr>
            <w:tcW w:w="5715" w:type="dxa"/>
            <w:noWrap w:val="0"/>
            <w:vAlign w:val="center"/>
          </w:tcPr>
          <w:p>
            <w:pPr>
              <w:spacing w:line="300" w:lineRule="exact"/>
              <w:rPr>
                <w:rFonts w:hint="eastAsia"/>
                <w:szCs w:val="21"/>
              </w:rPr>
            </w:pPr>
            <w:r>
              <w:rPr>
                <w:rFonts w:hint="eastAsia"/>
                <w:szCs w:val="21"/>
              </w:rPr>
              <w:t>响应文件相关条款符合磋商文件中商务、技术实质性条款（“★”号条款）要求。</w:t>
            </w:r>
          </w:p>
        </w:tc>
        <w:tc>
          <w:tcPr>
            <w:tcW w:w="2254" w:type="dxa"/>
            <w:noWrap w:val="0"/>
            <w:vAlign w:val="center"/>
          </w:tcPr>
          <w:p>
            <w:pPr>
              <w:spacing w:line="300" w:lineRule="exact"/>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szCs w:val="21"/>
              </w:rPr>
            </w:pPr>
            <w:r>
              <w:rPr>
                <w:rFonts w:hint="eastAsia"/>
                <w:szCs w:val="21"/>
              </w:rPr>
              <w:t>5.1</w:t>
            </w:r>
          </w:p>
        </w:tc>
        <w:tc>
          <w:tcPr>
            <w:tcW w:w="5715" w:type="dxa"/>
            <w:noWrap w:val="0"/>
            <w:vAlign w:val="center"/>
          </w:tcPr>
          <w:p>
            <w:pPr>
              <w:pStyle w:val="12"/>
              <w:spacing w:before="5"/>
              <w:jc w:val="both"/>
              <w:rPr>
                <w:rFonts w:hint="eastAsia"/>
                <w:szCs w:val="21"/>
              </w:rPr>
            </w:pPr>
            <w:r>
              <w:rPr>
                <w:rFonts w:hint="eastAsia"/>
                <w:b/>
                <w:bCs/>
                <w:sz w:val="21"/>
                <w:szCs w:val="21"/>
              </w:rPr>
              <w:t>采购标的</w:t>
            </w:r>
          </w:p>
        </w:tc>
        <w:tc>
          <w:tcPr>
            <w:tcW w:w="2254" w:type="dxa"/>
            <w:noWrap w:val="0"/>
            <w:vAlign w:val="center"/>
          </w:tcPr>
          <w:p>
            <w:pPr>
              <w:spacing w:line="300" w:lineRule="exact"/>
              <w:jc w:val="center"/>
              <w:rPr>
                <w:color w:val="FF0000"/>
                <w:szCs w:val="21"/>
              </w:rPr>
            </w:pPr>
            <w:r>
              <w:rPr>
                <w:rFonts w:hint="eastAsia"/>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szCs w:val="21"/>
              </w:rPr>
            </w:pPr>
            <w:r>
              <w:rPr>
                <w:rFonts w:hint="eastAsia"/>
                <w:szCs w:val="21"/>
              </w:rPr>
              <w:t>5.2</w:t>
            </w:r>
          </w:p>
        </w:tc>
        <w:tc>
          <w:tcPr>
            <w:tcW w:w="5715" w:type="dxa"/>
            <w:noWrap w:val="0"/>
            <w:vAlign w:val="center"/>
          </w:tcPr>
          <w:p>
            <w:pPr>
              <w:pStyle w:val="12"/>
              <w:spacing w:before="5"/>
              <w:jc w:val="both"/>
              <w:rPr>
                <w:rFonts w:hint="eastAsia"/>
                <w:szCs w:val="21"/>
              </w:rPr>
            </w:pPr>
            <w:r>
              <w:rPr>
                <w:rFonts w:hint="eastAsia"/>
                <w:b/>
                <w:bCs/>
                <w:sz w:val="21"/>
                <w:szCs w:val="21"/>
              </w:rPr>
              <w:t>合同履行期限</w:t>
            </w:r>
          </w:p>
        </w:tc>
        <w:tc>
          <w:tcPr>
            <w:tcW w:w="2254" w:type="dxa"/>
            <w:noWrap w:val="0"/>
            <w:vAlign w:val="center"/>
          </w:tcPr>
          <w:p>
            <w:pPr>
              <w:spacing w:line="300" w:lineRule="exact"/>
              <w:jc w:val="center"/>
              <w:rPr>
                <w:color w:val="FF0000"/>
                <w:szCs w:val="21"/>
              </w:rPr>
            </w:pPr>
            <w:r>
              <w:rPr>
                <w:rFonts w:hint="eastAsia"/>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rFonts w:hint="eastAsia" w:ascii="Calibri" w:hAnsi="Calibri"/>
                <w:kern w:val="0"/>
                <w:szCs w:val="21"/>
                <w:lang w:eastAsia="en-US"/>
              </w:rPr>
            </w:pPr>
            <w:r>
              <w:rPr>
                <w:rFonts w:hint="eastAsia" w:ascii="Calibri" w:hAnsi="Calibri"/>
                <w:kern w:val="0"/>
                <w:szCs w:val="21"/>
                <w:lang w:eastAsia="en-US"/>
              </w:rPr>
              <w:t>5.3</w:t>
            </w:r>
          </w:p>
        </w:tc>
        <w:tc>
          <w:tcPr>
            <w:tcW w:w="5715" w:type="dxa"/>
            <w:noWrap w:val="0"/>
            <w:vAlign w:val="center"/>
          </w:tcPr>
          <w:p>
            <w:pPr>
              <w:pStyle w:val="12"/>
              <w:spacing w:before="5"/>
              <w:jc w:val="both"/>
              <w:rPr>
                <w:rFonts w:hint="eastAsia"/>
                <w:b/>
                <w:bCs/>
                <w:sz w:val="21"/>
                <w:szCs w:val="21"/>
              </w:rPr>
            </w:pPr>
            <w:r>
              <w:rPr>
                <w:rFonts w:hint="eastAsia"/>
                <w:b/>
                <w:bCs/>
                <w:sz w:val="21"/>
                <w:szCs w:val="21"/>
              </w:rPr>
              <w:t>付款方式</w:t>
            </w:r>
          </w:p>
        </w:tc>
        <w:tc>
          <w:tcPr>
            <w:tcW w:w="2254" w:type="dxa"/>
            <w:noWrap w:val="0"/>
            <w:vAlign w:val="center"/>
          </w:tcPr>
          <w:p>
            <w:pPr>
              <w:spacing w:line="300" w:lineRule="exact"/>
              <w:jc w:val="center"/>
              <w:rPr>
                <w:color w:val="FF0000"/>
                <w:szCs w:val="21"/>
              </w:rPr>
            </w:pPr>
            <w:r>
              <w:rPr>
                <w:rFonts w:hint="eastAsia"/>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rFonts w:ascii="Calibri" w:hAnsi="Calibri"/>
                <w:kern w:val="0"/>
                <w:szCs w:val="21"/>
              </w:rPr>
            </w:pPr>
            <w:r>
              <w:rPr>
                <w:rFonts w:hint="eastAsia" w:ascii="Calibri" w:hAnsi="Calibri"/>
                <w:kern w:val="0"/>
                <w:szCs w:val="21"/>
              </w:rPr>
              <w:t>5.4</w:t>
            </w:r>
          </w:p>
        </w:tc>
        <w:tc>
          <w:tcPr>
            <w:tcW w:w="5715" w:type="dxa"/>
            <w:noWrap w:val="0"/>
            <w:vAlign w:val="center"/>
          </w:tcPr>
          <w:p>
            <w:pPr>
              <w:pStyle w:val="12"/>
              <w:spacing w:before="5"/>
              <w:jc w:val="both"/>
              <w:rPr>
                <w:rFonts w:hint="eastAsia"/>
                <w:b/>
                <w:bCs/>
                <w:sz w:val="21"/>
                <w:szCs w:val="21"/>
              </w:rPr>
            </w:pPr>
            <w:r>
              <w:rPr>
                <w:rFonts w:hint="eastAsia"/>
                <w:b/>
                <w:bCs/>
                <w:sz w:val="21"/>
                <w:szCs w:val="21"/>
              </w:rPr>
              <w:t>报价要求（投标人需提供书面承诺）</w:t>
            </w:r>
          </w:p>
        </w:tc>
        <w:tc>
          <w:tcPr>
            <w:tcW w:w="2254" w:type="dxa"/>
            <w:noWrap w:val="0"/>
            <w:vAlign w:val="center"/>
          </w:tcPr>
          <w:p>
            <w:pPr>
              <w:spacing w:line="3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rFonts w:hint="eastAsia" w:ascii="Calibri" w:hAnsi="Calibri" w:eastAsia="宋体"/>
                <w:kern w:val="0"/>
                <w:szCs w:val="21"/>
                <w:lang w:val="en-US" w:eastAsia="zh-CN"/>
              </w:rPr>
            </w:pPr>
            <w:r>
              <w:rPr>
                <w:rFonts w:hint="eastAsia" w:ascii="Calibri" w:hAnsi="Calibri"/>
                <w:kern w:val="0"/>
                <w:szCs w:val="21"/>
                <w:lang w:val="en-US" w:eastAsia="zh-CN"/>
              </w:rPr>
              <w:t>6</w:t>
            </w:r>
          </w:p>
        </w:tc>
        <w:tc>
          <w:tcPr>
            <w:tcW w:w="5715" w:type="dxa"/>
            <w:noWrap w:val="0"/>
            <w:vAlign w:val="center"/>
          </w:tcPr>
          <w:p>
            <w:pPr>
              <w:spacing w:line="300" w:lineRule="exact"/>
              <w:rPr>
                <w:rFonts w:hint="eastAsia"/>
                <w:b/>
                <w:bCs/>
                <w:sz w:val="21"/>
                <w:szCs w:val="21"/>
              </w:rPr>
            </w:pPr>
            <w:r>
              <w:rPr>
                <w:rFonts w:hint="eastAsia" w:ascii="宋体" w:hAnsi="宋体" w:cs="宋体"/>
                <w:szCs w:val="21"/>
              </w:rPr>
              <w:t>按格式要求提供《武汉市政府采购供应商信用承诺书》</w:t>
            </w:r>
          </w:p>
        </w:tc>
        <w:tc>
          <w:tcPr>
            <w:tcW w:w="2254" w:type="dxa"/>
            <w:noWrap w:val="0"/>
            <w:vAlign w:val="center"/>
          </w:tcPr>
          <w:p>
            <w:pPr>
              <w:spacing w:line="300" w:lineRule="exact"/>
              <w:jc w:val="center"/>
              <w:rPr>
                <w:rFonts w:hint="eastAsia"/>
                <w:szCs w:val="21"/>
              </w:rPr>
            </w:pPr>
            <w:r>
              <w:rPr>
                <w:rFonts w:hint="eastAsia" w:ascii="宋体" w:hAnsi="宋体" w:cs="宋体"/>
                <w:szCs w:val="21"/>
              </w:rPr>
              <w:t>《武汉市政府采购供应商信用承诺书》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rFonts w:hint="eastAsia" w:eastAsia="宋体"/>
                <w:bCs/>
                <w:spacing w:val="6"/>
                <w:szCs w:val="21"/>
                <w:lang w:eastAsia="zh-CN"/>
              </w:rPr>
            </w:pPr>
            <w:r>
              <w:rPr>
                <w:rFonts w:hint="eastAsia"/>
                <w:bCs/>
                <w:spacing w:val="6"/>
                <w:szCs w:val="21"/>
                <w:lang w:val="en-US" w:eastAsia="zh-CN"/>
              </w:rPr>
              <w:t>7</w:t>
            </w:r>
          </w:p>
        </w:tc>
        <w:tc>
          <w:tcPr>
            <w:tcW w:w="5715" w:type="dxa"/>
            <w:noWrap w:val="0"/>
            <w:vAlign w:val="center"/>
          </w:tcPr>
          <w:p>
            <w:pPr>
              <w:spacing w:line="300" w:lineRule="exact"/>
              <w:rPr>
                <w:rFonts w:hint="eastAsia"/>
                <w:color w:val="333333"/>
              </w:rPr>
            </w:pPr>
            <w:r>
              <w:rPr>
                <w:rFonts w:hint="eastAsia"/>
                <w:szCs w:val="21"/>
              </w:rPr>
              <w:t>响应文件无磋商文件规定的其他无效投标条款。</w:t>
            </w:r>
          </w:p>
        </w:tc>
        <w:tc>
          <w:tcPr>
            <w:tcW w:w="2254" w:type="dxa"/>
            <w:noWrap w:val="0"/>
            <w:vAlign w:val="center"/>
          </w:tcPr>
          <w:p>
            <w:pPr>
              <w:spacing w:line="300" w:lineRule="exact"/>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noWrap w:val="0"/>
            <w:vAlign w:val="center"/>
          </w:tcPr>
          <w:p>
            <w:pPr>
              <w:spacing w:line="300" w:lineRule="exact"/>
              <w:jc w:val="center"/>
              <w:rPr>
                <w:rFonts w:hint="eastAsia" w:eastAsia="宋体"/>
                <w:bCs/>
                <w:spacing w:val="6"/>
                <w:szCs w:val="21"/>
                <w:lang w:eastAsia="zh-CN"/>
              </w:rPr>
            </w:pPr>
            <w:r>
              <w:rPr>
                <w:rFonts w:hint="eastAsia"/>
                <w:bCs/>
                <w:spacing w:val="6"/>
                <w:szCs w:val="21"/>
                <w:lang w:val="en-US" w:eastAsia="zh-CN"/>
              </w:rPr>
              <w:t>8</w:t>
            </w:r>
          </w:p>
        </w:tc>
        <w:tc>
          <w:tcPr>
            <w:tcW w:w="5715" w:type="dxa"/>
            <w:noWrap w:val="0"/>
            <w:vAlign w:val="center"/>
          </w:tcPr>
          <w:p>
            <w:pPr>
              <w:spacing w:line="300" w:lineRule="exact"/>
              <w:rPr>
                <w:rFonts w:hint="eastAsia"/>
                <w:szCs w:val="21"/>
              </w:rPr>
            </w:pPr>
            <w:r>
              <w:rPr>
                <w:rFonts w:hint="eastAsia"/>
                <w:szCs w:val="21"/>
              </w:rPr>
              <w:t>不存在法律、法规规定的其他无效情形。</w:t>
            </w:r>
          </w:p>
        </w:tc>
        <w:tc>
          <w:tcPr>
            <w:tcW w:w="2254" w:type="dxa"/>
            <w:noWrap w:val="0"/>
            <w:vAlign w:val="center"/>
          </w:tcPr>
          <w:p>
            <w:pPr>
              <w:spacing w:line="300" w:lineRule="exact"/>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8" w:type="dxa"/>
            <w:gridSpan w:val="2"/>
            <w:noWrap w:val="0"/>
            <w:vAlign w:val="center"/>
          </w:tcPr>
          <w:p>
            <w:pPr>
              <w:spacing w:line="300" w:lineRule="exact"/>
              <w:jc w:val="center"/>
              <w:rPr>
                <w:rFonts w:hint="eastAsia"/>
                <w:szCs w:val="21"/>
              </w:rPr>
            </w:pPr>
            <w:r>
              <w:rPr>
                <w:rFonts w:hint="eastAsia"/>
                <w:szCs w:val="21"/>
              </w:rPr>
              <w:t>审查结论</w:t>
            </w:r>
          </w:p>
        </w:tc>
        <w:tc>
          <w:tcPr>
            <w:tcW w:w="2254" w:type="dxa"/>
            <w:noWrap w:val="0"/>
            <w:vAlign w:val="center"/>
          </w:tcPr>
          <w:p>
            <w:pPr>
              <w:spacing w:line="300" w:lineRule="exact"/>
              <w:jc w:val="center"/>
              <w:rPr>
                <w:rFonts w:hint="eastAsia"/>
                <w:szCs w:val="21"/>
              </w:rPr>
            </w:pPr>
          </w:p>
        </w:tc>
      </w:tr>
    </w:tbl>
    <w:p>
      <w:pPr>
        <w:spacing w:line="560" w:lineRule="exact"/>
        <w:ind w:left="585"/>
        <w:rPr>
          <w:rFonts w:hint="eastAsia" w:ascii="宋体" w:hAnsi="宋体" w:cs="宋体"/>
          <w:sz w:val="24"/>
        </w:rPr>
      </w:pPr>
      <w:r>
        <w:rPr>
          <w:rFonts w:hint="eastAsia" w:ascii="宋体" w:hAnsi="宋体" w:cs="宋体"/>
          <w:sz w:val="24"/>
        </w:rPr>
        <w:t>说明:</w:t>
      </w:r>
    </w:p>
    <w:p>
      <w:pPr>
        <w:spacing w:line="560" w:lineRule="exact"/>
        <w:ind w:left="585"/>
        <w:rPr>
          <w:rFonts w:hint="eastAsia" w:ascii="宋体" w:hAnsi="宋体" w:cs="宋体"/>
          <w:sz w:val="24"/>
        </w:rPr>
      </w:pPr>
      <w:r>
        <w:rPr>
          <w:rFonts w:hint="eastAsia" w:ascii="宋体" w:hAnsi="宋体" w:cs="宋体"/>
          <w:sz w:val="24"/>
        </w:rPr>
        <w:t>(1)磋商小组分别对每一响应文件依据上表进行审查。</w:t>
      </w:r>
    </w:p>
    <w:p>
      <w:pPr>
        <w:spacing w:line="560" w:lineRule="exact"/>
        <w:ind w:left="585"/>
        <w:rPr>
          <w:rFonts w:hint="eastAsia" w:ascii="宋体" w:hAnsi="宋体" w:cs="宋体"/>
          <w:sz w:val="24"/>
        </w:rPr>
      </w:pPr>
      <w:r>
        <w:rPr>
          <w:rFonts w:hint="eastAsia" w:ascii="宋体" w:hAnsi="宋体" w:cs="宋体"/>
          <w:sz w:val="24"/>
        </w:rPr>
        <w:t>(2)磋商小组决定磋商的响应性只根据响应文件本身的真实无误的内容，而不依据外部的证据，但响应文件有不真实不正确的内容时除外。</w:t>
      </w:r>
    </w:p>
    <w:p>
      <w:pPr>
        <w:spacing w:line="560" w:lineRule="exact"/>
        <w:ind w:left="585"/>
        <w:rPr>
          <w:rFonts w:hint="eastAsia" w:ascii="宋体" w:hAnsi="宋体" w:cs="宋体"/>
          <w:sz w:val="24"/>
        </w:rPr>
      </w:pPr>
      <w:r>
        <w:rPr>
          <w:rFonts w:hint="eastAsia" w:ascii="宋体" w:hAnsi="宋体" w:cs="宋体"/>
          <w:sz w:val="24"/>
        </w:rPr>
        <w:t>(3)满足要求的条款打“√”，否则为“×”。</w:t>
      </w:r>
    </w:p>
    <w:p>
      <w:pPr>
        <w:spacing w:line="560" w:lineRule="exact"/>
        <w:ind w:left="585"/>
        <w:rPr>
          <w:rFonts w:hint="eastAsia" w:ascii="宋体" w:hAnsi="宋体" w:cs="宋体"/>
          <w:sz w:val="24"/>
        </w:rPr>
      </w:pPr>
      <w:r>
        <w:rPr>
          <w:rFonts w:hint="eastAsia" w:ascii="宋体" w:hAnsi="宋体" w:cs="宋体"/>
          <w:sz w:val="24"/>
        </w:rPr>
        <w:t>(4)对于响应文件中有任意一条不满足要求将导致其磋商无效，不能进入评审。</w:t>
      </w:r>
    </w:p>
    <w:p>
      <w:pPr>
        <w:pStyle w:val="4"/>
        <w:ind w:firstLine="689" w:firstLineChars="245"/>
        <w:jc w:val="both"/>
        <w:rPr>
          <w:rFonts w:hint="eastAsia" w:cs="宋体"/>
        </w:rPr>
      </w:pPr>
      <w:bookmarkStart w:id="88" w:name="_Toc27137"/>
      <w:bookmarkStart w:id="89" w:name="_Toc21553"/>
      <w:bookmarkStart w:id="90" w:name="_Toc25946"/>
      <w:bookmarkStart w:id="91" w:name="_Toc30025"/>
      <w:r>
        <w:rPr>
          <w:rFonts w:hint="eastAsia" w:cs="宋体"/>
        </w:rPr>
        <w:t>附表3：评分标准表</w:t>
      </w:r>
      <w:bookmarkEnd w:id="88"/>
      <w:bookmarkEnd w:id="89"/>
      <w:bookmarkEnd w:id="90"/>
      <w:bookmarkEnd w:id="91"/>
    </w:p>
    <w:tbl>
      <w:tblPr>
        <w:tblStyle w:val="10"/>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875"/>
        <w:gridCol w:w="1013"/>
        <w:gridCol w:w="5823"/>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18" w:type="dxa"/>
            <w:noWrap/>
            <w:vAlign w:val="center"/>
          </w:tcPr>
          <w:p>
            <w:pPr>
              <w:widowControl/>
              <w:spacing w:line="240" w:lineRule="exact"/>
              <w:rPr>
                <w:szCs w:val="21"/>
              </w:rPr>
            </w:pPr>
            <w:r>
              <w:rPr>
                <w:rFonts w:hint="eastAsia"/>
                <w:szCs w:val="21"/>
              </w:rPr>
              <w:t>评标项目</w:t>
            </w:r>
          </w:p>
        </w:tc>
        <w:tc>
          <w:tcPr>
            <w:tcW w:w="875" w:type="dxa"/>
            <w:noWrap/>
            <w:vAlign w:val="center"/>
          </w:tcPr>
          <w:p>
            <w:pPr>
              <w:widowControl/>
              <w:spacing w:line="240" w:lineRule="exact"/>
              <w:rPr>
                <w:szCs w:val="21"/>
              </w:rPr>
            </w:pPr>
            <w:r>
              <w:rPr>
                <w:rFonts w:hint="eastAsia"/>
                <w:szCs w:val="21"/>
              </w:rPr>
              <w:t>评标因素</w:t>
            </w:r>
          </w:p>
        </w:tc>
        <w:tc>
          <w:tcPr>
            <w:tcW w:w="1013" w:type="dxa"/>
            <w:noWrap/>
            <w:vAlign w:val="center"/>
          </w:tcPr>
          <w:p>
            <w:pPr>
              <w:widowControl/>
              <w:spacing w:line="240" w:lineRule="exact"/>
              <w:rPr>
                <w:szCs w:val="21"/>
              </w:rPr>
            </w:pPr>
            <w:r>
              <w:rPr>
                <w:rFonts w:hint="eastAsia"/>
                <w:szCs w:val="21"/>
              </w:rPr>
              <w:t xml:space="preserve">客观分/ </w:t>
            </w:r>
          </w:p>
          <w:p>
            <w:pPr>
              <w:widowControl/>
              <w:spacing w:line="240" w:lineRule="exact"/>
              <w:rPr>
                <w:szCs w:val="21"/>
              </w:rPr>
            </w:pPr>
            <w:r>
              <w:rPr>
                <w:rFonts w:hint="eastAsia"/>
                <w:szCs w:val="21"/>
              </w:rPr>
              <w:t>主观分</w:t>
            </w:r>
          </w:p>
        </w:tc>
        <w:tc>
          <w:tcPr>
            <w:tcW w:w="5823" w:type="dxa"/>
            <w:noWrap/>
            <w:vAlign w:val="center"/>
          </w:tcPr>
          <w:p>
            <w:pPr>
              <w:widowControl/>
              <w:spacing w:line="240" w:lineRule="exact"/>
              <w:jc w:val="center"/>
              <w:rPr>
                <w:szCs w:val="21"/>
              </w:rPr>
            </w:pPr>
            <w:r>
              <w:rPr>
                <w:rFonts w:hint="eastAsia"/>
                <w:szCs w:val="21"/>
              </w:rPr>
              <w:t>评标分项及分值</w:t>
            </w:r>
          </w:p>
        </w:tc>
        <w:tc>
          <w:tcPr>
            <w:tcW w:w="745" w:type="dxa"/>
            <w:noWrap/>
            <w:vAlign w:val="center"/>
          </w:tcPr>
          <w:p>
            <w:pPr>
              <w:widowControl/>
              <w:spacing w:line="240" w:lineRule="exact"/>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118" w:type="dxa"/>
            <w:vMerge w:val="restart"/>
            <w:noWrap/>
            <w:vAlign w:val="center"/>
          </w:tcPr>
          <w:p>
            <w:pPr>
              <w:widowControl/>
              <w:spacing w:line="240" w:lineRule="exact"/>
              <w:rPr>
                <w:szCs w:val="21"/>
              </w:rPr>
            </w:pPr>
            <w:r>
              <w:rPr>
                <w:rFonts w:hint="eastAsia"/>
                <w:szCs w:val="21"/>
              </w:rPr>
              <w:t>商务部分</w:t>
            </w:r>
          </w:p>
          <w:p>
            <w:pPr>
              <w:widowControl/>
              <w:spacing w:line="240" w:lineRule="exact"/>
              <w:rPr>
                <w:szCs w:val="21"/>
              </w:rPr>
            </w:pPr>
            <w:r>
              <w:rPr>
                <w:rFonts w:hint="eastAsia"/>
                <w:szCs w:val="21"/>
              </w:rPr>
              <w:t>（30分）</w:t>
            </w:r>
          </w:p>
        </w:tc>
        <w:tc>
          <w:tcPr>
            <w:tcW w:w="875" w:type="dxa"/>
            <w:noWrap/>
            <w:vAlign w:val="center"/>
          </w:tcPr>
          <w:p>
            <w:pPr>
              <w:widowControl/>
              <w:spacing w:line="240" w:lineRule="exact"/>
              <w:rPr>
                <w:szCs w:val="21"/>
              </w:rPr>
            </w:pPr>
            <w:r>
              <w:rPr>
                <w:rFonts w:hint="eastAsia"/>
                <w:szCs w:val="21"/>
              </w:rPr>
              <w:t>类似业绩</w:t>
            </w:r>
          </w:p>
        </w:tc>
        <w:tc>
          <w:tcPr>
            <w:tcW w:w="1013" w:type="dxa"/>
            <w:noWrap/>
            <w:vAlign w:val="center"/>
          </w:tcPr>
          <w:p>
            <w:pPr>
              <w:widowControl/>
              <w:spacing w:line="240" w:lineRule="exact"/>
              <w:rPr>
                <w:szCs w:val="21"/>
              </w:rPr>
            </w:pPr>
            <w:r>
              <w:rPr>
                <w:rFonts w:hint="eastAsia"/>
                <w:szCs w:val="21"/>
              </w:rPr>
              <w:t>客观分</w:t>
            </w:r>
          </w:p>
        </w:tc>
        <w:tc>
          <w:tcPr>
            <w:tcW w:w="5823" w:type="dxa"/>
            <w:noWrap/>
            <w:vAlign w:val="center"/>
          </w:tcPr>
          <w:p>
            <w:pPr>
              <w:widowControl/>
              <w:spacing w:line="240" w:lineRule="exact"/>
              <w:rPr>
                <w:szCs w:val="21"/>
              </w:rPr>
            </w:pPr>
            <w:r>
              <w:rPr>
                <w:rFonts w:hint="eastAsia"/>
                <w:szCs w:val="21"/>
              </w:rPr>
              <w:t>投标人2021年1月以来承担过</w:t>
            </w:r>
            <w:r>
              <w:rPr>
                <w:rFonts w:hint="eastAsia" w:ascii="宋体" w:hAnsi="宋体" w:cs="宋体"/>
                <w:kern w:val="0"/>
                <w:szCs w:val="21"/>
              </w:rPr>
              <w:t>新媒体或自媒体等代运营的</w:t>
            </w:r>
            <w:r>
              <w:rPr>
                <w:rFonts w:hint="eastAsia"/>
                <w:szCs w:val="21"/>
              </w:rPr>
              <w:t>类似的项目业绩（以合同签订时间为准），每项得3分，满分15分。</w:t>
            </w:r>
          </w:p>
          <w:p>
            <w:pPr>
              <w:widowControl/>
              <w:spacing w:line="240" w:lineRule="exact"/>
              <w:rPr>
                <w:szCs w:val="21"/>
              </w:rPr>
            </w:pPr>
            <w:r>
              <w:rPr>
                <w:rFonts w:hint="eastAsia"/>
                <w:szCs w:val="21"/>
              </w:rPr>
              <w:t>注：应提供合同复印件，否则不予计分。</w:t>
            </w:r>
          </w:p>
        </w:tc>
        <w:tc>
          <w:tcPr>
            <w:tcW w:w="745" w:type="dxa"/>
            <w:noWrap/>
            <w:vAlign w:val="center"/>
          </w:tcPr>
          <w:p>
            <w:pPr>
              <w:widowControl/>
              <w:spacing w:line="240" w:lineRule="exact"/>
              <w:jc w:val="center"/>
              <w:rPr>
                <w:rFonts w:hint="eastAsia"/>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118" w:type="dxa"/>
            <w:vMerge w:val="continue"/>
            <w:noWrap/>
            <w:vAlign w:val="center"/>
          </w:tcPr>
          <w:p>
            <w:pPr>
              <w:widowControl/>
              <w:spacing w:line="240" w:lineRule="exact"/>
              <w:jc w:val="center"/>
              <w:rPr>
                <w:szCs w:val="21"/>
              </w:rPr>
            </w:pPr>
          </w:p>
        </w:tc>
        <w:tc>
          <w:tcPr>
            <w:tcW w:w="875" w:type="dxa"/>
            <w:vMerge w:val="restart"/>
            <w:noWrap/>
            <w:vAlign w:val="center"/>
          </w:tcPr>
          <w:p>
            <w:pPr>
              <w:widowControl/>
              <w:spacing w:line="240" w:lineRule="exact"/>
              <w:rPr>
                <w:szCs w:val="21"/>
              </w:rPr>
            </w:pPr>
            <w:r>
              <w:rPr>
                <w:rFonts w:hint="eastAsia"/>
                <w:szCs w:val="21"/>
              </w:rPr>
              <w:t>项目团队成员</w:t>
            </w:r>
          </w:p>
        </w:tc>
        <w:tc>
          <w:tcPr>
            <w:tcW w:w="1013" w:type="dxa"/>
            <w:vMerge w:val="restart"/>
            <w:noWrap/>
            <w:vAlign w:val="center"/>
          </w:tcPr>
          <w:p>
            <w:pPr>
              <w:widowControl/>
              <w:spacing w:line="240" w:lineRule="exact"/>
              <w:rPr>
                <w:szCs w:val="21"/>
              </w:rPr>
            </w:pPr>
            <w:r>
              <w:rPr>
                <w:rFonts w:hint="eastAsia"/>
                <w:szCs w:val="21"/>
              </w:rPr>
              <w:t>客观分</w:t>
            </w:r>
          </w:p>
        </w:tc>
        <w:tc>
          <w:tcPr>
            <w:tcW w:w="5823" w:type="dxa"/>
            <w:noWrap/>
            <w:vAlign w:val="center"/>
          </w:tcPr>
          <w:p>
            <w:pPr>
              <w:spacing w:line="240" w:lineRule="atLeast"/>
              <w:rPr>
                <w:szCs w:val="21"/>
              </w:rPr>
            </w:pPr>
            <w:r>
              <w:rPr>
                <w:rFonts w:hint="eastAsia"/>
                <w:szCs w:val="21"/>
              </w:rPr>
              <w:t>供应商需提供1名为本项目服务的项目负责人：</w:t>
            </w:r>
          </w:p>
          <w:p>
            <w:pPr>
              <w:spacing w:line="240" w:lineRule="atLeast"/>
              <w:rPr>
                <w:szCs w:val="21"/>
              </w:rPr>
            </w:pPr>
            <w:r>
              <w:rPr>
                <w:rFonts w:hint="eastAsia"/>
                <w:szCs w:val="21"/>
              </w:rPr>
              <w:t>项目负责人具有10年及以上的工作经验，提供工作经验证明（或承诺书），得1分；具有相关专业高级及以上职称的得1分。满分2分。</w:t>
            </w:r>
          </w:p>
          <w:p>
            <w:pPr>
              <w:spacing w:line="240" w:lineRule="atLeast"/>
              <w:rPr>
                <w:szCs w:val="21"/>
              </w:rPr>
            </w:pPr>
            <w:r>
              <w:rPr>
                <w:rFonts w:hint="eastAsia"/>
                <w:szCs w:val="21"/>
              </w:rPr>
              <w:t>注：需提供身份证复印件、工作证明</w:t>
            </w:r>
            <w:r>
              <w:rPr>
                <w:rFonts w:hint="eastAsia"/>
                <w:szCs w:val="21"/>
                <w:lang w:val="en-US" w:eastAsia="zh-CN"/>
              </w:rPr>
              <w:t>经验证明</w:t>
            </w:r>
            <w:r>
              <w:rPr>
                <w:rFonts w:hint="eastAsia"/>
                <w:szCs w:val="21"/>
              </w:rPr>
              <w:t>复印件或承诺书复印件、职称证复印件。</w:t>
            </w:r>
          </w:p>
        </w:tc>
        <w:tc>
          <w:tcPr>
            <w:tcW w:w="745" w:type="dxa"/>
            <w:noWrap/>
            <w:vAlign w:val="center"/>
          </w:tcPr>
          <w:p>
            <w:pPr>
              <w:widowControl/>
              <w:spacing w:line="24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8" w:type="dxa"/>
            <w:vMerge w:val="continue"/>
            <w:noWrap/>
            <w:vAlign w:val="center"/>
          </w:tcPr>
          <w:p>
            <w:pPr>
              <w:widowControl/>
              <w:spacing w:line="240" w:lineRule="exact"/>
              <w:jc w:val="center"/>
              <w:rPr>
                <w:szCs w:val="21"/>
              </w:rPr>
            </w:pPr>
          </w:p>
        </w:tc>
        <w:tc>
          <w:tcPr>
            <w:tcW w:w="875" w:type="dxa"/>
            <w:vMerge w:val="continue"/>
            <w:noWrap/>
            <w:vAlign w:val="center"/>
          </w:tcPr>
          <w:p>
            <w:pPr>
              <w:widowControl/>
              <w:spacing w:line="240" w:lineRule="exact"/>
              <w:jc w:val="center"/>
              <w:rPr>
                <w:szCs w:val="21"/>
              </w:rPr>
            </w:pPr>
          </w:p>
        </w:tc>
        <w:tc>
          <w:tcPr>
            <w:tcW w:w="1013" w:type="dxa"/>
            <w:vMerge w:val="continue"/>
            <w:noWrap/>
            <w:vAlign w:val="center"/>
          </w:tcPr>
          <w:p>
            <w:pPr>
              <w:widowControl/>
              <w:spacing w:line="240" w:lineRule="exact"/>
              <w:jc w:val="center"/>
              <w:rPr>
                <w:szCs w:val="21"/>
              </w:rPr>
            </w:pPr>
          </w:p>
        </w:tc>
        <w:tc>
          <w:tcPr>
            <w:tcW w:w="5823" w:type="dxa"/>
            <w:noWrap/>
            <w:vAlign w:val="center"/>
          </w:tcPr>
          <w:p>
            <w:pPr>
              <w:spacing w:line="240" w:lineRule="atLeast"/>
              <w:rPr>
                <w:rFonts w:hint="eastAsia"/>
                <w:szCs w:val="21"/>
              </w:rPr>
            </w:pPr>
            <w:r>
              <w:rPr>
                <w:rFonts w:hint="eastAsia"/>
                <w:szCs w:val="21"/>
              </w:rPr>
              <w:t>供应商需提供为本项目服务的团队成员（不含项目负责人），根据团队成员进行评分：</w:t>
            </w:r>
          </w:p>
          <w:p>
            <w:pPr>
              <w:spacing w:line="240" w:lineRule="atLeast"/>
              <w:rPr>
                <w:rFonts w:hint="eastAsia"/>
                <w:szCs w:val="21"/>
              </w:rPr>
            </w:pPr>
            <w:r>
              <w:rPr>
                <w:rFonts w:hint="eastAsia"/>
                <w:szCs w:val="21"/>
              </w:rPr>
              <w:t>团队成员具有2年及以上的工作经验，每增加1人得1分，最高得5分。</w:t>
            </w:r>
          </w:p>
          <w:p>
            <w:pPr>
              <w:spacing w:line="240" w:lineRule="atLeast"/>
              <w:rPr>
                <w:szCs w:val="21"/>
              </w:rPr>
            </w:pPr>
            <w:r>
              <w:rPr>
                <w:rFonts w:hint="eastAsia"/>
                <w:szCs w:val="21"/>
              </w:rPr>
              <w:t>注：需提供身份证复印件、提供工作经验证明复印件或承诺书复印件。</w:t>
            </w:r>
          </w:p>
        </w:tc>
        <w:tc>
          <w:tcPr>
            <w:tcW w:w="745" w:type="dxa"/>
            <w:noWrap/>
            <w:vAlign w:val="center"/>
          </w:tcPr>
          <w:p>
            <w:pPr>
              <w:widowControl/>
              <w:spacing w:line="240" w:lineRule="exact"/>
              <w:jc w:val="center"/>
              <w:rPr>
                <w:rFonts w:hint="eastAsia" w:eastAsia="仿宋"/>
                <w:szCs w:val="21"/>
              </w:rPr>
            </w:pPr>
            <w:r>
              <w:rPr>
                <w:rFonts w:hint="eastAsia" w:eastAsia="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8" w:type="dxa"/>
            <w:vMerge w:val="continue"/>
            <w:noWrap/>
            <w:vAlign w:val="center"/>
          </w:tcPr>
          <w:p>
            <w:pPr>
              <w:widowControl/>
              <w:spacing w:line="240" w:lineRule="exact"/>
              <w:jc w:val="center"/>
              <w:rPr>
                <w:szCs w:val="21"/>
              </w:rPr>
            </w:pPr>
          </w:p>
        </w:tc>
        <w:tc>
          <w:tcPr>
            <w:tcW w:w="875" w:type="dxa"/>
            <w:vMerge w:val="continue"/>
            <w:noWrap/>
            <w:vAlign w:val="center"/>
          </w:tcPr>
          <w:p>
            <w:pPr>
              <w:widowControl/>
              <w:spacing w:line="240" w:lineRule="exact"/>
              <w:rPr>
                <w:szCs w:val="21"/>
              </w:rPr>
            </w:pPr>
          </w:p>
        </w:tc>
        <w:tc>
          <w:tcPr>
            <w:tcW w:w="1013" w:type="dxa"/>
            <w:vMerge w:val="continue"/>
            <w:noWrap/>
            <w:vAlign w:val="center"/>
          </w:tcPr>
          <w:p>
            <w:pPr>
              <w:widowControl/>
              <w:spacing w:line="240" w:lineRule="exact"/>
              <w:rPr>
                <w:szCs w:val="21"/>
              </w:rPr>
            </w:pPr>
          </w:p>
        </w:tc>
        <w:tc>
          <w:tcPr>
            <w:tcW w:w="5823" w:type="dxa"/>
            <w:noWrap/>
            <w:vAlign w:val="center"/>
          </w:tcPr>
          <w:p>
            <w:pPr>
              <w:spacing w:line="240" w:lineRule="atLeast"/>
              <w:rPr>
                <w:rFonts w:hint="eastAsia" w:ascii="宋体" w:hAnsi="宋体" w:cs="宋体"/>
                <w:kern w:val="0"/>
                <w:szCs w:val="21"/>
              </w:rPr>
            </w:pPr>
            <w:r>
              <w:rPr>
                <w:rFonts w:hint="eastAsia" w:ascii="宋体" w:hAnsi="宋体" w:cs="宋体"/>
                <w:kern w:val="0"/>
                <w:szCs w:val="21"/>
              </w:rPr>
              <w:t>拟派项目</w:t>
            </w:r>
            <w:r>
              <w:rPr>
                <w:rFonts w:hint="eastAsia"/>
                <w:szCs w:val="21"/>
              </w:rPr>
              <w:t>团队成员（含项目负责人）</w:t>
            </w:r>
            <w:r>
              <w:rPr>
                <w:rFonts w:hint="eastAsia" w:ascii="宋体" w:hAnsi="宋体" w:cs="宋体"/>
                <w:kern w:val="0"/>
                <w:szCs w:val="21"/>
              </w:rPr>
              <w:t>中有获得国家级新闻类荣誉的每个得3分，满分6分；获得省级或市级新闻类荣誉的每个得1分，满分2分；本项满分8分。</w:t>
            </w:r>
          </w:p>
          <w:p>
            <w:pPr>
              <w:spacing w:line="240" w:lineRule="atLeast"/>
              <w:rPr>
                <w:szCs w:val="21"/>
              </w:rPr>
            </w:pPr>
            <w:r>
              <w:rPr>
                <w:rFonts w:hint="eastAsia"/>
                <w:szCs w:val="21"/>
              </w:rPr>
              <w:t>注：需提供获奖证明复印件。</w:t>
            </w:r>
          </w:p>
        </w:tc>
        <w:tc>
          <w:tcPr>
            <w:tcW w:w="745" w:type="dxa"/>
            <w:noWrap/>
            <w:vAlign w:val="center"/>
          </w:tcPr>
          <w:p>
            <w:pPr>
              <w:widowControl/>
              <w:spacing w:line="240" w:lineRule="exact"/>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18" w:type="dxa"/>
            <w:vMerge w:val="restart"/>
            <w:noWrap/>
            <w:vAlign w:val="center"/>
          </w:tcPr>
          <w:p>
            <w:pPr>
              <w:widowControl/>
              <w:spacing w:line="240" w:lineRule="exact"/>
              <w:rPr>
                <w:szCs w:val="21"/>
              </w:rPr>
            </w:pPr>
            <w:r>
              <w:rPr>
                <w:rFonts w:hint="eastAsia"/>
                <w:szCs w:val="21"/>
              </w:rPr>
              <w:t>技术部分（60分）</w:t>
            </w:r>
          </w:p>
        </w:tc>
        <w:tc>
          <w:tcPr>
            <w:tcW w:w="875" w:type="dxa"/>
            <w:noWrap/>
            <w:vAlign w:val="center"/>
          </w:tcPr>
          <w:p>
            <w:pPr>
              <w:adjustRightInd w:val="0"/>
              <w:snapToGrid w:val="0"/>
              <w:spacing w:line="280" w:lineRule="exact"/>
              <w:jc w:val="center"/>
              <w:rPr>
                <w:color w:val="000000"/>
                <w:szCs w:val="21"/>
              </w:rPr>
            </w:pPr>
            <w:r>
              <w:rPr>
                <w:rFonts w:hint="eastAsia"/>
                <w:szCs w:val="21"/>
              </w:rPr>
              <w:t>服务方案</w:t>
            </w:r>
          </w:p>
        </w:tc>
        <w:tc>
          <w:tcPr>
            <w:tcW w:w="1013" w:type="dxa"/>
            <w:noWrap/>
            <w:vAlign w:val="center"/>
          </w:tcPr>
          <w:p>
            <w:pPr>
              <w:adjustRightInd w:val="0"/>
              <w:snapToGrid w:val="0"/>
              <w:spacing w:line="280" w:lineRule="exact"/>
              <w:jc w:val="center"/>
              <w:rPr>
                <w:color w:val="000000"/>
                <w:szCs w:val="21"/>
              </w:rPr>
            </w:pPr>
            <w:r>
              <w:rPr>
                <w:rFonts w:hint="eastAsia"/>
                <w:szCs w:val="21"/>
              </w:rPr>
              <w:t>主观分</w:t>
            </w:r>
          </w:p>
        </w:tc>
        <w:tc>
          <w:tcPr>
            <w:tcW w:w="5823" w:type="dxa"/>
            <w:noWrap/>
            <w:vAlign w:val="center"/>
          </w:tcPr>
          <w:p>
            <w:pPr>
              <w:rPr>
                <w:rFonts w:hint="eastAsia" w:ascii="宋体" w:hAnsi="宋体"/>
                <w:b/>
                <w:bCs/>
                <w:szCs w:val="21"/>
              </w:rPr>
            </w:pPr>
            <w:r>
              <w:rPr>
                <w:rFonts w:hint="eastAsia" w:ascii="宋体" w:hAnsi="宋体"/>
                <w:b/>
                <w:bCs/>
                <w:szCs w:val="21"/>
              </w:rPr>
              <w:t>一、评审内容：</w:t>
            </w:r>
          </w:p>
          <w:p>
            <w:pPr>
              <w:rPr>
                <w:rFonts w:hint="eastAsia" w:ascii="宋体" w:hAnsi="宋体"/>
                <w:szCs w:val="21"/>
              </w:rPr>
            </w:pPr>
            <w:r>
              <w:rPr>
                <w:rFonts w:hint="eastAsia" w:ascii="宋体" w:hAnsi="宋体"/>
                <w:szCs w:val="21"/>
              </w:rPr>
              <w:t>本项目整体服务方案应包括以下内容：</w:t>
            </w:r>
          </w:p>
          <w:p>
            <w:pPr>
              <w:rPr>
                <w:rFonts w:hint="eastAsia" w:ascii="宋体" w:hAnsi="宋体"/>
                <w:szCs w:val="21"/>
              </w:rPr>
            </w:pPr>
            <w:r>
              <w:rPr>
                <w:rFonts w:hint="eastAsia" w:ascii="宋体" w:hAnsi="宋体"/>
                <w:szCs w:val="21"/>
              </w:rPr>
              <w:t>1、</w:t>
            </w:r>
            <w:r>
              <w:rPr>
                <w:rFonts w:hint="eastAsia"/>
                <w:szCs w:val="21"/>
              </w:rPr>
              <w:t>对项目</w:t>
            </w:r>
            <w:r>
              <w:rPr>
                <w:rFonts w:hint="eastAsia" w:ascii="宋体" w:hAnsi="宋体"/>
                <w:szCs w:val="21"/>
              </w:rPr>
              <w:t>管理和现状的分析（5分）</w:t>
            </w:r>
          </w:p>
          <w:p>
            <w:pPr>
              <w:rPr>
                <w:rFonts w:hint="eastAsia" w:ascii="宋体" w:hAnsi="宋体"/>
                <w:szCs w:val="21"/>
              </w:rPr>
            </w:pPr>
            <w:r>
              <w:rPr>
                <w:rFonts w:hint="eastAsia" w:ascii="宋体" w:hAnsi="宋体"/>
                <w:szCs w:val="21"/>
              </w:rPr>
              <w:t>2、</w:t>
            </w:r>
            <w:r>
              <w:rPr>
                <w:rFonts w:hint="eastAsia"/>
                <w:szCs w:val="21"/>
              </w:rPr>
              <w:t>工作重点及目标</w:t>
            </w:r>
            <w:r>
              <w:rPr>
                <w:rFonts w:hint="eastAsia" w:ascii="宋体" w:hAnsi="宋体"/>
                <w:szCs w:val="21"/>
              </w:rPr>
              <w:t>（5分）</w:t>
            </w:r>
          </w:p>
          <w:p>
            <w:pPr>
              <w:rPr>
                <w:rFonts w:hint="eastAsia"/>
                <w:szCs w:val="21"/>
              </w:rPr>
            </w:pPr>
            <w:r>
              <w:rPr>
                <w:rFonts w:hint="eastAsia"/>
                <w:szCs w:val="21"/>
              </w:rPr>
              <w:t>3、项目实施方案</w:t>
            </w:r>
            <w:r>
              <w:rPr>
                <w:rFonts w:hint="eastAsia" w:ascii="宋体" w:hAnsi="宋体"/>
                <w:szCs w:val="21"/>
              </w:rPr>
              <w:t>（5分）</w:t>
            </w:r>
          </w:p>
          <w:p>
            <w:pPr>
              <w:rPr>
                <w:rFonts w:hint="eastAsia"/>
                <w:szCs w:val="21"/>
              </w:rPr>
            </w:pPr>
            <w:r>
              <w:rPr>
                <w:rFonts w:hint="eastAsia"/>
                <w:szCs w:val="21"/>
              </w:rPr>
              <w:t>4、项目实施流程</w:t>
            </w:r>
            <w:r>
              <w:rPr>
                <w:rFonts w:hint="eastAsia" w:ascii="宋体" w:hAnsi="宋体"/>
                <w:szCs w:val="21"/>
              </w:rPr>
              <w:t>（5分）</w:t>
            </w:r>
          </w:p>
          <w:p>
            <w:pPr>
              <w:rPr>
                <w:rFonts w:hint="eastAsia"/>
                <w:szCs w:val="21"/>
              </w:rPr>
            </w:pPr>
            <w:r>
              <w:rPr>
                <w:rFonts w:hint="eastAsia"/>
                <w:szCs w:val="21"/>
              </w:rPr>
              <w:t>5、拟投入设备配备情况（5分）</w:t>
            </w:r>
          </w:p>
          <w:p>
            <w:pPr>
              <w:rPr>
                <w:rFonts w:hint="eastAsia"/>
                <w:szCs w:val="21"/>
              </w:rPr>
            </w:pPr>
            <w:r>
              <w:rPr>
                <w:rFonts w:hint="eastAsia"/>
                <w:szCs w:val="21"/>
              </w:rPr>
              <w:t>6、工作进度控制（5分）</w:t>
            </w:r>
          </w:p>
          <w:p>
            <w:pPr>
              <w:rPr>
                <w:rFonts w:hint="eastAsia" w:ascii="宋体" w:hAnsi="宋体"/>
                <w:b/>
                <w:bCs/>
                <w:szCs w:val="21"/>
              </w:rPr>
            </w:pPr>
            <w:r>
              <w:rPr>
                <w:rFonts w:hint="eastAsia" w:ascii="宋体" w:hAnsi="宋体"/>
                <w:b/>
                <w:bCs/>
                <w:szCs w:val="21"/>
              </w:rPr>
              <w:t>二、评审标准</w:t>
            </w:r>
          </w:p>
          <w:p>
            <w:pPr>
              <w:widowControl/>
              <w:jc w:val="left"/>
              <w:rPr>
                <w:rFonts w:hint="eastAsia" w:ascii="宋体" w:hAnsi="宋体"/>
                <w:color w:val="000000"/>
                <w:szCs w:val="21"/>
              </w:rPr>
            </w:pPr>
            <w:r>
              <w:rPr>
                <w:rFonts w:hint="eastAsia" w:ascii="宋体" w:hAnsi="宋体"/>
                <w:color w:val="000000"/>
                <w:szCs w:val="21"/>
              </w:rPr>
              <w:t>1.完整性：各项方案内容清晰完整，无缺项；</w:t>
            </w:r>
          </w:p>
          <w:p>
            <w:pPr>
              <w:widowControl/>
              <w:jc w:val="left"/>
              <w:rPr>
                <w:rFonts w:hint="eastAsia" w:ascii="宋体" w:hAnsi="宋体"/>
                <w:color w:val="000000"/>
                <w:szCs w:val="21"/>
              </w:rPr>
            </w:pPr>
            <w:r>
              <w:rPr>
                <w:rFonts w:hint="eastAsia" w:ascii="宋体" w:hAnsi="宋体"/>
                <w:color w:val="000000"/>
                <w:szCs w:val="21"/>
              </w:rPr>
              <w:t>2.符合度：各项方案内容全面响应本项目采购需求，不存在项目无关内容；</w:t>
            </w:r>
          </w:p>
          <w:p>
            <w:pPr>
              <w:widowControl/>
              <w:jc w:val="left"/>
              <w:rPr>
                <w:rFonts w:hint="eastAsia" w:ascii="宋体" w:hAnsi="宋体"/>
                <w:color w:val="000000"/>
                <w:szCs w:val="21"/>
              </w:rPr>
            </w:pPr>
            <w:r>
              <w:rPr>
                <w:rFonts w:hint="eastAsia" w:ascii="宋体" w:hAnsi="宋体"/>
                <w:color w:val="000000"/>
                <w:szCs w:val="21"/>
              </w:rPr>
              <w:t>3.合理性：各项方案内容能够满足项目需要，具有可执行性。</w:t>
            </w:r>
          </w:p>
          <w:p>
            <w:pPr>
              <w:widowControl/>
              <w:spacing w:line="280" w:lineRule="exact"/>
              <w:rPr>
                <w:szCs w:val="21"/>
              </w:rPr>
            </w:pPr>
            <w:bookmarkStart w:id="92" w:name="_Toc16748"/>
            <w:r>
              <w:rPr>
                <w:rFonts w:hint="eastAsia" w:ascii="宋体" w:hAnsi="宋体"/>
                <w:color w:val="000000"/>
                <w:szCs w:val="21"/>
              </w:rPr>
              <w:cr/>
            </w:r>
            <w:r>
              <w:rPr>
                <w:rFonts w:hint="eastAsia" w:ascii="宋体" w:hAnsi="宋体"/>
                <w:color w:val="000000"/>
                <w:szCs w:val="21"/>
              </w:rPr>
              <w:t>上述每项内容完全满足以上评审标准要求的得满分，存在缺陷每处扣1分，扣完为止；未响应或未提供的得0分。</w:t>
            </w:r>
            <w:bookmarkEnd w:id="92"/>
          </w:p>
        </w:tc>
        <w:tc>
          <w:tcPr>
            <w:tcW w:w="745" w:type="dxa"/>
            <w:noWrap/>
            <w:vAlign w:val="center"/>
          </w:tcPr>
          <w:p>
            <w:pPr>
              <w:widowControl/>
              <w:spacing w:line="240" w:lineRule="exact"/>
              <w:jc w:val="center"/>
              <w:rPr>
                <w:rFonts w:eastAsia="仿宋"/>
                <w:szCs w:val="21"/>
              </w:rPr>
            </w:pPr>
            <w:r>
              <w:rPr>
                <w:rFonts w:hint="eastAsia" w:eastAsia="仿宋"/>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18" w:type="dxa"/>
            <w:vMerge w:val="continue"/>
            <w:noWrap/>
            <w:vAlign w:val="center"/>
          </w:tcPr>
          <w:p>
            <w:pPr>
              <w:widowControl/>
              <w:spacing w:line="240" w:lineRule="exact"/>
              <w:jc w:val="center"/>
              <w:rPr>
                <w:szCs w:val="21"/>
              </w:rPr>
            </w:pPr>
          </w:p>
        </w:tc>
        <w:tc>
          <w:tcPr>
            <w:tcW w:w="875" w:type="dxa"/>
            <w:noWrap/>
            <w:vAlign w:val="center"/>
          </w:tcPr>
          <w:p>
            <w:pPr>
              <w:adjustRightInd w:val="0"/>
              <w:snapToGrid w:val="0"/>
              <w:spacing w:line="280" w:lineRule="exact"/>
              <w:jc w:val="center"/>
              <w:rPr>
                <w:szCs w:val="21"/>
              </w:rPr>
            </w:pPr>
            <w:r>
              <w:rPr>
                <w:rFonts w:hint="eastAsia" w:ascii="宋体" w:hAnsi="宋体" w:cs="宋体"/>
                <w:szCs w:val="21"/>
              </w:rPr>
              <w:t>新媒体新闻产品</w:t>
            </w:r>
          </w:p>
        </w:tc>
        <w:tc>
          <w:tcPr>
            <w:tcW w:w="1013" w:type="dxa"/>
            <w:noWrap/>
            <w:vAlign w:val="center"/>
          </w:tcPr>
          <w:p>
            <w:pPr>
              <w:widowControl/>
              <w:jc w:val="center"/>
              <w:rPr>
                <w:rFonts w:hint="eastAsia" w:ascii="宋体" w:hAnsi="宋体" w:cs="宋体"/>
                <w:szCs w:val="21"/>
              </w:rPr>
            </w:pPr>
            <w:r>
              <w:rPr>
                <w:rFonts w:hint="eastAsia"/>
                <w:szCs w:val="21"/>
              </w:rPr>
              <w:t>客观分</w:t>
            </w:r>
          </w:p>
        </w:tc>
        <w:tc>
          <w:tcPr>
            <w:tcW w:w="5823" w:type="dxa"/>
            <w:noWrap/>
            <w:vAlign w:val="center"/>
          </w:tcPr>
          <w:p>
            <w:pPr>
              <w:rPr>
                <w:rFonts w:hint="eastAsia" w:ascii="宋体" w:hAnsi="宋体" w:cs="宋体"/>
                <w:kern w:val="0"/>
                <w:szCs w:val="21"/>
              </w:rPr>
            </w:pPr>
            <w:r>
              <w:rPr>
                <w:rFonts w:hint="eastAsia" w:ascii="宋体" w:hAnsi="宋体" w:cs="宋体"/>
                <w:kern w:val="0"/>
                <w:szCs w:val="21"/>
              </w:rPr>
              <w:t>供应商具有</w:t>
            </w:r>
            <w:r>
              <w:rPr>
                <w:rFonts w:hint="eastAsia" w:ascii="宋体" w:hAnsi="宋体" w:cs="宋体"/>
                <w:szCs w:val="21"/>
              </w:rPr>
              <w:t>新媒体新闻产品，</w:t>
            </w:r>
            <w:r>
              <w:rPr>
                <w:rFonts w:hint="eastAsia" w:ascii="宋体" w:hAnsi="宋体" w:cs="宋体"/>
                <w:kern w:val="0"/>
                <w:szCs w:val="21"/>
              </w:rPr>
              <w:t>具有新闻宣传类网站的得3分，具有新闻宣传类APP的得3分。满分6分。</w:t>
            </w:r>
          </w:p>
          <w:p>
            <w:pPr>
              <w:rPr>
                <w:rFonts w:hint="eastAsia" w:ascii="宋体" w:hAnsi="宋体" w:cs="宋体"/>
                <w:kern w:val="0"/>
                <w:szCs w:val="21"/>
              </w:rPr>
            </w:pPr>
            <w:r>
              <w:rPr>
                <w:rFonts w:hint="eastAsia" w:ascii="宋体" w:hAnsi="宋体" w:cs="宋体"/>
                <w:kern w:val="0"/>
                <w:szCs w:val="21"/>
              </w:rPr>
              <w:t>提供网站及APP截图，并进行真实性承诺加盖供应商公章，未提供不得分。</w:t>
            </w:r>
          </w:p>
        </w:tc>
        <w:tc>
          <w:tcPr>
            <w:tcW w:w="745" w:type="dxa"/>
            <w:noWrap/>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118" w:type="dxa"/>
            <w:vMerge w:val="continue"/>
            <w:noWrap/>
            <w:vAlign w:val="center"/>
          </w:tcPr>
          <w:p>
            <w:pPr>
              <w:widowControl/>
              <w:spacing w:line="240" w:lineRule="exact"/>
              <w:jc w:val="center"/>
              <w:rPr>
                <w:szCs w:val="21"/>
              </w:rPr>
            </w:pPr>
          </w:p>
        </w:tc>
        <w:tc>
          <w:tcPr>
            <w:tcW w:w="875" w:type="dxa"/>
            <w:noWrap/>
            <w:vAlign w:val="center"/>
          </w:tcPr>
          <w:p>
            <w:pPr>
              <w:spacing w:line="240" w:lineRule="exact"/>
              <w:jc w:val="center"/>
              <w:rPr>
                <w:color w:val="000000"/>
                <w:szCs w:val="21"/>
              </w:rPr>
            </w:pPr>
            <w:r>
              <w:rPr>
                <w:rFonts w:hint="eastAsia" w:ascii="宋体" w:hAnsi="宋体" w:cs="宋体"/>
                <w:szCs w:val="21"/>
              </w:rPr>
              <w:t>相关承诺</w:t>
            </w:r>
          </w:p>
        </w:tc>
        <w:tc>
          <w:tcPr>
            <w:tcW w:w="1013" w:type="dxa"/>
            <w:noWrap/>
            <w:vAlign w:val="center"/>
          </w:tcPr>
          <w:p>
            <w:pPr>
              <w:widowControl/>
              <w:jc w:val="center"/>
              <w:rPr>
                <w:color w:val="000000"/>
                <w:szCs w:val="21"/>
              </w:rPr>
            </w:pPr>
            <w:r>
              <w:rPr>
                <w:rFonts w:hint="eastAsia"/>
                <w:szCs w:val="21"/>
              </w:rPr>
              <w:t>客观分</w:t>
            </w:r>
          </w:p>
        </w:tc>
        <w:tc>
          <w:tcPr>
            <w:tcW w:w="5823" w:type="dxa"/>
            <w:noWrap/>
            <w:vAlign w:val="center"/>
          </w:tcPr>
          <w:p>
            <w:pPr>
              <w:rPr>
                <w:rFonts w:hint="eastAsia" w:ascii="宋体" w:hAnsi="宋体" w:cs="宋体"/>
                <w:kern w:val="0"/>
                <w:szCs w:val="21"/>
              </w:rPr>
            </w:pPr>
            <w:r>
              <w:rPr>
                <w:rFonts w:hint="eastAsia" w:ascii="宋体" w:hAnsi="宋体" w:cs="宋体"/>
                <w:kern w:val="0"/>
                <w:szCs w:val="21"/>
              </w:rPr>
              <w:t>供应商对活动方案的修改完善作出承诺：</w:t>
            </w:r>
          </w:p>
          <w:p>
            <w:pPr>
              <w:rPr>
                <w:rFonts w:hint="eastAsia" w:ascii="宋体" w:hAnsi="宋体" w:cs="宋体"/>
                <w:kern w:val="0"/>
                <w:szCs w:val="21"/>
              </w:rPr>
            </w:pPr>
            <w:r>
              <w:rPr>
                <w:rFonts w:hint="eastAsia" w:ascii="宋体" w:hAnsi="宋体" w:cs="宋体"/>
                <w:kern w:val="0"/>
                <w:szCs w:val="21"/>
              </w:rPr>
              <w:t>承诺可根据采购人要求修改方案直至采购人满意为止，可修改部分活动内容的，得2分；</w:t>
            </w:r>
          </w:p>
          <w:p>
            <w:pPr>
              <w:rPr>
                <w:rFonts w:hint="eastAsia" w:ascii="宋体" w:hAnsi="宋体" w:cs="宋体"/>
                <w:kern w:val="0"/>
                <w:szCs w:val="21"/>
              </w:rPr>
            </w:pPr>
            <w:r>
              <w:rPr>
                <w:rFonts w:hint="eastAsia" w:ascii="宋体" w:hAnsi="宋体" w:cs="宋体"/>
                <w:kern w:val="0"/>
                <w:szCs w:val="21"/>
              </w:rPr>
              <w:t>承诺只能对方案细节进行调整的，得1分；</w:t>
            </w:r>
          </w:p>
          <w:p>
            <w:pPr>
              <w:rPr>
                <w:szCs w:val="21"/>
              </w:rPr>
            </w:pPr>
            <w:r>
              <w:rPr>
                <w:rFonts w:hint="eastAsia" w:ascii="宋体" w:hAnsi="宋体" w:cs="宋体"/>
                <w:kern w:val="0"/>
                <w:szCs w:val="21"/>
              </w:rPr>
              <w:t>未提供不得分。</w:t>
            </w:r>
          </w:p>
        </w:tc>
        <w:tc>
          <w:tcPr>
            <w:tcW w:w="745" w:type="dxa"/>
            <w:noWrap/>
            <w:vAlign w:val="center"/>
          </w:tcPr>
          <w:p>
            <w:pPr>
              <w:widowControl/>
              <w:spacing w:line="320" w:lineRule="exact"/>
              <w:jc w:val="center"/>
              <w:rPr>
                <w:rFonts w:hint="eastAsia" w:eastAsia="仿宋"/>
                <w:szCs w:val="21"/>
              </w:rPr>
            </w:pPr>
            <w:r>
              <w:rPr>
                <w:rFonts w:hint="eastAsia" w:ascii="宋体" w:hAnsi="宋体" w:eastAsia="仿宋"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118" w:type="dxa"/>
            <w:vMerge w:val="continue"/>
            <w:noWrap/>
            <w:vAlign w:val="center"/>
          </w:tcPr>
          <w:p>
            <w:pPr>
              <w:widowControl/>
              <w:spacing w:line="240" w:lineRule="exact"/>
              <w:jc w:val="center"/>
              <w:rPr>
                <w:szCs w:val="21"/>
              </w:rPr>
            </w:pPr>
          </w:p>
        </w:tc>
        <w:tc>
          <w:tcPr>
            <w:tcW w:w="875" w:type="dxa"/>
            <w:noWrap/>
            <w:vAlign w:val="center"/>
          </w:tcPr>
          <w:p>
            <w:pPr>
              <w:spacing w:line="240" w:lineRule="exact"/>
              <w:jc w:val="center"/>
              <w:rPr>
                <w:color w:val="000000"/>
                <w:szCs w:val="21"/>
              </w:rPr>
            </w:pPr>
            <w:r>
              <w:rPr>
                <w:rFonts w:hint="eastAsia"/>
                <w:szCs w:val="21"/>
              </w:rPr>
              <w:t>质量保障措施</w:t>
            </w:r>
            <w:r>
              <w:rPr>
                <w:rFonts w:hint="eastAsia"/>
                <w:color w:val="000000"/>
                <w:szCs w:val="21"/>
              </w:rPr>
              <w:t>方案</w:t>
            </w:r>
            <w:bookmarkStart w:id="93" w:name="_GoBack"/>
            <w:bookmarkEnd w:id="93"/>
          </w:p>
        </w:tc>
        <w:tc>
          <w:tcPr>
            <w:tcW w:w="1013" w:type="dxa"/>
            <w:noWrap/>
            <w:vAlign w:val="center"/>
          </w:tcPr>
          <w:p>
            <w:pPr>
              <w:spacing w:line="240" w:lineRule="exact"/>
              <w:rPr>
                <w:szCs w:val="21"/>
              </w:rPr>
            </w:pPr>
            <w:r>
              <w:rPr>
                <w:rFonts w:hint="eastAsia"/>
                <w:szCs w:val="21"/>
              </w:rPr>
              <w:t>主观分</w:t>
            </w:r>
          </w:p>
        </w:tc>
        <w:tc>
          <w:tcPr>
            <w:tcW w:w="5823" w:type="dxa"/>
            <w:noWrap/>
            <w:vAlign w:val="center"/>
          </w:tcPr>
          <w:p>
            <w:pPr>
              <w:rPr>
                <w:rFonts w:hint="eastAsia" w:ascii="宋体" w:hAnsi="宋体"/>
                <w:b/>
                <w:bCs/>
                <w:szCs w:val="21"/>
              </w:rPr>
            </w:pPr>
            <w:r>
              <w:rPr>
                <w:rFonts w:hint="eastAsia" w:ascii="宋体" w:hAnsi="宋体"/>
                <w:b/>
                <w:bCs/>
                <w:szCs w:val="21"/>
              </w:rPr>
              <w:t>一、评审内容：</w:t>
            </w:r>
          </w:p>
          <w:p>
            <w:pPr>
              <w:rPr>
                <w:rFonts w:ascii="宋体" w:hAnsi="宋体" w:cs="宋体"/>
                <w:szCs w:val="21"/>
              </w:rPr>
            </w:pPr>
            <w:r>
              <w:rPr>
                <w:rFonts w:hint="eastAsia" w:ascii="宋体" w:hAnsi="宋体" w:cs="宋体"/>
                <w:szCs w:val="21"/>
              </w:rPr>
              <w:t>1、服务质量总目标</w:t>
            </w:r>
            <w:r>
              <w:rPr>
                <w:rFonts w:hint="eastAsia"/>
                <w:szCs w:val="21"/>
              </w:rPr>
              <w:t>（5分）</w:t>
            </w:r>
            <w:r>
              <w:rPr>
                <w:rFonts w:hint="eastAsia" w:ascii="宋体" w:hAnsi="宋体" w:cs="宋体"/>
                <w:szCs w:val="21"/>
              </w:rPr>
              <w:t>；</w:t>
            </w:r>
          </w:p>
          <w:p>
            <w:pPr>
              <w:rPr>
                <w:rFonts w:ascii="宋体" w:hAnsi="宋体" w:cs="宋体"/>
                <w:szCs w:val="21"/>
              </w:rPr>
            </w:pPr>
            <w:r>
              <w:rPr>
                <w:rFonts w:hint="eastAsia" w:ascii="宋体" w:hAnsi="宋体" w:cs="宋体"/>
                <w:szCs w:val="21"/>
              </w:rPr>
              <w:t>2、服务质量保证体系及措施</w:t>
            </w:r>
            <w:r>
              <w:rPr>
                <w:rFonts w:hint="eastAsia"/>
                <w:szCs w:val="21"/>
              </w:rPr>
              <w:t>（5分）</w:t>
            </w:r>
            <w:r>
              <w:rPr>
                <w:rFonts w:hint="eastAsia" w:ascii="宋体" w:hAnsi="宋体" w:cs="宋体"/>
                <w:szCs w:val="21"/>
              </w:rPr>
              <w:t>。</w:t>
            </w:r>
          </w:p>
          <w:p>
            <w:pPr>
              <w:rPr>
                <w:rFonts w:hint="eastAsia" w:ascii="宋体" w:hAnsi="宋体"/>
                <w:b/>
                <w:bCs/>
                <w:szCs w:val="21"/>
              </w:rPr>
            </w:pPr>
            <w:r>
              <w:rPr>
                <w:rFonts w:hint="eastAsia" w:ascii="宋体" w:hAnsi="宋体"/>
                <w:b/>
                <w:bCs/>
                <w:szCs w:val="21"/>
              </w:rPr>
              <w:t>二、评审标准</w:t>
            </w:r>
          </w:p>
          <w:p>
            <w:pPr>
              <w:widowControl/>
              <w:jc w:val="left"/>
              <w:rPr>
                <w:rFonts w:hint="eastAsia" w:ascii="宋体" w:hAnsi="宋体"/>
                <w:color w:val="000000"/>
                <w:szCs w:val="21"/>
              </w:rPr>
            </w:pPr>
            <w:r>
              <w:rPr>
                <w:rFonts w:hint="eastAsia" w:ascii="宋体" w:hAnsi="宋体"/>
                <w:color w:val="000000"/>
                <w:szCs w:val="21"/>
              </w:rPr>
              <w:t>1.完整性：各项方案内容清晰完整，无缺项；</w:t>
            </w:r>
          </w:p>
          <w:p>
            <w:pPr>
              <w:widowControl/>
              <w:jc w:val="left"/>
              <w:rPr>
                <w:rFonts w:hint="eastAsia" w:ascii="宋体" w:hAnsi="宋体"/>
                <w:color w:val="000000"/>
                <w:szCs w:val="21"/>
              </w:rPr>
            </w:pPr>
            <w:r>
              <w:rPr>
                <w:rFonts w:hint="eastAsia" w:ascii="宋体" w:hAnsi="宋体"/>
                <w:color w:val="000000"/>
                <w:szCs w:val="21"/>
              </w:rPr>
              <w:t>2.符合度：各项方案内容全面响应本项目采购需求，不存在项目无关内容；</w:t>
            </w:r>
          </w:p>
          <w:p>
            <w:pPr>
              <w:widowControl/>
              <w:jc w:val="left"/>
              <w:rPr>
                <w:rFonts w:hint="eastAsia" w:ascii="宋体" w:hAnsi="宋体"/>
                <w:color w:val="000000"/>
                <w:szCs w:val="21"/>
              </w:rPr>
            </w:pPr>
            <w:r>
              <w:rPr>
                <w:rFonts w:hint="eastAsia" w:ascii="宋体" w:hAnsi="宋体"/>
                <w:color w:val="000000"/>
                <w:szCs w:val="21"/>
              </w:rPr>
              <w:t>3.合理性：各项方案内容能够满足项目需要，具有可执行性。</w:t>
            </w:r>
          </w:p>
          <w:p>
            <w:pPr>
              <w:spacing w:line="260" w:lineRule="exact"/>
              <w:rPr>
                <w:szCs w:val="21"/>
              </w:rPr>
            </w:pPr>
            <w:r>
              <w:rPr>
                <w:rFonts w:hint="eastAsia" w:ascii="宋体" w:hAnsi="宋体"/>
                <w:color w:val="000000"/>
                <w:szCs w:val="21"/>
              </w:rPr>
              <w:cr/>
            </w:r>
            <w:r>
              <w:rPr>
                <w:rFonts w:hint="eastAsia" w:ascii="宋体" w:hAnsi="宋体"/>
                <w:color w:val="000000"/>
                <w:szCs w:val="21"/>
              </w:rPr>
              <w:t>上述每项内容完全满足以上评审标准要求的得满分，存在缺陷每处扣1分，扣完为止；未响应或未提供的得0分。</w:t>
            </w:r>
          </w:p>
        </w:tc>
        <w:tc>
          <w:tcPr>
            <w:tcW w:w="745" w:type="dxa"/>
            <w:noWrap/>
            <w:vAlign w:val="center"/>
          </w:tcPr>
          <w:p>
            <w:pPr>
              <w:widowControl/>
              <w:spacing w:line="240" w:lineRule="exact"/>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118" w:type="dxa"/>
            <w:vMerge w:val="continue"/>
            <w:noWrap/>
            <w:vAlign w:val="center"/>
          </w:tcPr>
          <w:p>
            <w:pPr>
              <w:widowControl/>
              <w:spacing w:line="240" w:lineRule="exact"/>
              <w:jc w:val="center"/>
              <w:rPr>
                <w:szCs w:val="21"/>
              </w:rPr>
            </w:pPr>
          </w:p>
        </w:tc>
        <w:tc>
          <w:tcPr>
            <w:tcW w:w="875" w:type="dxa"/>
            <w:noWrap/>
            <w:vAlign w:val="center"/>
          </w:tcPr>
          <w:p>
            <w:pPr>
              <w:jc w:val="center"/>
              <w:rPr>
                <w:rFonts w:hint="eastAsia"/>
                <w:szCs w:val="21"/>
              </w:rPr>
            </w:pPr>
            <w:r>
              <w:rPr>
                <w:rFonts w:hint="eastAsia" w:ascii="宋体" w:hAnsi="宋体" w:cs="宋体"/>
                <w:szCs w:val="21"/>
              </w:rPr>
              <w:t>管理制度</w:t>
            </w:r>
          </w:p>
        </w:tc>
        <w:tc>
          <w:tcPr>
            <w:tcW w:w="1013" w:type="dxa"/>
            <w:noWrap/>
            <w:vAlign w:val="center"/>
          </w:tcPr>
          <w:p>
            <w:pPr>
              <w:rPr>
                <w:rFonts w:hint="eastAsia"/>
                <w:szCs w:val="21"/>
              </w:rPr>
            </w:pPr>
            <w:r>
              <w:rPr>
                <w:rFonts w:hint="eastAsia"/>
                <w:szCs w:val="21"/>
              </w:rPr>
              <w:t>主观分</w:t>
            </w:r>
          </w:p>
        </w:tc>
        <w:tc>
          <w:tcPr>
            <w:tcW w:w="5823" w:type="dxa"/>
            <w:noWrap/>
            <w:vAlign w:val="center"/>
          </w:tcPr>
          <w:p>
            <w:pPr>
              <w:rPr>
                <w:rFonts w:hint="eastAsia" w:ascii="宋体" w:hAnsi="宋体"/>
                <w:b/>
                <w:bCs/>
                <w:szCs w:val="21"/>
              </w:rPr>
            </w:pPr>
            <w:r>
              <w:rPr>
                <w:rFonts w:hint="eastAsia" w:ascii="宋体" w:hAnsi="宋体"/>
                <w:b/>
                <w:bCs/>
                <w:szCs w:val="21"/>
              </w:rPr>
              <w:t>一、评审内容：</w:t>
            </w:r>
          </w:p>
          <w:p>
            <w:pPr>
              <w:rPr>
                <w:rFonts w:hint="eastAsia" w:ascii="宋体" w:hAnsi="宋体"/>
                <w:szCs w:val="21"/>
              </w:rPr>
            </w:pPr>
            <w:r>
              <w:rPr>
                <w:rFonts w:hint="eastAsia" w:ascii="宋体" w:hAnsi="宋体" w:cs="宋体"/>
                <w:kern w:val="0"/>
                <w:szCs w:val="21"/>
              </w:rPr>
              <w:t>投标人的管理制度健全，有完备的内部管理制度，内容</w:t>
            </w:r>
            <w:r>
              <w:rPr>
                <w:rFonts w:hint="eastAsia" w:ascii="宋体" w:hAnsi="宋体"/>
                <w:szCs w:val="21"/>
              </w:rPr>
              <w:t>应包括以下内容：</w:t>
            </w:r>
          </w:p>
          <w:p>
            <w:pPr>
              <w:rPr>
                <w:rFonts w:hint="eastAsia"/>
                <w:szCs w:val="21"/>
              </w:rPr>
            </w:pPr>
            <w:r>
              <w:rPr>
                <w:rFonts w:hint="eastAsia" w:ascii="宋体" w:hAnsi="宋体" w:cs="宋体"/>
                <w:szCs w:val="21"/>
              </w:rPr>
              <w:t>1、</w:t>
            </w:r>
            <w:r>
              <w:rPr>
                <w:rFonts w:hint="eastAsia" w:ascii="宋体" w:hAnsi="宋体" w:cs="宋体"/>
                <w:kern w:val="0"/>
                <w:szCs w:val="21"/>
              </w:rPr>
              <w:t>财务制度</w:t>
            </w:r>
            <w:r>
              <w:rPr>
                <w:rFonts w:hint="eastAsia"/>
                <w:szCs w:val="21"/>
              </w:rPr>
              <w:t>（2分）</w:t>
            </w:r>
            <w:r>
              <w:rPr>
                <w:rFonts w:hint="eastAsia" w:ascii="宋体" w:hAnsi="宋体" w:cs="宋体"/>
                <w:szCs w:val="21"/>
              </w:rPr>
              <w:t>；</w:t>
            </w:r>
          </w:p>
          <w:p>
            <w:pPr>
              <w:rPr>
                <w:rFonts w:hint="eastAsia" w:ascii="宋体" w:hAnsi="宋体" w:cs="宋体"/>
                <w:szCs w:val="21"/>
              </w:rPr>
            </w:pPr>
            <w:r>
              <w:rPr>
                <w:rFonts w:hint="eastAsia"/>
                <w:szCs w:val="21"/>
              </w:rPr>
              <w:t>2、</w:t>
            </w:r>
            <w:r>
              <w:rPr>
                <w:rFonts w:hint="eastAsia" w:ascii="宋体" w:hAnsi="宋体" w:cs="宋体"/>
                <w:kern w:val="0"/>
                <w:szCs w:val="21"/>
              </w:rPr>
              <w:t>档案制度</w:t>
            </w:r>
            <w:r>
              <w:rPr>
                <w:rFonts w:hint="eastAsia"/>
                <w:szCs w:val="21"/>
              </w:rPr>
              <w:t>（2分）；</w:t>
            </w:r>
          </w:p>
          <w:p>
            <w:pPr>
              <w:rPr>
                <w:rFonts w:hint="eastAsia" w:ascii="宋体" w:hAnsi="宋体"/>
                <w:b/>
                <w:bCs/>
                <w:szCs w:val="21"/>
              </w:rPr>
            </w:pPr>
            <w:r>
              <w:rPr>
                <w:rFonts w:hint="eastAsia" w:ascii="宋体" w:hAnsi="宋体"/>
                <w:b/>
                <w:bCs/>
                <w:szCs w:val="21"/>
              </w:rPr>
              <w:t>二、评审标准</w:t>
            </w:r>
          </w:p>
          <w:p>
            <w:pPr>
              <w:widowControl/>
              <w:jc w:val="left"/>
              <w:rPr>
                <w:rFonts w:hint="eastAsia" w:ascii="宋体" w:hAnsi="宋体"/>
                <w:color w:val="000000"/>
                <w:szCs w:val="21"/>
              </w:rPr>
            </w:pPr>
            <w:r>
              <w:rPr>
                <w:rFonts w:hint="eastAsia" w:ascii="宋体" w:hAnsi="宋体"/>
                <w:color w:val="000000"/>
                <w:szCs w:val="21"/>
              </w:rPr>
              <w:t>1.完整性：各项方案内容清晰完整，无缺项；</w:t>
            </w:r>
          </w:p>
          <w:p>
            <w:pPr>
              <w:widowControl/>
              <w:jc w:val="left"/>
              <w:rPr>
                <w:rFonts w:hint="eastAsia" w:ascii="宋体" w:hAnsi="宋体"/>
                <w:color w:val="000000"/>
                <w:szCs w:val="21"/>
              </w:rPr>
            </w:pPr>
            <w:r>
              <w:rPr>
                <w:rFonts w:hint="eastAsia" w:ascii="宋体" w:hAnsi="宋体"/>
                <w:color w:val="000000"/>
                <w:szCs w:val="21"/>
              </w:rPr>
              <w:t>2.符合度：各项方案内容全面响应本项目采购需求，不存在项目无关内容；</w:t>
            </w:r>
          </w:p>
          <w:p>
            <w:pPr>
              <w:widowControl/>
              <w:jc w:val="left"/>
              <w:rPr>
                <w:rFonts w:hint="eastAsia" w:ascii="宋体" w:hAnsi="宋体"/>
                <w:color w:val="000000"/>
                <w:szCs w:val="21"/>
              </w:rPr>
            </w:pPr>
            <w:r>
              <w:rPr>
                <w:rFonts w:hint="eastAsia" w:ascii="宋体" w:hAnsi="宋体"/>
                <w:color w:val="000000"/>
                <w:szCs w:val="21"/>
              </w:rPr>
              <w:t>3.合理性：各项方案内容能够满足项目需要，具有可执行性。</w:t>
            </w:r>
          </w:p>
          <w:p>
            <w:pPr>
              <w:jc w:val="left"/>
              <w:rPr>
                <w:rFonts w:hint="eastAsia" w:ascii="宋体" w:hAnsi="宋体"/>
                <w:color w:val="000000"/>
                <w:szCs w:val="21"/>
              </w:rPr>
            </w:pPr>
            <w:r>
              <w:rPr>
                <w:rFonts w:hint="eastAsia" w:ascii="宋体" w:hAnsi="宋体"/>
                <w:color w:val="000000"/>
                <w:szCs w:val="21"/>
              </w:rPr>
              <w:cr/>
            </w:r>
            <w:r>
              <w:rPr>
                <w:rFonts w:hint="eastAsia" w:ascii="宋体" w:hAnsi="宋体"/>
                <w:color w:val="000000"/>
                <w:szCs w:val="21"/>
              </w:rPr>
              <w:t>上述每项内容完全满足以上评审标准要求的得满分，存在缺陷每处扣1分，扣完为止；未响应或未提供的得0分。</w:t>
            </w:r>
          </w:p>
        </w:tc>
        <w:tc>
          <w:tcPr>
            <w:tcW w:w="745" w:type="dxa"/>
            <w:noWrap/>
            <w:vAlign w:val="center"/>
          </w:tcPr>
          <w:p>
            <w:pPr>
              <w:widowControl/>
              <w:spacing w:line="240" w:lineRule="exact"/>
              <w:jc w:val="center"/>
              <w:rPr>
                <w:rFonts w:hint="eastAsia" w:eastAsia="宋体"/>
                <w:szCs w:val="21"/>
                <w:lang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18" w:type="dxa"/>
            <w:vMerge w:val="continue"/>
            <w:noWrap/>
            <w:vAlign w:val="center"/>
          </w:tcPr>
          <w:p>
            <w:pPr>
              <w:widowControl/>
              <w:spacing w:line="240" w:lineRule="exact"/>
              <w:jc w:val="center"/>
              <w:rPr>
                <w:szCs w:val="21"/>
              </w:rPr>
            </w:pPr>
          </w:p>
        </w:tc>
        <w:tc>
          <w:tcPr>
            <w:tcW w:w="875" w:type="dxa"/>
            <w:noWrap/>
            <w:vAlign w:val="center"/>
          </w:tcPr>
          <w:p>
            <w:pPr>
              <w:spacing w:line="240" w:lineRule="exact"/>
              <w:rPr>
                <w:szCs w:val="21"/>
              </w:rPr>
            </w:pPr>
            <w:r>
              <w:rPr>
                <w:rFonts w:hint="eastAsia"/>
                <w:szCs w:val="21"/>
              </w:rPr>
              <w:t>专项培训方案</w:t>
            </w:r>
          </w:p>
        </w:tc>
        <w:tc>
          <w:tcPr>
            <w:tcW w:w="1013" w:type="dxa"/>
            <w:noWrap/>
            <w:vAlign w:val="center"/>
          </w:tcPr>
          <w:p>
            <w:pPr>
              <w:spacing w:line="240" w:lineRule="exact"/>
              <w:rPr>
                <w:szCs w:val="21"/>
              </w:rPr>
            </w:pPr>
            <w:r>
              <w:rPr>
                <w:rFonts w:hint="eastAsia"/>
                <w:szCs w:val="21"/>
              </w:rPr>
              <w:t>主观分</w:t>
            </w:r>
          </w:p>
        </w:tc>
        <w:tc>
          <w:tcPr>
            <w:tcW w:w="5823" w:type="dxa"/>
            <w:noWrap/>
            <w:vAlign w:val="center"/>
          </w:tcPr>
          <w:p>
            <w:pPr>
              <w:rPr>
                <w:rFonts w:hint="eastAsia"/>
                <w:szCs w:val="21"/>
              </w:rPr>
            </w:pPr>
            <w:r>
              <w:rPr>
                <w:rFonts w:hint="eastAsia" w:ascii="宋体" w:hAnsi="宋体"/>
                <w:b/>
                <w:bCs/>
                <w:szCs w:val="21"/>
              </w:rPr>
              <w:t>一、评审内容：</w:t>
            </w:r>
          </w:p>
          <w:p>
            <w:pPr>
              <w:spacing w:line="260" w:lineRule="exact"/>
              <w:rPr>
                <w:szCs w:val="21"/>
              </w:rPr>
            </w:pPr>
            <w:r>
              <w:rPr>
                <w:rFonts w:hint="eastAsia"/>
                <w:szCs w:val="21"/>
              </w:rPr>
              <w:t>供应商需提供培训方案，</w:t>
            </w:r>
            <w:r>
              <w:rPr>
                <w:rFonts w:hint="eastAsia" w:ascii="宋体" w:hAnsi="宋体"/>
                <w:szCs w:val="21"/>
              </w:rPr>
              <w:t>应包括以下内容：</w:t>
            </w:r>
          </w:p>
          <w:p>
            <w:pPr>
              <w:spacing w:line="260" w:lineRule="exact"/>
              <w:rPr>
                <w:rFonts w:hint="eastAsia"/>
                <w:szCs w:val="21"/>
              </w:rPr>
            </w:pPr>
            <w:r>
              <w:rPr>
                <w:rFonts w:hint="eastAsia"/>
                <w:szCs w:val="21"/>
              </w:rPr>
              <w:t>1、培训整体人员配置、管理方案；（</w:t>
            </w:r>
            <w:r>
              <w:rPr>
                <w:rFonts w:hint="eastAsia"/>
                <w:szCs w:val="21"/>
                <w:lang w:val="en-US" w:eastAsia="zh-CN"/>
              </w:rPr>
              <w:t>4</w:t>
            </w:r>
            <w:r>
              <w:rPr>
                <w:rFonts w:hint="eastAsia"/>
                <w:szCs w:val="21"/>
              </w:rPr>
              <w:t>分）</w:t>
            </w:r>
          </w:p>
          <w:p>
            <w:pPr>
              <w:spacing w:line="260" w:lineRule="exact"/>
              <w:rPr>
                <w:rFonts w:hint="eastAsia"/>
                <w:szCs w:val="21"/>
              </w:rPr>
            </w:pPr>
            <w:r>
              <w:rPr>
                <w:rFonts w:hint="eastAsia"/>
                <w:szCs w:val="21"/>
              </w:rPr>
              <w:t>2、具有完善的培训计划；（</w:t>
            </w:r>
            <w:r>
              <w:rPr>
                <w:rFonts w:hint="eastAsia"/>
                <w:szCs w:val="21"/>
                <w:lang w:val="en-US" w:eastAsia="zh-CN"/>
              </w:rPr>
              <w:t>4</w:t>
            </w:r>
            <w:r>
              <w:rPr>
                <w:rFonts w:hint="eastAsia"/>
                <w:szCs w:val="21"/>
              </w:rPr>
              <w:t>分）</w:t>
            </w:r>
          </w:p>
          <w:p>
            <w:pPr>
              <w:rPr>
                <w:rFonts w:hint="eastAsia" w:ascii="宋体" w:hAnsi="宋体"/>
                <w:b/>
                <w:bCs/>
                <w:szCs w:val="21"/>
              </w:rPr>
            </w:pPr>
            <w:r>
              <w:rPr>
                <w:rFonts w:hint="eastAsia" w:ascii="宋体" w:hAnsi="宋体"/>
                <w:b/>
                <w:bCs/>
                <w:szCs w:val="21"/>
              </w:rPr>
              <w:t>二、评审标准</w:t>
            </w:r>
          </w:p>
          <w:p>
            <w:pPr>
              <w:widowControl/>
              <w:jc w:val="left"/>
              <w:rPr>
                <w:rFonts w:hint="eastAsia" w:ascii="宋体" w:hAnsi="宋体"/>
                <w:color w:val="000000"/>
                <w:szCs w:val="21"/>
              </w:rPr>
            </w:pPr>
            <w:r>
              <w:rPr>
                <w:rFonts w:hint="eastAsia" w:ascii="宋体" w:hAnsi="宋体"/>
                <w:color w:val="000000"/>
                <w:szCs w:val="21"/>
              </w:rPr>
              <w:t>1.完整性：各项方案内容清晰完整，无缺项；</w:t>
            </w:r>
          </w:p>
          <w:p>
            <w:pPr>
              <w:widowControl/>
              <w:jc w:val="left"/>
              <w:rPr>
                <w:rFonts w:hint="eastAsia" w:ascii="宋体" w:hAnsi="宋体"/>
                <w:color w:val="000000"/>
                <w:szCs w:val="21"/>
              </w:rPr>
            </w:pPr>
            <w:r>
              <w:rPr>
                <w:rFonts w:hint="eastAsia" w:ascii="宋体" w:hAnsi="宋体"/>
                <w:color w:val="000000"/>
                <w:szCs w:val="21"/>
              </w:rPr>
              <w:t>2.符合度：各项方案内容全面响应本项目采购需求，不存在项目无关内容；</w:t>
            </w:r>
          </w:p>
          <w:p>
            <w:pPr>
              <w:widowControl/>
              <w:jc w:val="left"/>
              <w:rPr>
                <w:rFonts w:hint="eastAsia" w:ascii="宋体" w:hAnsi="宋体"/>
                <w:color w:val="000000"/>
                <w:szCs w:val="21"/>
              </w:rPr>
            </w:pPr>
            <w:r>
              <w:rPr>
                <w:rFonts w:hint="eastAsia" w:ascii="宋体" w:hAnsi="宋体"/>
                <w:color w:val="000000"/>
                <w:szCs w:val="21"/>
              </w:rPr>
              <w:t>3.合理性：各项方案内容能够满足项目需要，具有可执行性。</w:t>
            </w:r>
          </w:p>
          <w:p>
            <w:pPr>
              <w:spacing w:line="260" w:lineRule="exact"/>
              <w:rPr>
                <w:szCs w:val="21"/>
              </w:rPr>
            </w:pPr>
            <w:r>
              <w:rPr>
                <w:rFonts w:hint="eastAsia" w:ascii="宋体" w:hAnsi="宋体"/>
                <w:color w:val="000000"/>
                <w:szCs w:val="21"/>
              </w:rPr>
              <w:cr/>
            </w:r>
            <w:r>
              <w:rPr>
                <w:rFonts w:hint="eastAsia" w:ascii="宋体" w:hAnsi="宋体"/>
                <w:color w:val="000000"/>
                <w:szCs w:val="21"/>
              </w:rPr>
              <w:t>上述每项内容完全满足以上评审标准要求的得满分，存在缺陷每处扣1分，扣完为止；未响应或未提供的得0分。</w:t>
            </w:r>
          </w:p>
        </w:tc>
        <w:tc>
          <w:tcPr>
            <w:tcW w:w="745" w:type="dxa"/>
            <w:noWrap/>
            <w:vAlign w:val="center"/>
          </w:tcPr>
          <w:p>
            <w:pPr>
              <w:widowControl/>
              <w:spacing w:line="240" w:lineRule="exact"/>
              <w:jc w:val="center"/>
              <w:rPr>
                <w:rFonts w:hint="eastAsia" w:eastAsia="宋体"/>
                <w:szCs w:val="21"/>
                <w:lang w:eastAsia="zh-CN"/>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118" w:type="dxa"/>
            <w:noWrap/>
            <w:vAlign w:val="center"/>
          </w:tcPr>
          <w:p>
            <w:pPr>
              <w:widowControl/>
              <w:spacing w:line="240" w:lineRule="exact"/>
              <w:jc w:val="center"/>
              <w:rPr>
                <w:szCs w:val="21"/>
              </w:rPr>
            </w:pPr>
            <w:r>
              <w:rPr>
                <w:rFonts w:hint="eastAsia"/>
                <w:szCs w:val="21"/>
              </w:rPr>
              <w:t>价格部分（10分）</w:t>
            </w:r>
          </w:p>
        </w:tc>
        <w:tc>
          <w:tcPr>
            <w:tcW w:w="875" w:type="dxa"/>
            <w:noWrap/>
            <w:vAlign w:val="center"/>
          </w:tcPr>
          <w:p>
            <w:pPr>
              <w:widowControl/>
              <w:spacing w:line="240" w:lineRule="exact"/>
              <w:jc w:val="center"/>
              <w:rPr>
                <w:bCs/>
                <w:szCs w:val="21"/>
              </w:rPr>
            </w:pPr>
            <w:r>
              <w:rPr>
                <w:rFonts w:hint="eastAsia"/>
                <w:bCs/>
                <w:szCs w:val="21"/>
              </w:rPr>
              <w:t>价格部分</w:t>
            </w:r>
          </w:p>
        </w:tc>
        <w:tc>
          <w:tcPr>
            <w:tcW w:w="1013" w:type="dxa"/>
            <w:noWrap/>
            <w:vAlign w:val="center"/>
          </w:tcPr>
          <w:p>
            <w:pPr>
              <w:widowControl/>
              <w:spacing w:line="240" w:lineRule="exact"/>
              <w:jc w:val="center"/>
              <w:rPr>
                <w:bCs/>
                <w:szCs w:val="21"/>
              </w:rPr>
            </w:pPr>
            <w:r>
              <w:rPr>
                <w:rFonts w:hint="eastAsia"/>
                <w:szCs w:val="21"/>
              </w:rPr>
              <w:t>客观分</w:t>
            </w:r>
          </w:p>
        </w:tc>
        <w:tc>
          <w:tcPr>
            <w:tcW w:w="5823" w:type="dxa"/>
            <w:noWrap/>
            <w:vAlign w:val="center"/>
          </w:tcPr>
          <w:p>
            <w:pPr>
              <w:spacing w:line="260" w:lineRule="exac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价格</w:t>
            </w:r>
            <w:r>
              <w:rPr>
                <w:rFonts w:hint="eastAsia" w:ascii="Times New Roman" w:hAnsi="Times New Roman" w:eastAsia="宋体" w:cs="Times New Roman"/>
                <w:szCs w:val="21"/>
              </w:rPr>
              <w:t xml:space="preserve">分统一采用低价优先法计算，即满足磋商文件要求且最后报价最低的供应 商的价格为磋商基准价，其价格分为满分。其他供应商的价格分统一按照下列 公式计算：磋商报价得分=(磋商基准价／最后磋商报价)×10%×100分。 </w:t>
            </w:r>
          </w:p>
          <w:p>
            <w:pPr>
              <w:spacing w:line="260" w:lineRule="exact"/>
              <w:rPr>
                <w:b/>
                <w:szCs w:val="21"/>
              </w:rPr>
            </w:pPr>
            <w:r>
              <w:rPr>
                <w:rFonts w:hint="eastAsia" w:ascii="Times New Roman" w:hAnsi="Times New Roman" w:eastAsia="宋体" w:cs="Times New Roman"/>
                <w:szCs w:val="21"/>
              </w:rPr>
              <w:t>政府采购政策执行要求详见磋商文件第二章“供应商须知”</w:t>
            </w:r>
          </w:p>
        </w:tc>
        <w:tc>
          <w:tcPr>
            <w:tcW w:w="745" w:type="dxa"/>
            <w:noWrap/>
            <w:vAlign w:val="center"/>
          </w:tcPr>
          <w:p>
            <w:pPr>
              <w:widowControl/>
              <w:spacing w:line="240" w:lineRule="exact"/>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29" w:type="dxa"/>
            <w:gridSpan w:val="4"/>
            <w:noWrap/>
            <w:vAlign w:val="center"/>
          </w:tcPr>
          <w:p>
            <w:pPr>
              <w:widowControl/>
              <w:spacing w:line="240" w:lineRule="exact"/>
              <w:jc w:val="center"/>
              <w:rPr>
                <w:szCs w:val="21"/>
              </w:rPr>
            </w:pPr>
            <w:r>
              <w:rPr>
                <w:rFonts w:hint="eastAsia"/>
                <w:szCs w:val="21"/>
              </w:rPr>
              <w:t>总    分</w:t>
            </w:r>
          </w:p>
        </w:tc>
        <w:tc>
          <w:tcPr>
            <w:tcW w:w="745" w:type="dxa"/>
            <w:noWrap/>
            <w:vAlign w:val="center"/>
          </w:tcPr>
          <w:p>
            <w:pPr>
              <w:widowControl/>
              <w:spacing w:line="240" w:lineRule="exact"/>
              <w:jc w:val="center"/>
              <w:rPr>
                <w:szCs w:val="21"/>
              </w:rPr>
            </w:pPr>
            <w:r>
              <w:rPr>
                <w:rFonts w:hint="eastAsia"/>
                <w:szCs w:val="21"/>
              </w:rPr>
              <w:t>100</w:t>
            </w:r>
          </w:p>
        </w:tc>
      </w:tr>
    </w:tbl>
    <w:p>
      <w:pPr>
        <w:numPr>
          <w:ilvl w:val="0"/>
          <w:numId w:val="0"/>
        </w:numPr>
        <w:bidi w:val="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FBE2E"/>
    <w:multiLevelType w:val="singleLevel"/>
    <w:tmpl w:val="D3BFBE2E"/>
    <w:lvl w:ilvl="0" w:tentative="0">
      <w:start w:val="2"/>
      <w:numFmt w:val="chineseCounting"/>
      <w:suff w:val="space"/>
      <w:lvlText w:val="第%1部分"/>
      <w:lvlJc w:val="left"/>
      <w:rPr>
        <w:rFonts w:hint="eastAsia"/>
      </w:rPr>
    </w:lvl>
  </w:abstractNum>
  <w:abstractNum w:abstractNumId="1">
    <w:nsid w:val="6E5C5CBA"/>
    <w:multiLevelType w:val="singleLevel"/>
    <w:tmpl w:val="6E5C5CB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MWNiMTZhOWQxN2MzMThkNjQzOWEwNzJjMTlkMjMifQ=="/>
  </w:docVars>
  <w:rsids>
    <w:rsidRoot w:val="0EBB74AF"/>
    <w:rsid w:val="040424F6"/>
    <w:rsid w:val="063A586B"/>
    <w:rsid w:val="0D335069"/>
    <w:rsid w:val="0E84319E"/>
    <w:rsid w:val="0EBB74AF"/>
    <w:rsid w:val="155838BF"/>
    <w:rsid w:val="1FB52E01"/>
    <w:rsid w:val="23977EA3"/>
    <w:rsid w:val="32AC6D6F"/>
    <w:rsid w:val="33BD1E94"/>
    <w:rsid w:val="3D6C2081"/>
    <w:rsid w:val="3E1E266B"/>
    <w:rsid w:val="504A1A7A"/>
    <w:rsid w:val="58AD6817"/>
    <w:rsid w:val="5C4F6668"/>
    <w:rsid w:val="70D50DB4"/>
    <w:rsid w:val="77332380"/>
    <w:rsid w:val="780600CD"/>
    <w:rsid w:val="7F97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6"/>
      <w:ind w:right="318"/>
      <w:jc w:val="center"/>
      <w:outlineLvl w:val="0"/>
    </w:pPr>
    <w:rPr>
      <w:rFonts w:ascii="微软雅黑" w:hAnsi="微软雅黑" w:eastAsia="微软雅黑" w:cs="微软雅黑"/>
      <w:b/>
      <w:bCs/>
      <w:sz w:val="36"/>
      <w:szCs w:val="36"/>
    </w:rPr>
  </w:style>
  <w:style w:type="paragraph" w:styleId="4">
    <w:name w:val="heading 2"/>
    <w:basedOn w:val="1"/>
    <w:next w:val="1"/>
    <w:qFormat/>
    <w:uiPriority w:val="1"/>
    <w:pPr>
      <w:spacing w:line="488" w:lineRule="exact"/>
      <w:ind w:right="316"/>
      <w:jc w:val="center"/>
      <w:outlineLvl w:val="1"/>
    </w:pPr>
    <w:rPr>
      <w:rFonts w:ascii="微软雅黑" w:hAnsi="微软雅黑" w:eastAsia="仿宋" w:cs="微软雅黑"/>
      <w:b/>
      <w:bCs/>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header"/>
    <w:basedOn w:val="1"/>
    <w:next w:val="1"/>
    <w:autoRedefine/>
    <w:qFormat/>
    <w:uiPriority w:val="99"/>
    <w:pPr>
      <w:tabs>
        <w:tab w:val="center" w:pos="4153"/>
        <w:tab w:val="right" w:pos="8306"/>
      </w:tabs>
      <w:snapToGrid w:val="0"/>
      <w:jc w:val="center"/>
    </w:pPr>
    <w:rPr>
      <w:sz w:val="18"/>
      <w:szCs w:val="18"/>
    </w:rPr>
  </w:style>
  <w:style w:type="paragraph" w:styleId="5">
    <w:name w:val="Body Text"/>
    <w:basedOn w:val="1"/>
    <w:next w:val="1"/>
    <w:autoRedefine/>
    <w:qFormat/>
    <w:uiPriority w:val="1"/>
    <w:rPr>
      <w:sz w:val="24"/>
      <w:szCs w:val="24"/>
    </w:rPr>
  </w:style>
  <w:style w:type="paragraph" w:styleId="6">
    <w:name w:val="Plain Text"/>
    <w:basedOn w:val="1"/>
    <w:autoRedefine/>
    <w:qFormat/>
    <w:uiPriority w:val="0"/>
    <w:rPr>
      <w:rFonts w:ascii="宋体" w:hAnsi="Courier New"/>
      <w:kern w:val="10"/>
      <w:szCs w:val="21"/>
    </w:rPr>
  </w:style>
  <w:style w:type="paragraph" w:styleId="7">
    <w:name w:val="footer"/>
    <w:basedOn w:val="1"/>
    <w:autoRedefine/>
    <w:qFormat/>
    <w:uiPriority w:val="0"/>
    <w:pPr>
      <w:tabs>
        <w:tab w:val="center" w:pos="4153"/>
        <w:tab w:val="right" w:pos="8306"/>
      </w:tabs>
      <w:snapToGrid w:val="0"/>
    </w:pPr>
    <w:rPr>
      <w:sz w:val="18"/>
    </w:rPr>
  </w:style>
  <w:style w:type="paragraph" w:styleId="8">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
    <w:name w:val="Table Paragraph"/>
    <w:basedOn w:val="1"/>
    <w:autoRedefine/>
    <w:qFormat/>
    <w:uiPriority w:val="1"/>
  </w:style>
  <w:style w:type="character" w:customStyle="1" w:styleId="13">
    <w:name w:val="正文（缩进） Char"/>
    <w:link w:val="14"/>
    <w:autoRedefine/>
    <w:qFormat/>
    <w:uiPriority w:val="0"/>
  </w:style>
  <w:style w:type="paragraph" w:customStyle="1" w:styleId="14">
    <w:name w:val="正文（缩进）"/>
    <w:basedOn w:val="1"/>
    <w:link w:val="13"/>
    <w:autoRedefine/>
    <w:qFormat/>
    <w:uiPriority w:val="0"/>
    <w:pPr>
      <w:spacing w:before="156" w:after="156"/>
    </w:pPr>
  </w:style>
  <w:style w:type="paragraph" w:styleId="15">
    <w:name w:val="List Paragraph"/>
    <w:basedOn w:val="1"/>
    <w:autoRedefine/>
    <w:qFormat/>
    <w:uiPriority w:val="1"/>
    <w:pPr>
      <w:ind w:left="600" w:firstLine="479"/>
    </w:pPr>
  </w:style>
  <w:style w:type="paragraph" w:customStyle="1" w:styleId="16">
    <w:name w:val="Body Text First Indent"/>
    <w:basedOn w:val="5"/>
    <w:autoRedefine/>
    <w:qFormat/>
    <w:uiPriority w:val="0"/>
    <w:pPr>
      <w:spacing w:after="0" w:afterLines="0"/>
      <w:ind w:left="150" w:firstLine="420" w:firstLineChars="100"/>
    </w:pPr>
    <w:rPr>
      <w:rFonts w:ascii="Arial Unicode MS" w:hAnsi="Arial Unicode MS" w:eastAsia="Arial Unicode MS" w:cs="Arial Unicode MS"/>
      <w:sz w:val="24"/>
      <w:szCs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7426</Words>
  <Characters>7625</Characters>
  <Lines>0</Lines>
  <Paragraphs>0</Paragraphs>
  <TotalTime>0</TotalTime>
  <ScaleCrop>false</ScaleCrop>
  <LinksUpToDate>false</LinksUpToDate>
  <CharactersWithSpaces>7676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2022-12-05T09:40:00Z</dcterms:created>
  <dc:creator>czy</dc:creator>
  <cp:lastModifiedBy>czy</cp:lastModifiedBy>
  <cp:lastPrinted>2022-12-29T00:38:00Z</cp:lastPrinted>
  <dcterms:modified xsi:type="dcterms:W3CDTF">2024-03-18T11:01:02Z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C013011B7B274E74BF02A81F9C108C29</vt:lpwstr>
  </property>
</Properties>
</file>