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11" w:rsidRDefault="00EF3BE9" w:rsidP="00CC5E33">
      <w:pPr>
        <w:pStyle w:val="Bodytext60"/>
        <w:spacing w:after="0" w:line="560" w:lineRule="exact"/>
        <w:ind w:firstLine="0"/>
        <w:jc w:val="center"/>
        <w:rPr>
          <w:rFonts w:ascii="宋体" w:eastAsia="宋体" w:hAnsi="宋体" w:cs="宋体"/>
          <w:b/>
          <w:sz w:val="36"/>
          <w:szCs w:val="36"/>
          <w:lang w:eastAsia="zh-CN"/>
        </w:rPr>
      </w:pPr>
      <w:r>
        <w:rPr>
          <w:rFonts w:ascii="宋体" w:eastAsia="宋体" w:hAnsi="宋体" w:cs="宋体" w:hint="eastAsia"/>
          <w:b/>
          <w:color w:val="000000"/>
          <w:sz w:val="36"/>
          <w:szCs w:val="36"/>
          <w:lang w:val="en-US" w:eastAsia="zh-CN" w:bidi="en-US"/>
        </w:rPr>
        <w:t>武汉市东西湖区机关事务服务中心</w:t>
      </w:r>
      <w:r>
        <w:rPr>
          <w:rFonts w:ascii="宋体" w:eastAsia="宋体" w:hAnsi="宋体" w:cs="宋体" w:hint="eastAsia"/>
          <w:b/>
          <w:color w:val="000000"/>
          <w:sz w:val="36"/>
          <w:szCs w:val="36"/>
        </w:rPr>
        <w:t>20</w:t>
      </w:r>
      <w:r>
        <w:rPr>
          <w:rFonts w:ascii="宋体" w:eastAsia="宋体" w:hAnsi="宋体" w:cs="宋体" w:hint="eastAsia"/>
          <w:b/>
          <w:color w:val="000000"/>
          <w:sz w:val="36"/>
          <w:szCs w:val="36"/>
          <w:lang w:eastAsia="zh-CN"/>
        </w:rPr>
        <w:t>2</w:t>
      </w:r>
      <w:r w:rsidR="00F23C27">
        <w:rPr>
          <w:rFonts w:ascii="宋体" w:eastAsia="宋体" w:hAnsi="宋体" w:cs="宋体" w:hint="eastAsia"/>
          <w:b/>
          <w:color w:val="000000"/>
          <w:sz w:val="36"/>
          <w:szCs w:val="36"/>
          <w:lang w:eastAsia="zh-CN"/>
        </w:rPr>
        <w:t>1</w:t>
      </w:r>
      <w:r>
        <w:rPr>
          <w:rFonts w:ascii="宋体" w:eastAsia="宋体" w:hAnsi="宋体" w:cs="宋体" w:hint="eastAsia"/>
          <w:b/>
          <w:color w:val="000000"/>
          <w:sz w:val="36"/>
          <w:szCs w:val="36"/>
        </w:rPr>
        <w:t>年</w:t>
      </w:r>
      <w:r>
        <w:rPr>
          <w:rFonts w:ascii="宋体" w:eastAsia="宋体" w:hAnsi="宋体" w:cs="宋体" w:hint="eastAsia"/>
          <w:b/>
          <w:color w:val="000000"/>
          <w:sz w:val="36"/>
          <w:szCs w:val="36"/>
          <w:lang w:val="en-US" w:eastAsia="zh-CN" w:bidi="en-US"/>
        </w:rPr>
        <w:t>整体</w:t>
      </w:r>
      <w:r>
        <w:rPr>
          <w:rFonts w:ascii="宋体" w:eastAsia="宋体" w:hAnsi="宋体" w:cs="宋体" w:hint="eastAsia"/>
          <w:b/>
          <w:color w:val="000000"/>
          <w:sz w:val="36"/>
          <w:szCs w:val="36"/>
          <w:lang w:eastAsia="zh-CN"/>
        </w:rPr>
        <w:t>绩效</w:t>
      </w:r>
    </w:p>
    <w:p w:rsidR="00F56B11" w:rsidRDefault="00EF3BE9" w:rsidP="00CC5E33">
      <w:pPr>
        <w:pStyle w:val="Other10"/>
        <w:spacing w:line="560" w:lineRule="exact"/>
        <w:ind w:firstLine="0"/>
        <w:jc w:val="center"/>
        <w:rPr>
          <w:b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部门</w:t>
      </w:r>
      <w:r>
        <w:rPr>
          <w:rFonts w:hint="eastAsia"/>
          <w:b/>
          <w:color w:val="000000"/>
          <w:sz w:val="36"/>
          <w:szCs w:val="36"/>
          <w:lang w:eastAsia="zh-CN"/>
        </w:rPr>
        <w:t>自</w:t>
      </w:r>
      <w:r>
        <w:rPr>
          <w:rFonts w:hint="eastAsia"/>
          <w:b/>
          <w:color w:val="000000"/>
          <w:sz w:val="36"/>
          <w:szCs w:val="36"/>
        </w:rPr>
        <w:t>评报告</w:t>
      </w:r>
    </w:p>
    <w:p w:rsidR="00CC5E33" w:rsidRDefault="00CC5E33" w:rsidP="00CC5E33">
      <w:pPr>
        <w:pStyle w:val="Bodytext10"/>
        <w:tabs>
          <w:tab w:val="left" w:pos="1060"/>
        </w:tabs>
        <w:spacing w:line="560" w:lineRule="exact"/>
        <w:ind w:firstLine="0"/>
        <w:jc w:val="both"/>
        <w:rPr>
          <w:rFonts w:ascii="仿宋" w:eastAsia="仿宋" w:hAnsi="仿宋" w:cs="仿宋"/>
          <w:color w:val="000000"/>
          <w:sz w:val="32"/>
          <w:szCs w:val="32"/>
          <w:lang w:eastAsia="zh-CN"/>
        </w:rPr>
      </w:pPr>
    </w:p>
    <w:p w:rsidR="00F56B11" w:rsidRDefault="00EF3BE9" w:rsidP="00CC5E33">
      <w:pPr>
        <w:pStyle w:val="Bodytext10"/>
        <w:tabs>
          <w:tab w:val="left" w:pos="1060"/>
        </w:tabs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一、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自评得分</w:t>
      </w:r>
    </w:p>
    <w:p w:rsidR="00F56B11" w:rsidRDefault="003730A1" w:rsidP="00CC5E33">
      <w:pPr>
        <w:pStyle w:val="Bodytext10"/>
        <w:spacing w:line="560" w:lineRule="exact"/>
        <w:ind w:firstLine="500"/>
        <w:jc w:val="both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总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体自我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评价</w:t>
      </w:r>
      <w:r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：资金预算配置合规，预算执行严格有序，预算管理规范可控，资金效益合乎预期，经综合评价，自评得分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为</w:t>
      </w:r>
      <w:r w:rsidR="00EF3BE9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9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7</w:t>
      </w:r>
      <w:r w:rsidR="00A609B5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.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92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分。</w:t>
      </w:r>
    </w:p>
    <w:p w:rsidR="00F56B11" w:rsidRDefault="00EF3BE9" w:rsidP="00CC5E33">
      <w:pPr>
        <w:pStyle w:val="Bodytext10"/>
        <w:tabs>
          <w:tab w:val="left" w:pos="1060"/>
        </w:tabs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二、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绩效目标完成情况</w:t>
      </w:r>
    </w:p>
    <w:p w:rsidR="00F56B11" w:rsidRDefault="00EF3BE9" w:rsidP="00CC5E33">
      <w:pPr>
        <w:pStyle w:val="Bodytext10"/>
        <w:tabs>
          <w:tab w:val="left" w:pos="1184"/>
        </w:tabs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1.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执行率情况。202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年度项目预算总额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5068.63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万元，执行数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5017.57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万元，资金执行率</w:t>
      </w:r>
      <w:r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9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8.99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%。</w:t>
      </w:r>
    </w:p>
    <w:p w:rsidR="00F56B11" w:rsidRDefault="00EF3BE9" w:rsidP="00CC5E33">
      <w:pPr>
        <w:pStyle w:val="Bodytext10"/>
        <w:tabs>
          <w:tab w:val="left" w:pos="1189"/>
        </w:tabs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2.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完成的绩效目标。项目共设置</w:t>
      </w:r>
      <w:r w:rsidR="0046780D">
        <w:rPr>
          <w:rFonts w:ascii="仿宋" w:eastAsia="仿宋" w:hAnsi="仿宋" w:cs="仿宋" w:hint="eastAsia"/>
          <w:color w:val="000000" w:themeColor="text1"/>
          <w:sz w:val="32"/>
          <w:szCs w:val="32"/>
          <w:lang w:val="en-US" w:eastAsia="zh-CN"/>
        </w:rPr>
        <w:t>9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个绩效指标，完成了</w:t>
      </w:r>
      <w:r w:rsidR="003730A1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7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个</w:t>
      </w:r>
      <w:r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,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资金使用规范，取得良好的社会效益。</w:t>
      </w:r>
    </w:p>
    <w:p w:rsidR="00F56B11" w:rsidRDefault="00EF3BE9" w:rsidP="00CC5E33">
      <w:pPr>
        <w:pStyle w:val="Bodytext10"/>
        <w:tabs>
          <w:tab w:val="left" w:pos="1179"/>
        </w:tabs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3.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未完成的绩效目标。</w:t>
      </w:r>
    </w:p>
    <w:p w:rsidR="00F56B11" w:rsidRDefault="003730A1" w:rsidP="00CC5E33">
      <w:pPr>
        <w:pStyle w:val="Bodytext10"/>
        <w:tabs>
          <w:tab w:val="left" w:pos="1184"/>
        </w:tabs>
        <w:spacing w:line="560" w:lineRule="exact"/>
        <w:ind w:firstLineChars="206" w:firstLine="659"/>
        <w:jc w:val="both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val="zh-CN" w:eastAsia="zh-CN" w:bidi="zh-CN"/>
        </w:rPr>
        <w:t>①</w:t>
      </w:r>
      <w:r w:rsidR="00EF3BE9">
        <w:rPr>
          <w:rFonts w:ascii="仿宋" w:eastAsia="仿宋" w:hAnsi="仿宋" w:cs="仿宋" w:hint="eastAsia"/>
          <w:color w:val="000000"/>
          <w:sz w:val="32"/>
          <w:szCs w:val="32"/>
          <w:lang w:val="zh-CN" w:eastAsia="zh-CN" w:bidi="zh-CN"/>
        </w:rPr>
        <w:t>“</w:t>
      </w:r>
      <w:r w:rsidR="0046780D">
        <w:rPr>
          <w:rFonts w:ascii="仿宋" w:eastAsia="仿宋" w:hAnsi="仿宋" w:cs="仿宋" w:hint="eastAsia"/>
          <w:sz w:val="32"/>
          <w:szCs w:val="32"/>
          <w:lang w:val="en-US" w:eastAsia="zh-CN"/>
        </w:rPr>
        <w:t>公务接待</w:t>
      </w:r>
      <w:r w:rsidR="00EF3BE9">
        <w:rPr>
          <w:rFonts w:ascii="仿宋" w:eastAsia="仿宋" w:hAnsi="仿宋" w:cs="仿宋" w:hint="eastAsia"/>
          <w:sz w:val="32"/>
          <w:szCs w:val="32"/>
          <w:lang w:val="en-US" w:eastAsia="zh-CN"/>
        </w:rPr>
        <w:t>费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”预算</w:t>
      </w:r>
      <w:r w:rsidR="00EF3BE9"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金额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2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万元，执行数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0.31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万元，资金执行率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15.50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%。</w:t>
      </w:r>
    </w:p>
    <w:p w:rsidR="00F56B11" w:rsidRDefault="003730A1" w:rsidP="00CC5E33">
      <w:pPr>
        <w:pStyle w:val="Bodytext10"/>
        <w:tabs>
          <w:tab w:val="left" w:pos="1179"/>
        </w:tabs>
        <w:spacing w:line="560" w:lineRule="exact"/>
        <w:ind w:firstLine="500"/>
        <w:jc w:val="both"/>
        <w:rPr>
          <w:rFonts w:ascii="仿宋" w:eastAsia="仿宋" w:hAnsi="仿宋" w:cs="仿宋"/>
          <w:color w:val="000000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val="zh-CN" w:eastAsia="zh-CN" w:bidi="zh-CN"/>
        </w:rPr>
        <w:t>②</w:t>
      </w:r>
      <w:r w:rsidR="00EF3BE9">
        <w:rPr>
          <w:rFonts w:ascii="仿宋" w:eastAsia="仿宋" w:hAnsi="仿宋" w:cs="仿宋" w:hint="eastAsia"/>
          <w:color w:val="000000"/>
          <w:sz w:val="32"/>
          <w:szCs w:val="32"/>
          <w:lang w:val="zh-CN" w:eastAsia="zh-CN" w:bidi="zh-CN"/>
        </w:rPr>
        <w:t>“</w:t>
      </w:r>
      <w:r w:rsidR="00EF3BE9">
        <w:rPr>
          <w:rFonts w:ascii="仿宋" w:eastAsia="仿宋" w:hAnsi="仿宋" w:cs="仿宋" w:hint="eastAsia"/>
          <w:color w:val="000000"/>
          <w:kern w:val="0"/>
          <w:sz w:val="32"/>
          <w:szCs w:val="32"/>
          <w:lang w:val="en-US" w:eastAsia="zh-CN"/>
        </w:rPr>
        <w:t>会</w:t>
      </w:r>
      <w:r w:rsidR="0046780D">
        <w:rPr>
          <w:rFonts w:ascii="仿宋" w:eastAsia="仿宋" w:hAnsi="仿宋" w:cs="仿宋" w:hint="eastAsia"/>
          <w:color w:val="000000"/>
          <w:kern w:val="0"/>
          <w:sz w:val="32"/>
          <w:szCs w:val="32"/>
          <w:lang w:val="en-US" w:eastAsia="zh-CN"/>
        </w:rPr>
        <w:t>计代理记账经</w:t>
      </w:r>
      <w:r w:rsidR="00EF3BE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费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”预算</w:t>
      </w:r>
      <w:r w:rsidR="00EF3BE9"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金额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2</w:t>
      </w:r>
      <w:r w:rsidR="00EF3BE9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0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万元，执行数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6.39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万元，资金执行率</w:t>
      </w:r>
      <w:r w:rsidR="0046780D">
        <w:rPr>
          <w:rFonts w:ascii="仿宋" w:eastAsia="仿宋" w:hAnsi="仿宋" w:cs="仿宋" w:hint="eastAsia"/>
          <w:color w:val="000000"/>
          <w:sz w:val="32"/>
          <w:szCs w:val="32"/>
          <w:lang w:val="en-US" w:eastAsia="zh-CN"/>
        </w:rPr>
        <w:t>31.95</w:t>
      </w:r>
      <w:r w:rsidR="00EF3BE9">
        <w:rPr>
          <w:rFonts w:ascii="仿宋" w:eastAsia="仿宋" w:hAnsi="仿宋" w:cs="仿宋" w:hint="eastAsia"/>
          <w:color w:val="000000"/>
          <w:sz w:val="32"/>
          <w:szCs w:val="32"/>
        </w:rPr>
        <w:t>%。</w:t>
      </w:r>
    </w:p>
    <w:p w:rsidR="00F56B11" w:rsidRDefault="00EF3BE9" w:rsidP="00CC5E33">
      <w:pPr>
        <w:pStyle w:val="Bodytext10"/>
        <w:tabs>
          <w:tab w:val="left" w:pos="1060"/>
        </w:tabs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三、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存在的问题和原因</w:t>
      </w:r>
    </w:p>
    <w:p w:rsidR="00CC5E33" w:rsidRDefault="00EF3BE9" w:rsidP="00CC5E33">
      <w:pPr>
        <w:widowControl/>
        <w:spacing w:line="560" w:lineRule="exact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  <w:lang w:val="zh-TW" w:eastAsia="zh-CN" w:bidi="zh-TW"/>
        </w:rPr>
      </w:pPr>
      <w:bookmarkStart w:id="0" w:name="bookmark35"/>
      <w:r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1、</w:t>
      </w:r>
      <w:r w:rsidR="0046780D">
        <w:rPr>
          <w:rFonts w:ascii="仿宋" w:eastAsia="仿宋" w:hAnsi="仿宋" w:cs="仿宋" w:hint="eastAsia"/>
          <w:kern w:val="2"/>
          <w:sz w:val="32"/>
          <w:szCs w:val="32"/>
          <w:lang w:eastAsia="zh-CN" w:bidi="zh-TW"/>
        </w:rPr>
        <w:t>公务接待费</w:t>
      </w:r>
      <w:r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项目</w:t>
      </w:r>
      <w:r>
        <w:rPr>
          <w:rFonts w:ascii="仿宋" w:eastAsia="仿宋" w:hAnsi="仿宋" w:cs="仿宋" w:hint="eastAsia"/>
          <w:kern w:val="2"/>
          <w:sz w:val="32"/>
          <w:szCs w:val="32"/>
          <w:lang w:eastAsia="zh-CN" w:bidi="zh-TW"/>
        </w:rPr>
        <w:t>:</w:t>
      </w:r>
      <w:r w:rsidR="00F80790">
        <w:rPr>
          <w:rFonts w:ascii="仿宋" w:eastAsia="仿宋" w:hAnsi="仿宋" w:cs="仿宋" w:hint="eastAsia"/>
          <w:kern w:val="2"/>
          <w:sz w:val="32"/>
          <w:szCs w:val="32"/>
          <w:lang w:eastAsia="zh-CN" w:bidi="zh-TW"/>
        </w:rPr>
        <w:t>一是</w:t>
      </w:r>
      <w:r w:rsidR="00A85062">
        <w:rPr>
          <w:rFonts w:ascii="仿宋" w:eastAsia="仿宋" w:hAnsi="仿宋" w:cs="仿宋" w:hint="eastAsia"/>
          <w:kern w:val="2"/>
          <w:sz w:val="32"/>
          <w:szCs w:val="32"/>
          <w:lang w:eastAsia="zh-CN" w:bidi="zh-TW"/>
        </w:rPr>
        <w:t>预算落实偏差。受疫情影响，接待工作任务量明显减少，导致预算执行偏差较大</w:t>
      </w:r>
      <w:r w:rsidR="00F80790">
        <w:rPr>
          <w:rFonts w:ascii="仿宋" w:eastAsia="仿宋" w:hAnsi="仿宋" w:cs="仿宋" w:hint="eastAsia"/>
          <w:kern w:val="2"/>
          <w:sz w:val="32"/>
          <w:szCs w:val="32"/>
          <w:lang w:val="zh-TW" w:eastAsia="zh-CN" w:bidi="zh-TW"/>
        </w:rPr>
        <w:t>；二是效益指标还不够突出，接待服务能力还需进一步加强。</w:t>
      </w:r>
    </w:p>
    <w:p w:rsidR="00F56B11" w:rsidRDefault="00CE6C4A" w:rsidP="00CC5E33">
      <w:pPr>
        <w:widowControl/>
        <w:spacing w:line="560" w:lineRule="exact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  <w:lang w:val="zh-TW" w:eastAsia="zh-CN" w:bidi="zh-TW"/>
        </w:rPr>
      </w:pPr>
      <w:r>
        <w:rPr>
          <w:rFonts w:ascii="仿宋" w:eastAsia="仿宋" w:hAnsi="仿宋" w:cs="仿宋" w:hint="eastAsia"/>
          <w:kern w:val="2"/>
          <w:sz w:val="32"/>
          <w:szCs w:val="32"/>
          <w:lang w:val="zh-TW" w:eastAsia="zh-CN" w:bidi="zh-TW"/>
        </w:rPr>
        <w:t>2</w:t>
      </w:r>
      <w:r w:rsidR="00EF3BE9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、</w:t>
      </w:r>
      <w:r w:rsidR="00A85062">
        <w:rPr>
          <w:rFonts w:ascii="仿宋" w:eastAsia="仿宋" w:hAnsi="仿宋" w:cs="仿宋" w:hint="eastAsia"/>
          <w:kern w:val="2"/>
          <w:sz w:val="32"/>
          <w:szCs w:val="32"/>
          <w:lang w:eastAsia="zh-CN" w:bidi="zh-TW"/>
        </w:rPr>
        <w:t>会计代理记账经</w:t>
      </w:r>
      <w:r w:rsidR="00EF3BE9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费项目</w:t>
      </w:r>
      <w:r w:rsidR="00EF3BE9">
        <w:rPr>
          <w:rFonts w:ascii="仿宋" w:eastAsia="仿宋" w:hAnsi="仿宋" w:cs="仿宋" w:hint="eastAsia"/>
          <w:kern w:val="2"/>
          <w:sz w:val="32"/>
          <w:szCs w:val="32"/>
          <w:lang w:val="zh-TW" w:eastAsia="zh-CN" w:bidi="zh-TW"/>
        </w:rPr>
        <w:t>：</w:t>
      </w:r>
      <w:r w:rsidR="00F23C27">
        <w:rPr>
          <w:rFonts w:ascii="仿宋" w:eastAsia="仿宋" w:hAnsi="仿宋" w:cs="仿宋" w:hint="eastAsia"/>
          <w:kern w:val="2"/>
          <w:sz w:val="32"/>
          <w:szCs w:val="32"/>
          <w:lang w:val="zh-TW" w:eastAsia="zh-CN" w:bidi="zh-TW"/>
        </w:rPr>
        <w:t>2021年是</w:t>
      </w:r>
      <w:r w:rsidR="00A85062">
        <w:rPr>
          <w:rFonts w:ascii="仿宋" w:eastAsia="仿宋" w:hAnsi="仿宋" w:cs="仿宋" w:hint="eastAsia"/>
          <w:kern w:val="2"/>
          <w:sz w:val="32"/>
          <w:szCs w:val="32"/>
          <w:lang w:val="zh-TW" w:eastAsia="zh-CN" w:bidi="zh-TW"/>
        </w:rPr>
        <w:t>集中代理记账中心</w:t>
      </w:r>
      <w:r w:rsidR="00F23C27">
        <w:rPr>
          <w:rFonts w:ascii="仿宋" w:eastAsia="仿宋" w:hAnsi="仿宋" w:cs="仿宋" w:hint="eastAsia"/>
          <w:kern w:val="2"/>
          <w:sz w:val="32"/>
          <w:szCs w:val="32"/>
          <w:lang w:val="zh-TW" w:eastAsia="zh-CN" w:bidi="zh-TW"/>
        </w:rPr>
        <w:t>开始试运行的第一年，对记账中心工作运行情况预估不</w:t>
      </w:r>
      <w:r w:rsidR="00F23C27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准确，导致预算偏差较大</w:t>
      </w:r>
      <w:r w:rsidR="00EF3BE9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。</w:t>
      </w:r>
    </w:p>
    <w:p w:rsidR="00F56B11" w:rsidRDefault="00EF3BE9" w:rsidP="00CC5E33">
      <w:pPr>
        <w:pStyle w:val="Bodytext10"/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四</w:t>
      </w:r>
      <w:bookmarkEnd w:id="0"/>
      <w:r>
        <w:rPr>
          <w:rFonts w:ascii="仿宋" w:eastAsia="仿宋" w:hAnsi="仿宋" w:cs="仿宋" w:hint="eastAsia"/>
          <w:color w:val="000000"/>
          <w:sz w:val="32"/>
          <w:szCs w:val="32"/>
        </w:rPr>
        <w:t>、下一步拟改进措施</w:t>
      </w:r>
    </w:p>
    <w:p w:rsidR="00F56B11" w:rsidRDefault="00EF3BE9" w:rsidP="00CC5E33">
      <w:pPr>
        <w:pStyle w:val="Bodytext10"/>
        <w:spacing w:line="560" w:lineRule="exact"/>
        <w:ind w:firstLineChars="155" w:firstLine="496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1、规范财务管理，提高财务信息质量</w:t>
      </w:r>
    </w:p>
    <w:p w:rsidR="00F56B11" w:rsidRDefault="00EF3BE9" w:rsidP="00CC5E33">
      <w:pPr>
        <w:spacing w:line="56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严格按照《会计法》、</w:t>
      </w:r>
      <w:r w:rsidR="003730A1">
        <w:rPr>
          <w:rFonts w:ascii="仿宋" w:eastAsia="仿宋" w:hAnsi="仿宋" w:cs="仿宋" w:hint="eastAsia"/>
          <w:sz w:val="32"/>
          <w:szCs w:val="32"/>
          <w:lang w:eastAsia="zh-CN"/>
        </w:rPr>
        <w:t>《预算法》、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《</w:t>
      </w:r>
      <w:r w:rsidR="003730A1">
        <w:rPr>
          <w:rFonts w:ascii="仿宋" w:eastAsia="仿宋" w:hAnsi="仿宋" w:cs="仿宋" w:hint="eastAsia"/>
          <w:sz w:val="32"/>
          <w:szCs w:val="32"/>
          <w:lang w:eastAsia="zh-CN"/>
        </w:rPr>
        <w:t>政府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会计制度》等规定，结合实际情况，严格执行单位经费支出制度，规范</w:t>
      </w:r>
      <w:r w:rsidR="003730A1">
        <w:rPr>
          <w:rFonts w:ascii="仿宋" w:eastAsia="仿宋" w:hAnsi="仿宋" w:cs="仿宋" w:hint="eastAsia"/>
          <w:sz w:val="32"/>
          <w:szCs w:val="32"/>
          <w:lang w:eastAsia="zh-CN"/>
        </w:rPr>
        <w:t>会计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核算。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br/>
      </w:r>
      <w:r w:rsidR="00F23C27">
        <w:rPr>
          <w:rFonts w:ascii="仿宋" w:eastAsia="仿宋" w:hAnsi="仿宋" w:cs="仿宋" w:hint="eastAsia"/>
          <w:sz w:val="32"/>
          <w:szCs w:val="32"/>
          <w:lang w:eastAsia="zh-CN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2、强化财政绩效知识学习，提升绩效目标管理能力</w:t>
      </w:r>
    </w:p>
    <w:p w:rsidR="00F56B11" w:rsidRDefault="00EF3BE9" w:rsidP="00CC5E33">
      <w:pPr>
        <w:pStyle w:val="Bodytext10"/>
        <w:spacing w:line="560" w:lineRule="exact"/>
        <w:ind w:firstLine="500"/>
        <w:jc w:val="both"/>
        <w:rPr>
          <w:rFonts w:ascii="仿宋" w:eastAsia="仿宋" w:hAnsi="仿宋" w:cs="仿宋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加强单位内各科室的财政绩效知识学习，以提高单位整体的财政绩效管理水平</w:t>
      </w:r>
      <w:r w:rsidR="00F23C27">
        <w:rPr>
          <w:rFonts w:ascii="仿宋" w:eastAsia="仿宋" w:hAnsi="仿宋" w:cs="仿宋" w:hint="eastAsia"/>
          <w:sz w:val="32"/>
          <w:szCs w:val="32"/>
          <w:lang w:eastAsia="zh-CN"/>
        </w:rPr>
        <w:t>。</w:t>
      </w:r>
    </w:p>
    <w:p w:rsidR="00F23C27" w:rsidRDefault="00EF3BE9" w:rsidP="00CC5E33">
      <w:pPr>
        <w:pStyle w:val="Bodytext10"/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>3、加强预算的约束力，细化预算编制工作。</w:t>
      </w:r>
    </w:p>
    <w:p w:rsidR="00A775F3" w:rsidRDefault="00EF3BE9" w:rsidP="00CC5E33">
      <w:pPr>
        <w:pStyle w:val="Bodytext10"/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>进一步加强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中心</w:t>
      </w:r>
      <w:r>
        <w:rPr>
          <w:rFonts w:ascii="仿宋" w:eastAsia="仿宋" w:hAnsi="仿宋" w:cs="仿宋" w:hint="eastAsia"/>
          <w:sz w:val="32"/>
          <w:szCs w:val="32"/>
        </w:rPr>
        <w:t>内部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科室</w:t>
      </w:r>
      <w:r>
        <w:rPr>
          <w:rFonts w:ascii="仿宋" w:eastAsia="仿宋" w:hAnsi="仿宋" w:cs="仿宋" w:hint="eastAsia"/>
          <w:sz w:val="32"/>
          <w:szCs w:val="32"/>
        </w:rPr>
        <w:t>的预算管理意识，严格按照预算编制的相关制度和要求，公用经费根据单位的年度工作重点和项目专项工作规划，本着“勤俭节约、保障运转”的原则进行预算的编制。编制范围尽可能的全面，不漏项。严格控制，尽力避免超预算开支的情况发生，进一步提高预算编制的科学性、合理性、严谨性和可控性。</w:t>
      </w:r>
    </w:p>
    <w:p w:rsidR="00A775F3" w:rsidRDefault="00A775F3" w:rsidP="00CC5E33">
      <w:pPr>
        <w:pStyle w:val="Bodytext10"/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五、工作完成情况</w:t>
      </w:r>
    </w:p>
    <w:p w:rsidR="00A775F3" w:rsidRPr="00A775F3" w:rsidRDefault="00A775F3" w:rsidP="00CC5E33">
      <w:pPr>
        <w:pStyle w:val="Bodytext10"/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en-US" w:eastAsia="zh-CN"/>
        </w:rPr>
      </w:pPr>
      <w:r w:rsidRPr="00A775F3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一</w:t>
      </w:r>
      <w:r w:rsidRPr="00A775F3">
        <w:rPr>
          <w:rFonts w:ascii="仿宋" w:eastAsia="仿宋" w:hAnsi="仿宋" w:cs="仿宋" w:hint="eastAsia"/>
          <w:sz w:val="32"/>
          <w:szCs w:val="32"/>
        </w:rPr>
        <w:t>）抓好后勤服务，提升服务质量</w:t>
      </w:r>
    </w:p>
    <w:p w:rsidR="00A775F3" w:rsidRPr="00A775F3" w:rsidRDefault="00A775F3" w:rsidP="00CC5E33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1.履行监管职责，提升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服务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水平。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一是根据服务规范化、标准化建设要求，结合工作岗位实际，科学系统设置食堂、物业以及会务岗位职责、管理制度、服务标准以及工作流程等，有效提升服务质量和管理水平。二是完善服务合同和考评细则，加大巡查检查力度，督促指导第三方严格执行服务标准，确保机关后勤保障工作高效有序运行。三是加大对集中办公区域设施设备检查维修，重点对立体车库、消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lastRenderedPageBreak/>
        <w:t>防、配电房以及监控系统进行详细记录，及时对办公楼内各单位水、电设施进行维护和保养，确保设备正常运转。</w:t>
      </w:r>
    </w:p>
    <w:p w:rsidR="00A775F3" w:rsidRPr="00A775F3" w:rsidRDefault="00A775F3" w:rsidP="00CC5E33">
      <w:pPr>
        <w:pStyle w:val="a5"/>
        <w:spacing w:line="560" w:lineRule="exact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2.创新常态工作，增强服务能力。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一是严格疫情防控措施，加强集中办公区域疫情防控知识的宣传普及，从严做好集中办公区域以及食堂的环境卫生整治、消杀以及垃圾分类工作，扎实提高疫情防控能力。二是统筹推进区会议中心后勤服务社会化改革，通过市场化购买服务，进一步提高服务专业性，从根本上提高区会议中心的后勤服务保障能力。同时加大区会议中心后勤保障服务工作的统筹力度，基本形成了大型活动专人联络协调、各科室共同参与的工作格局。今年来，区会议中心承接了包括疫情表彰大会、区两会等大型活动的后勤保障工作，活动的高效平稳运行以及体贴周到的细节服务，赢得了参会领导的一致好评。</w:t>
      </w:r>
    </w:p>
    <w:p w:rsidR="00A775F3" w:rsidRPr="00A775F3" w:rsidRDefault="00A775F3" w:rsidP="00CC5E33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3.营造节约氛围，优化服务细节。根据区委常委会专题会议部署要求，深入推动党政机关企事业单位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“厉行勤俭节约、反对铺张浪费”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活动，一是制定活动方案、起草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“杜绝浪费，文明就餐”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倡议书，并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通过区融媒体平台、微信公众号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、机关食堂宣传展板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等形式向广大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机关干部推送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“厉行节约，反对浪费”提示语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，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大力营造节约用餐氛围，提高机关干部思想认识。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二是在精细化服务上面下功夫，率先在机关食堂推行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“小锅炒菜、分锅炒菜”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、“特色小份菜”、“边角余料特色包”以及自助餐接待等，减少餐饮各个环节的浪费，保证食材物尽其用。三是充分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征求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机关干部好的建议，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提供差异化服务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，在口味和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烹调方法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上下功夫，尽可能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满足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lastRenderedPageBreak/>
        <w:t>机关干部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对健康和味蕾的要求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。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通过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开展</w:t>
      </w:r>
      <w:r w:rsidRPr="00A775F3"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  <w:t>“节约粮食、制止餐饮浪费”活动，我们取得了显著的成果，“小份菜”、“自助接待餐”越来越受欢迎，厨余垃圾也几乎消失不见。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我们的工作不仅得到了湖北之声和武汉临空港新闻转发报道，同时还被选为示范单位在市机关事务报告工作会上做了专题发言。</w:t>
      </w:r>
    </w:p>
    <w:p w:rsidR="00A775F3" w:rsidRPr="00A775F3" w:rsidRDefault="00A775F3" w:rsidP="00CC5E33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（</w:t>
      </w:r>
      <w:r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CN" w:bidi="zh-TW"/>
        </w:rPr>
        <w:t>二</w:t>
      </w:r>
      <w:r w:rsidRPr="00A775F3">
        <w:rPr>
          <w:rFonts w:ascii="仿宋" w:eastAsia="仿宋" w:hAnsi="仿宋" w:cs="仿宋" w:hint="eastAsia"/>
          <w:color w:val="auto"/>
          <w:kern w:val="2"/>
          <w:sz w:val="32"/>
          <w:szCs w:val="32"/>
          <w:lang w:val="zh-TW" w:eastAsia="zh-TW" w:bidi="zh-TW"/>
        </w:rPr>
        <w:t>）深化集约节约管理，发挥做大效能</w:t>
      </w:r>
    </w:p>
    <w:p w:rsidR="00CC5E33" w:rsidRPr="00CC5E33" w:rsidRDefault="00A775F3" w:rsidP="00CC5E33">
      <w:pPr>
        <w:pStyle w:val="a5"/>
        <w:spacing w:line="560" w:lineRule="exact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1.深化体制机制改革，稳步推进代理记账中心建设。</w:t>
      </w:r>
      <w:r w:rsidR="00CC5E33" w:rsidRPr="00CC5E3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一是积极推进集中代账中心建设。深入贯彻落实区政府常务会议精神，紧紧围绕提升我区行政事业单位会计核算规范化、透明化、信息化水平的目标要求，认真梳理区直行政事业单位财务核算工作情况，并于4月1日组织召开了集中代理记账中心工作部署会暨财政财务政策培训会，区财政局、区服投公司等相关部门负责同志等100余人参会，区政府党组成员冷莹出席会议并发表重要讲话。二是大力推进财务规章制度完善。为进一步加强集中代理记账中心管理，优化代理记账中心运行模式，在多次赴洪山区等相关地区调研、听取区财政局等业务部门意见的基础上，制订了《集中代理记账中心服务质量考核办法》《集中代理记账中心会计档案管理办法》《集中代理记账中心使用国库支付系统审核秘钥管理办法》等操作规程，形成《2021年东西湖区行政事业单位财务管理规范相关规定文件汇编》。积极督促各委托单位将国库支付系统审核密钥移交至记账中心管理，防控资金风险。为进一步约定各方职责与义务，与区服投集团签订《财务咨询服务》</w:t>
      </w:r>
      <w:r w:rsidR="00CC5E33" w:rsidRPr="00CC5E3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lastRenderedPageBreak/>
        <w:t>协议，为后期服务工作打好法律基础。三是有序推进财务资料移交落实。根据区政府常务会议精神，全区应纳入集中代理记账中心单位共41家，经与区财政局、区服投公司反复磋商，明确了具体操作流程和工作任务。</w:t>
      </w:r>
    </w:p>
    <w:p w:rsidR="00A775F3" w:rsidRPr="00A775F3" w:rsidRDefault="00A775F3" w:rsidP="00CC5E33">
      <w:pPr>
        <w:pStyle w:val="a5"/>
        <w:spacing w:line="560" w:lineRule="exact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2.发挥最大效能，推进办公用房资源合理配置。一是统筹做好调剂分配工作，按照区委区政府领导指示精神，结合现有办公用房实际，重点解决了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区环保局、吴家山街道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相关社区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办公用房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不足的问题,并对区防疫指挥部、区政府办公室、区纪委监委机关、区委宣传部、区大数据中心、临空港产业办公室办公用房进行了局部调整。二是进一步推进办公用房管理信息化水平，按照市机关事务管理局通知要求，组织全区69</w:t>
      </w:r>
      <w:r w:rsidR="00CC5E3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家党政机关完成办公用房信息系统数据上报工作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，全面掌握全区党政机关办公用房管理信息，为进一步提升办公用房管理精细化、规范化水平打下坚实基础。</w:t>
      </w:r>
    </w:p>
    <w:p w:rsidR="00A775F3" w:rsidRPr="00A775F3" w:rsidRDefault="00A775F3" w:rsidP="00CC5E33">
      <w:pPr>
        <w:pStyle w:val="a6"/>
        <w:adjustRightInd w:val="0"/>
        <w:spacing w:line="560" w:lineRule="exact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</w:pP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3.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严格落实公文交换管理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。严格落实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公文传递登记和发出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程序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，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加强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流向跟踪，做到每件号件有据可查，查有结果，无错登、错投、延误、丢失公文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等</w:t>
      </w:r>
      <w:r w:rsidRPr="00A775F3">
        <w:rPr>
          <w:rFonts w:ascii="仿宋" w:eastAsia="仿宋" w:hAnsi="仿宋" w:cs="仿宋"/>
          <w:kern w:val="2"/>
          <w:sz w:val="32"/>
          <w:szCs w:val="32"/>
          <w:lang w:val="zh-TW" w:eastAsia="zh-TW" w:bidi="zh-TW"/>
        </w:rPr>
        <w:t>现象发生</w:t>
      </w:r>
      <w:r w:rsidRPr="00A775F3">
        <w:rPr>
          <w:rFonts w:ascii="仿宋" w:eastAsia="仿宋" w:hAnsi="仿宋" w:cs="仿宋" w:hint="eastAsia"/>
          <w:kern w:val="2"/>
          <w:sz w:val="32"/>
          <w:szCs w:val="32"/>
          <w:lang w:val="zh-TW" w:eastAsia="zh-TW" w:bidi="zh-TW"/>
        </w:rPr>
        <w:t>。</w:t>
      </w:r>
    </w:p>
    <w:p w:rsidR="00F56B11" w:rsidRPr="00A775F3" w:rsidRDefault="00F56B11" w:rsidP="00CC5E33">
      <w:pPr>
        <w:spacing w:line="560" w:lineRule="exact"/>
        <w:jc w:val="both"/>
        <w:rPr>
          <w:rFonts w:ascii="仿宋" w:eastAsia="仿宋" w:hAnsi="仿宋" w:cs="仿宋"/>
          <w:color w:val="auto"/>
          <w:kern w:val="2"/>
          <w:sz w:val="32"/>
          <w:szCs w:val="32"/>
          <w:lang w:val="zh-TW" w:eastAsia="zh-TW" w:bidi="zh-TW"/>
        </w:rPr>
      </w:pPr>
    </w:p>
    <w:sectPr w:rsidR="00F56B11" w:rsidRPr="00A775F3" w:rsidSect="00F56B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B64" w:rsidRDefault="00241B64" w:rsidP="00DD604E">
      <w:r>
        <w:separator/>
      </w:r>
    </w:p>
  </w:endnote>
  <w:endnote w:type="continuationSeparator" w:id="1">
    <w:p w:rsidR="00241B64" w:rsidRDefault="00241B64" w:rsidP="00DD6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B64" w:rsidRDefault="00241B64" w:rsidP="00DD604E">
      <w:r>
        <w:separator/>
      </w:r>
    </w:p>
  </w:footnote>
  <w:footnote w:type="continuationSeparator" w:id="1">
    <w:p w:rsidR="00241B64" w:rsidRDefault="00241B64" w:rsidP="00DD60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6038B"/>
    <w:rsid w:val="000F48E9"/>
    <w:rsid w:val="00153808"/>
    <w:rsid w:val="00241B64"/>
    <w:rsid w:val="00266665"/>
    <w:rsid w:val="002725FE"/>
    <w:rsid w:val="002A1E1F"/>
    <w:rsid w:val="0036038B"/>
    <w:rsid w:val="003730A1"/>
    <w:rsid w:val="00375439"/>
    <w:rsid w:val="003948C6"/>
    <w:rsid w:val="00397FEE"/>
    <w:rsid w:val="00430572"/>
    <w:rsid w:val="0046780D"/>
    <w:rsid w:val="004C12E5"/>
    <w:rsid w:val="0051024A"/>
    <w:rsid w:val="0053755D"/>
    <w:rsid w:val="00582180"/>
    <w:rsid w:val="00613EA1"/>
    <w:rsid w:val="00691685"/>
    <w:rsid w:val="006D0B0E"/>
    <w:rsid w:val="0072135A"/>
    <w:rsid w:val="007A44B1"/>
    <w:rsid w:val="0080320A"/>
    <w:rsid w:val="00836EFC"/>
    <w:rsid w:val="00976E9B"/>
    <w:rsid w:val="00985CBA"/>
    <w:rsid w:val="009F13F6"/>
    <w:rsid w:val="00A161CF"/>
    <w:rsid w:val="00A609B5"/>
    <w:rsid w:val="00A775F3"/>
    <w:rsid w:val="00A85062"/>
    <w:rsid w:val="00B06F3A"/>
    <w:rsid w:val="00CC5E33"/>
    <w:rsid w:val="00CE6C4A"/>
    <w:rsid w:val="00D236E9"/>
    <w:rsid w:val="00DD604E"/>
    <w:rsid w:val="00E4176E"/>
    <w:rsid w:val="00EF3BE9"/>
    <w:rsid w:val="00F23C27"/>
    <w:rsid w:val="00F56B11"/>
    <w:rsid w:val="00F80790"/>
    <w:rsid w:val="06F5123D"/>
    <w:rsid w:val="0E6E4881"/>
    <w:rsid w:val="198D6CC0"/>
    <w:rsid w:val="2EBB34D5"/>
    <w:rsid w:val="3978424C"/>
    <w:rsid w:val="3C695543"/>
    <w:rsid w:val="3D5E1676"/>
    <w:rsid w:val="3F286194"/>
    <w:rsid w:val="56A02E43"/>
    <w:rsid w:val="6466218C"/>
    <w:rsid w:val="68AF5EF1"/>
    <w:rsid w:val="6AD7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11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56B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56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Bodytext6">
    <w:name w:val="Body text|6_"/>
    <w:basedOn w:val="a0"/>
    <w:link w:val="Bodytext60"/>
    <w:qFormat/>
    <w:rsid w:val="00F56B11"/>
    <w:rPr>
      <w:sz w:val="32"/>
      <w:szCs w:val="32"/>
      <w:lang w:val="zh-TW" w:eastAsia="zh-TW" w:bidi="zh-TW"/>
    </w:rPr>
  </w:style>
  <w:style w:type="paragraph" w:customStyle="1" w:styleId="Bodytext60">
    <w:name w:val="Body text|6"/>
    <w:basedOn w:val="a"/>
    <w:link w:val="Bodytext6"/>
    <w:qFormat/>
    <w:rsid w:val="00F56B11"/>
    <w:pPr>
      <w:spacing w:after="6480"/>
      <w:ind w:firstLine="640"/>
    </w:pPr>
    <w:rPr>
      <w:rFonts w:asciiTheme="minorHAnsi" w:eastAsiaTheme="minorEastAsia" w:hAnsiTheme="minorHAnsi" w:cstheme="minorBidi"/>
      <w:color w:val="auto"/>
      <w:kern w:val="2"/>
      <w:sz w:val="32"/>
      <w:szCs w:val="32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sid w:val="00F56B11"/>
    <w:rPr>
      <w:rFonts w:ascii="宋体" w:eastAsia="宋体" w:hAnsi="宋体" w:cs="宋体"/>
      <w:sz w:val="22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F56B11"/>
    <w:pPr>
      <w:spacing w:line="437" w:lineRule="auto"/>
      <w:ind w:firstLine="400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character" w:customStyle="1" w:styleId="Other1">
    <w:name w:val="Other|1_"/>
    <w:basedOn w:val="a0"/>
    <w:link w:val="Other10"/>
    <w:qFormat/>
    <w:rsid w:val="00F56B11"/>
    <w:rPr>
      <w:rFonts w:ascii="宋体" w:eastAsia="宋体" w:hAnsi="宋体" w:cs="宋体"/>
      <w:sz w:val="22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F56B11"/>
    <w:pPr>
      <w:spacing w:line="437" w:lineRule="auto"/>
      <w:ind w:firstLine="400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character" w:customStyle="1" w:styleId="Char0">
    <w:name w:val="页眉 Char"/>
    <w:basedOn w:val="a0"/>
    <w:link w:val="a4"/>
    <w:uiPriority w:val="99"/>
    <w:semiHidden/>
    <w:qFormat/>
    <w:rsid w:val="00F56B11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character" w:customStyle="1" w:styleId="Char">
    <w:name w:val="页脚 Char"/>
    <w:basedOn w:val="a0"/>
    <w:link w:val="a3"/>
    <w:uiPriority w:val="99"/>
    <w:semiHidden/>
    <w:qFormat/>
    <w:rsid w:val="00F56B11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Normal Indent"/>
    <w:basedOn w:val="a"/>
    <w:qFormat/>
    <w:rsid w:val="00A775F3"/>
    <w:pPr>
      <w:autoSpaceDE w:val="0"/>
      <w:autoSpaceDN w:val="0"/>
      <w:adjustRightInd w:val="0"/>
      <w:spacing w:line="315" w:lineRule="atLeast"/>
      <w:ind w:firstLine="420"/>
    </w:pPr>
    <w:rPr>
      <w:rFonts w:ascii="楷体_GB2312" w:eastAsia="楷体_GB2312" w:hAnsiTheme="minorHAnsi" w:cstheme="minorBidi"/>
      <w:color w:val="auto"/>
      <w:sz w:val="28"/>
      <w:lang w:eastAsia="zh-CN" w:bidi="ar-SA"/>
    </w:rPr>
  </w:style>
  <w:style w:type="paragraph" w:styleId="a6">
    <w:name w:val="Normal (Web)"/>
    <w:basedOn w:val="a"/>
    <w:qFormat/>
    <w:rsid w:val="00A775F3"/>
    <w:rPr>
      <w:rFonts w:asciiTheme="minorHAnsi" w:eastAsiaTheme="minorEastAsia" w:hAnsiTheme="minorHAnsi"/>
      <w:color w:val="auto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391</Words>
  <Characters>2231</Characters>
  <Application>Microsoft Office Word</Application>
  <DocSecurity>0</DocSecurity>
  <Lines>18</Lines>
  <Paragraphs>5</Paragraphs>
  <ScaleCrop>false</ScaleCrop>
  <Company>微软中国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2022-04-13T07:59:00Z</cp:lastPrinted>
  <dcterms:created xsi:type="dcterms:W3CDTF">2021-04-28T02:52:00Z</dcterms:created>
  <dcterms:modified xsi:type="dcterms:W3CDTF">2022-04-13T08:01:00Z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9A0C956C7ECA40B0A7190999ABF1B5DF</vt:lpwstr>
  </property>
</Properties>
</file>