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120" w:after="156" w:line="640" w:lineRule="exact"/>
        <w:ind w:firstLine="420"/>
        <w:jc w:val="center"/>
        <w:textAlignment w:val="auto"/>
        <w:rPr>
          <w:rFonts w:hint="eastAsia" w:ascii="公文小标宋简" w:hAnsi="宋体" w:eastAsia="公文小标宋简"/>
          <w:sz w:val="44"/>
          <w:szCs w:val="44"/>
        </w:rPr>
      </w:pPr>
      <w:r>
        <w:rPr>
          <w:rFonts w:hint="eastAsia" w:ascii="公文小标宋简" w:eastAsia="公文小标宋简"/>
          <w:bCs/>
          <w:sz w:val="44"/>
          <w:szCs w:val="44"/>
        </w:rPr>
        <w:t>202</w:t>
      </w:r>
      <w:r>
        <w:rPr>
          <w:rFonts w:hint="eastAsia" w:ascii="公文小标宋简" w:eastAsia="公文小标宋简"/>
          <w:bCs/>
          <w:sz w:val="44"/>
          <w:szCs w:val="44"/>
          <w:lang w:val="en-US" w:eastAsia="zh-CN"/>
        </w:rPr>
        <w:t>2</w:t>
      </w:r>
      <w:r>
        <w:rPr>
          <w:rFonts w:hint="eastAsia" w:ascii="公文小标宋简" w:eastAsia="公文小标宋简"/>
          <w:bCs/>
          <w:sz w:val="44"/>
          <w:szCs w:val="44"/>
        </w:rPr>
        <w:t>年度</w:t>
      </w:r>
      <w:r>
        <w:rPr>
          <w:rFonts w:hint="eastAsia" w:ascii="公文小标宋简" w:hAnsi="宋体" w:eastAsia="公文小标宋简"/>
          <w:sz w:val="44"/>
          <w:szCs w:val="44"/>
        </w:rPr>
        <w:t>区公检中心部门整体支出</w:t>
      </w:r>
    </w:p>
    <w:p>
      <w:pPr>
        <w:keepNext w:val="0"/>
        <w:keepLines w:val="0"/>
        <w:pageBreakBefore w:val="0"/>
        <w:widowControl w:val="0"/>
        <w:kinsoku/>
        <w:wordWrap/>
        <w:overflowPunct/>
        <w:topLinePunct w:val="0"/>
        <w:autoSpaceDE/>
        <w:autoSpaceDN/>
        <w:bidi w:val="0"/>
        <w:adjustRightInd/>
        <w:snapToGrid/>
        <w:spacing w:before="120" w:after="156" w:line="640" w:lineRule="exact"/>
        <w:ind w:firstLine="420"/>
        <w:jc w:val="center"/>
        <w:textAlignment w:val="auto"/>
        <w:rPr>
          <w:rFonts w:hint="eastAsia" w:ascii="公文小标宋简" w:hAnsi="宋体" w:eastAsia="公文小标宋简"/>
          <w:sz w:val="44"/>
          <w:szCs w:val="44"/>
        </w:rPr>
      </w:pPr>
      <w:r>
        <w:rPr>
          <w:rFonts w:hint="eastAsia" w:ascii="公文小标宋简" w:hAnsi="宋体" w:eastAsia="公文小标宋简"/>
          <w:sz w:val="44"/>
          <w:szCs w:val="44"/>
        </w:rPr>
        <w:t>绩效评价自评结果</w:t>
      </w:r>
    </w:p>
    <w:p>
      <w:pPr>
        <w:keepNext w:val="0"/>
        <w:keepLines w:val="0"/>
        <w:pageBreakBefore w:val="0"/>
        <w:widowControl w:val="0"/>
        <w:kinsoku/>
        <w:wordWrap/>
        <w:overflowPunct/>
        <w:topLinePunct w:val="0"/>
        <w:autoSpaceDE/>
        <w:autoSpaceDN/>
        <w:bidi w:val="0"/>
        <w:adjustRightInd/>
        <w:snapToGrid/>
        <w:spacing w:before="120" w:after="156" w:line="640" w:lineRule="exact"/>
        <w:jc w:val="center"/>
        <w:textAlignment w:val="auto"/>
        <w:rPr>
          <w:rFonts w:hint="eastAsia" w:ascii="楷体" w:hAnsi="楷体" w:eastAsia="楷体"/>
          <w:sz w:val="32"/>
          <w:szCs w:val="32"/>
        </w:rPr>
      </w:pPr>
      <w:r>
        <w:rPr>
          <w:rFonts w:hint="eastAsia" w:ascii="楷体" w:hAnsi="楷体" w:eastAsia="楷体"/>
          <w:sz w:val="32"/>
          <w:szCs w:val="32"/>
        </w:rPr>
        <w:t>（</w:t>
      </w:r>
      <w:r>
        <w:rPr>
          <w:rFonts w:hint="eastAsia" w:ascii="楷体" w:hAnsi="楷体" w:eastAsia="楷体"/>
          <w:sz w:val="32"/>
          <w:szCs w:val="32"/>
          <w:lang w:eastAsia="zh-CN"/>
        </w:rPr>
        <w:t>摘要</w:t>
      </w:r>
      <w:bookmarkStart w:id="0" w:name="_GoBack"/>
      <w:bookmarkEnd w:id="0"/>
      <w:r>
        <w:rPr>
          <w:rFonts w:hint="eastAsia" w:ascii="楷体" w:hAnsi="楷体" w:eastAsia="楷体"/>
          <w:sz w:val="32"/>
          <w:szCs w:val="32"/>
        </w:rPr>
        <w:t>版）</w:t>
      </w:r>
    </w:p>
    <w:p>
      <w:pPr>
        <w:pStyle w:val="4"/>
        <w:spacing w:beforeLines="0" w:after="156" w:line="560" w:lineRule="exact"/>
        <w:ind w:firstLine="640"/>
        <w:rPr>
          <w:sz w:val="32"/>
          <w:szCs w:val="32"/>
        </w:rPr>
      </w:pPr>
      <w:r>
        <w:rPr>
          <w:rFonts w:hint="eastAsia"/>
          <w:sz w:val="32"/>
          <w:szCs w:val="32"/>
        </w:rPr>
        <w:t>一、自评结论</w:t>
      </w:r>
    </w:p>
    <w:p>
      <w:pPr>
        <w:pStyle w:val="4"/>
        <w:spacing w:beforeLines="0" w:after="156" w:line="560" w:lineRule="exact"/>
        <w:ind w:firstLine="643"/>
        <w:rPr>
          <w:rFonts w:hint="eastAsia" w:ascii="仿宋_GB2312" w:hAnsi="宋体" w:eastAsia="仿宋_GB2312"/>
          <w:b/>
          <w:bCs/>
          <w:sz w:val="32"/>
          <w:szCs w:val="32"/>
        </w:rPr>
      </w:pPr>
      <w:r>
        <w:rPr>
          <w:rFonts w:hint="eastAsia" w:ascii="仿宋_GB2312" w:hAnsi="宋体" w:eastAsia="仿宋_GB2312"/>
          <w:b/>
          <w:bCs/>
          <w:sz w:val="32"/>
          <w:szCs w:val="32"/>
        </w:rPr>
        <w:t>（一）部门整体绩效自评得分</w:t>
      </w:r>
    </w:p>
    <w:p>
      <w:pPr>
        <w:pStyle w:val="4"/>
        <w:spacing w:beforeLines="0" w:after="156" w:line="560" w:lineRule="exact"/>
        <w:ind w:firstLine="643"/>
        <w:rPr>
          <w:rFonts w:hint="eastAsia" w:ascii="仿宋_GB2312" w:hAnsi="黑体" w:eastAsia="仿宋_GB2312"/>
          <w:sz w:val="32"/>
          <w:szCs w:val="32"/>
        </w:rPr>
      </w:pPr>
      <w:r>
        <w:rPr>
          <w:rFonts w:hint="eastAsia" w:ascii="仿宋_GB2312" w:hAnsi="黑体" w:eastAsia="仿宋_GB2312"/>
          <w:sz w:val="32"/>
          <w:szCs w:val="32"/>
        </w:rPr>
        <w:t>经查看项目佐证资料，分析整体绩效指标实际完成情况，2022年度部门整体绩效支出预算执行评分18.55分，绩效目标评分7</w:t>
      </w:r>
      <w:r>
        <w:rPr>
          <w:rFonts w:hint="eastAsia" w:ascii="仿宋_GB2312" w:eastAsia="仿宋_GB2312"/>
          <w:sz w:val="32"/>
          <w:szCs w:val="32"/>
          <w:lang w:val="en-US" w:eastAsia="zh-CN"/>
        </w:rPr>
        <w:t>7</w:t>
      </w:r>
      <w:r>
        <w:rPr>
          <w:rFonts w:hint="eastAsia" w:ascii="仿宋_GB2312" w:hAnsi="黑体" w:eastAsia="仿宋_GB2312"/>
          <w:sz w:val="32"/>
          <w:szCs w:val="32"/>
        </w:rPr>
        <w:t>.42分，综合评分</w:t>
      </w:r>
      <w:r>
        <w:rPr>
          <w:rFonts w:hint="eastAsia" w:ascii="仿宋_GB2312" w:hAnsi="黑体" w:eastAsia="仿宋_GB2312"/>
          <w:sz w:val="32"/>
          <w:szCs w:val="32"/>
          <w:highlight w:val="none"/>
        </w:rPr>
        <w:t>9</w:t>
      </w:r>
      <w:r>
        <w:rPr>
          <w:rFonts w:hint="eastAsia" w:ascii="仿宋_GB2312" w:eastAsia="仿宋_GB2312"/>
          <w:sz w:val="32"/>
          <w:szCs w:val="32"/>
          <w:highlight w:val="none"/>
          <w:lang w:val="en-US" w:eastAsia="zh-CN"/>
        </w:rPr>
        <w:t>5</w:t>
      </w:r>
      <w:r>
        <w:rPr>
          <w:rFonts w:hint="eastAsia" w:ascii="仿宋_GB2312" w:hAnsi="黑体" w:eastAsia="仿宋_GB2312"/>
          <w:sz w:val="32"/>
          <w:szCs w:val="32"/>
          <w:highlight w:val="none"/>
        </w:rPr>
        <w:t>.9</w:t>
      </w:r>
      <w:r>
        <w:rPr>
          <w:rFonts w:hint="eastAsia" w:ascii="仿宋_GB2312" w:eastAsia="仿宋_GB2312"/>
          <w:sz w:val="32"/>
          <w:szCs w:val="32"/>
          <w:highlight w:val="none"/>
          <w:lang w:val="en-US" w:eastAsia="zh-CN"/>
        </w:rPr>
        <w:t>7</w:t>
      </w:r>
      <w:r>
        <w:rPr>
          <w:rFonts w:hint="eastAsia" w:ascii="仿宋_GB2312" w:hAnsi="黑体" w:eastAsia="仿宋_GB2312"/>
          <w:sz w:val="32"/>
          <w:szCs w:val="32"/>
        </w:rPr>
        <w:t>分。</w:t>
      </w:r>
    </w:p>
    <w:p>
      <w:pPr>
        <w:pStyle w:val="4"/>
        <w:spacing w:beforeLines="0" w:after="156" w:line="560" w:lineRule="exact"/>
        <w:ind w:firstLine="643"/>
        <w:rPr>
          <w:rFonts w:hint="eastAsia" w:ascii="仿宋_GB2312" w:hAnsi="宋体" w:eastAsia="仿宋_GB2312"/>
          <w:b/>
          <w:bCs/>
          <w:sz w:val="32"/>
          <w:szCs w:val="32"/>
        </w:rPr>
      </w:pPr>
      <w:r>
        <w:rPr>
          <w:rFonts w:hint="eastAsia" w:ascii="仿宋_GB2312" w:hAnsi="宋体" w:eastAsia="仿宋_GB2312"/>
          <w:b/>
          <w:bCs/>
          <w:sz w:val="32"/>
          <w:szCs w:val="32"/>
        </w:rPr>
        <w:t>（二）部门整体绩效目标完成情况</w:t>
      </w:r>
    </w:p>
    <w:p>
      <w:pPr>
        <w:pStyle w:val="4"/>
        <w:spacing w:beforeLines="0" w:after="156" w:line="560" w:lineRule="exact"/>
        <w:ind w:firstLine="640"/>
        <w:rPr>
          <w:rFonts w:ascii="仿宋_GB2312" w:hAnsi="宋体" w:eastAsia="仿宋_GB2312"/>
          <w:sz w:val="32"/>
          <w:szCs w:val="32"/>
        </w:rPr>
      </w:pPr>
      <w:r>
        <w:rPr>
          <w:rFonts w:hint="eastAsia" w:ascii="仿宋_GB2312" w:hAnsi="宋体" w:eastAsia="仿宋_GB2312"/>
          <w:sz w:val="32"/>
          <w:szCs w:val="32"/>
        </w:rPr>
        <w:t>1.执行率情况</w:t>
      </w:r>
    </w:p>
    <w:p>
      <w:pPr>
        <w:pStyle w:val="4"/>
        <w:spacing w:beforeLines="0" w:after="156" w:line="560" w:lineRule="exact"/>
        <w:ind w:firstLine="640"/>
        <w:rPr>
          <w:rFonts w:hint="eastAsia" w:ascii="仿宋_GB2312" w:hAnsi="宋体" w:eastAsia="仿宋_GB2312"/>
          <w:sz w:val="32"/>
          <w:szCs w:val="32"/>
        </w:rPr>
      </w:pPr>
      <w:r>
        <w:rPr>
          <w:rFonts w:hint="eastAsia" w:ascii="仿宋_GB2312" w:hAnsi="宋体" w:eastAsia="仿宋_GB2312"/>
          <w:sz w:val="32"/>
          <w:szCs w:val="32"/>
          <w:lang w:eastAsia="zh-CN"/>
        </w:rPr>
        <w:t>2022年度区公检中心年初预算1636.91万元，追加资金预算调增18.93万元，单位往来资金预算调增348.26万元，调整后2004.10万元，执行数1858.3</w:t>
      </w:r>
      <w:r>
        <w:rPr>
          <w:rFonts w:hint="eastAsia" w:ascii="仿宋_GB2312" w:hAnsi="宋体" w:eastAsia="仿宋_GB2312"/>
          <w:sz w:val="32"/>
          <w:szCs w:val="32"/>
          <w:lang w:val="en-US" w:eastAsia="zh-CN"/>
        </w:rPr>
        <w:t>8</w:t>
      </w:r>
      <w:r>
        <w:rPr>
          <w:rFonts w:hint="eastAsia" w:ascii="仿宋_GB2312" w:hAnsi="宋体" w:eastAsia="仿宋_GB2312"/>
          <w:sz w:val="32"/>
          <w:szCs w:val="32"/>
          <w:lang w:eastAsia="zh-CN"/>
        </w:rPr>
        <w:t>万元，执行率92.73%</w:t>
      </w:r>
      <w:r>
        <w:rPr>
          <w:rFonts w:hint="eastAsia" w:ascii="仿宋_GB2312" w:hAnsi="宋体" w:eastAsia="仿宋_GB2312"/>
          <w:sz w:val="32"/>
          <w:szCs w:val="32"/>
        </w:rPr>
        <w:t>。</w:t>
      </w:r>
    </w:p>
    <w:p>
      <w:pPr>
        <w:pStyle w:val="4"/>
        <w:spacing w:beforeLines="0" w:after="156" w:line="560" w:lineRule="exact"/>
        <w:ind w:firstLine="640"/>
        <w:rPr>
          <w:rFonts w:ascii="仿宋_GB2312" w:hAnsi="宋体" w:eastAsia="仿宋_GB2312"/>
          <w:sz w:val="32"/>
          <w:szCs w:val="32"/>
        </w:rPr>
      </w:pPr>
      <w:r>
        <w:rPr>
          <w:rFonts w:hint="eastAsia" w:ascii="仿宋_GB2312" w:hAnsi="宋体" w:eastAsia="仿宋_GB2312"/>
          <w:sz w:val="32"/>
          <w:szCs w:val="32"/>
        </w:rPr>
        <w:t>2.完成的绩效目标</w:t>
      </w:r>
    </w:p>
    <w:p>
      <w:pPr>
        <w:pStyle w:val="4"/>
        <w:spacing w:beforeLines="0" w:after="156" w:line="560" w:lineRule="exact"/>
        <w:ind w:firstLine="640"/>
        <w:rPr>
          <w:rFonts w:hint="eastAsia" w:ascii="仿宋_GB2312" w:hAnsi="宋体" w:eastAsia="仿宋_GB2312"/>
          <w:sz w:val="32"/>
          <w:szCs w:val="32"/>
          <w:lang w:eastAsia="zh-CN"/>
        </w:rPr>
      </w:pPr>
      <w:r>
        <w:rPr>
          <w:rFonts w:hint="eastAsia" w:ascii="仿宋_GB2312" w:hAnsi="宋体" w:eastAsia="仿宋_GB2312"/>
          <w:sz w:val="32"/>
          <w:szCs w:val="32"/>
          <w:lang w:eastAsia="zh-CN"/>
        </w:rPr>
        <w:t>2022年度共设置18个绩效指标，完成1</w:t>
      </w:r>
      <w:r>
        <w:rPr>
          <w:rFonts w:hint="eastAsia" w:ascii="仿宋_GB2312" w:hAnsi="宋体" w:eastAsia="仿宋_GB2312"/>
          <w:sz w:val="32"/>
          <w:szCs w:val="32"/>
          <w:lang w:val="en-US" w:eastAsia="zh-CN"/>
        </w:rPr>
        <w:t>7</w:t>
      </w:r>
      <w:r>
        <w:rPr>
          <w:rFonts w:hint="eastAsia" w:ascii="仿宋_GB2312" w:hAnsi="宋体" w:eastAsia="仿宋_GB2312"/>
          <w:sz w:val="32"/>
          <w:szCs w:val="32"/>
          <w:lang w:eastAsia="zh-CN"/>
        </w:rPr>
        <w:t>个，完成的绩效指标为：奖补资金发放率100%；奖补资金发放及时率100%；建设单位满意度</w:t>
      </w:r>
      <w:r>
        <w:rPr>
          <w:rFonts w:hint="eastAsia" w:ascii="仿宋_GB2312" w:hAnsi="宋体" w:eastAsia="仿宋_GB2312"/>
          <w:sz w:val="32"/>
          <w:szCs w:val="32"/>
          <w:lang w:val="en-US" w:eastAsia="zh-CN"/>
        </w:rPr>
        <w:t>100%</w:t>
      </w:r>
      <w:r>
        <w:rPr>
          <w:rFonts w:hint="eastAsia" w:ascii="仿宋_GB2312" w:hAnsi="宋体" w:eastAsia="仿宋_GB2312"/>
          <w:sz w:val="32"/>
          <w:szCs w:val="32"/>
          <w:lang w:eastAsia="zh-CN"/>
        </w:rPr>
        <w:t>。</w:t>
      </w:r>
    </w:p>
    <w:p>
      <w:pPr>
        <w:pStyle w:val="4"/>
        <w:spacing w:beforeLines="0" w:after="156" w:line="560" w:lineRule="exact"/>
        <w:ind w:firstLine="640"/>
        <w:rPr>
          <w:rFonts w:hint="eastAsia" w:ascii="仿宋_GB2312" w:hAnsi="宋体" w:eastAsia="仿宋_GB2312"/>
          <w:sz w:val="32"/>
          <w:szCs w:val="32"/>
          <w:lang w:val="en-US" w:eastAsia="zh-CN"/>
        </w:rPr>
      </w:pPr>
      <w:r>
        <w:rPr>
          <w:rFonts w:hint="eastAsia" w:ascii="仿宋_GB2312" w:hAnsi="宋体" w:eastAsia="仿宋_GB2312"/>
          <w:sz w:val="32"/>
          <w:szCs w:val="32"/>
          <w:lang w:eastAsia="zh-CN"/>
        </w:rPr>
        <w:t>购买仪器设备</w:t>
      </w:r>
      <w:r>
        <w:rPr>
          <w:rFonts w:hint="eastAsia" w:ascii="仿宋_GB2312" w:hAnsi="宋体" w:eastAsia="仿宋_GB2312"/>
          <w:sz w:val="32"/>
          <w:szCs w:val="32"/>
          <w:lang w:val="en-US" w:eastAsia="zh-CN"/>
        </w:rPr>
        <w:t>1批；实验室正常运行率100%；保障业务工作高效运行；检测对象满意度100%。</w:t>
      </w:r>
    </w:p>
    <w:p>
      <w:pPr>
        <w:pStyle w:val="4"/>
        <w:spacing w:beforeLines="0" w:after="156" w:line="560" w:lineRule="exact"/>
        <w:ind w:firstLine="640"/>
        <w:rPr>
          <w:rFonts w:hint="default" w:ascii="仿宋_GB2312" w:hAnsi="宋体" w:eastAsia="仿宋_GB2312"/>
          <w:sz w:val="32"/>
          <w:szCs w:val="32"/>
          <w:lang w:val="en-US" w:eastAsia="zh-CN"/>
        </w:rPr>
      </w:pPr>
      <w:r>
        <w:rPr>
          <w:rFonts w:hint="default" w:ascii="仿宋_GB2312" w:hAnsi="宋体" w:eastAsia="仿宋_GB2312"/>
          <w:sz w:val="32"/>
          <w:szCs w:val="32"/>
          <w:lang w:val="en-US" w:eastAsia="zh-CN"/>
        </w:rPr>
        <w:t>种植类农产品抽检量数量5213批次</w:t>
      </w:r>
      <w:r>
        <w:rPr>
          <w:rFonts w:hint="eastAsia" w:ascii="仿宋_GB2312" w:hAnsi="宋体" w:eastAsia="仿宋_GB2312"/>
          <w:sz w:val="32"/>
          <w:szCs w:val="32"/>
          <w:lang w:val="en-US" w:eastAsia="zh-CN"/>
        </w:rPr>
        <w:t>；瘦肉精抽检比例达4.85%；计量检定件数6213件；实验室正常运行率100%；检测结果投诉率为0；仪器设备故障响应时间≤1天；</w:t>
      </w:r>
      <w:r>
        <w:rPr>
          <w:rFonts w:hint="default" w:ascii="仿宋_GB2312" w:hAnsi="宋体" w:eastAsia="仿宋_GB2312"/>
          <w:sz w:val="32"/>
          <w:szCs w:val="32"/>
          <w:lang w:val="en-US" w:eastAsia="zh-CN"/>
        </w:rPr>
        <w:t>检测报告出具时间≤10个工作日</w:t>
      </w:r>
      <w:r>
        <w:rPr>
          <w:rFonts w:hint="eastAsia" w:ascii="仿宋_GB2312" w:hAnsi="宋体" w:eastAsia="仿宋_GB2312"/>
          <w:sz w:val="32"/>
          <w:szCs w:val="32"/>
          <w:lang w:val="en-US" w:eastAsia="zh-CN"/>
        </w:rPr>
        <w:t>；服务企业批次502家；保障业务工作高效运行；检测对象满意度100%。</w:t>
      </w:r>
    </w:p>
    <w:p>
      <w:pPr>
        <w:pStyle w:val="4"/>
        <w:tabs>
          <w:tab w:val="left" w:pos="7113"/>
        </w:tabs>
        <w:spacing w:beforeLines="0" w:after="156" w:line="560" w:lineRule="exact"/>
        <w:ind w:firstLine="640"/>
        <w:rPr>
          <w:rFonts w:hint="eastAsia" w:ascii="仿宋_GB2312" w:hAnsi="宋体" w:eastAsia="仿宋_GB2312"/>
          <w:sz w:val="32"/>
          <w:szCs w:val="32"/>
          <w:lang w:eastAsia="zh-CN"/>
        </w:rPr>
      </w:pPr>
      <w:r>
        <w:rPr>
          <w:rFonts w:hint="eastAsia" w:ascii="仿宋_GB2312" w:hAnsi="宋体" w:eastAsia="仿宋_GB2312"/>
          <w:sz w:val="32"/>
          <w:szCs w:val="32"/>
        </w:rPr>
        <w:t>3.未完成的绩效目标</w:t>
      </w:r>
      <w:r>
        <w:rPr>
          <w:rFonts w:hint="eastAsia" w:ascii="仿宋_GB2312" w:hAnsi="宋体" w:eastAsia="仿宋_GB2312"/>
          <w:sz w:val="32"/>
          <w:szCs w:val="32"/>
          <w:lang w:eastAsia="zh-CN"/>
        </w:rPr>
        <w:tab/>
      </w:r>
    </w:p>
    <w:p>
      <w:pPr>
        <w:spacing w:line="560" w:lineRule="exact"/>
        <w:ind w:firstLine="640" w:firstLineChars="200"/>
        <w:rPr>
          <w:rFonts w:hint="default" w:ascii="仿宋_GB2312" w:hAnsi="宋体" w:eastAsia="仿宋_GB2312"/>
          <w:sz w:val="32"/>
          <w:szCs w:val="32"/>
          <w:lang w:val="en-US" w:eastAsia="zh-CN"/>
        </w:rPr>
      </w:pPr>
      <w:r>
        <w:rPr>
          <w:rFonts w:hint="eastAsia" w:ascii="仿宋_GB2312" w:hAnsi="宋体" w:eastAsia="仿宋_GB2312"/>
          <w:sz w:val="32"/>
          <w:szCs w:val="32"/>
          <w:lang w:eastAsia="zh-CN"/>
        </w:rPr>
        <w:t>2022</w:t>
      </w:r>
      <w:r>
        <w:rPr>
          <w:rFonts w:hint="eastAsia" w:ascii="仿宋_GB2312" w:hAnsi="宋体" w:eastAsia="仿宋_GB2312"/>
          <w:sz w:val="32"/>
          <w:szCs w:val="32"/>
        </w:rPr>
        <w:t>年度共设置</w:t>
      </w:r>
      <w:r>
        <w:rPr>
          <w:rFonts w:hint="eastAsia" w:ascii="仿宋_GB2312" w:hAnsi="宋体" w:eastAsia="仿宋_GB2312"/>
          <w:sz w:val="32"/>
          <w:szCs w:val="32"/>
          <w:lang w:val="en-US" w:eastAsia="zh-CN"/>
        </w:rPr>
        <w:t>18</w:t>
      </w:r>
      <w:r>
        <w:rPr>
          <w:rFonts w:hint="eastAsia" w:ascii="仿宋_GB2312" w:hAnsi="宋体" w:eastAsia="仿宋_GB2312"/>
          <w:sz w:val="32"/>
          <w:szCs w:val="32"/>
        </w:rPr>
        <w:t>个绩效指标，有</w:t>
      </w:r>
      <w:r>
        <w:rPr>
          <w:rFonts w:hint="eastAsia" w:ascii="仿宋_GB2312" w:hAnsi="宋体" w:eastAsia="仿宋_GB2312"/>
          <w:sz w:val="32"/>
          <w:szCs w:val="32"/>
          <w:lang w:val="en-US" w:eastAsia="zh-CN"/>
        </w:rPr>
        <w:t>1</w:t>
      </w:r>
      <w:r>
        <w:rPr>
          <w:rFonts w:hint="eastAsia" w:ascii="仿宋_GB2312" w:hAnsi="宋体" w:eastAsia="仿宋_GB2312"/>
          <w:sz w:val="32"/>
          <w:szCs w:val="32"/>
        </w:rPr>
        <w:t>个指标未完成，未</w:t>
      </w:r>
      <w:r>
        <w:rPr>
          <w:rFonts w:hint="eastAsia" w:ascii="仿宋_GB2312" w:hAnsi="仿宋" w:eastAsia="仿宋_GB2312"/>
          <w:sz w:val="32"/>
          <w:szCs w:val="32"/>
        </w:rPr>
        <w:t>完成的绩效指标为</w:t>
      </w:r>
      <w:r>
        <w:rPr>
          <w:rFonts w:hint="eastAsia" w:ascii="仿宋_GB2312" w:hAnsi="宋体" w:eastAsia="仿宋_GB2312"/>
          <w:sz w:val="32"/>
          <w:szCs w:val="32"/>
          <w:lang w:val="en-US" w:eastAsia="zh-CN"/>
        </w:rPr>
        <w:t>实验室管理软件系统，年初目标值为60万元，实际采购支出29万元。</w:t>
      </w:r>
    </w:p>
    <w:p>
      <w:pPr>
        <w:pStyle w:val="4"/>
        <w:spacing w:beforeLines="0" w:after="156" w:line="560" w:lineRule="exact"/>
        <w:ind w:firstLine="643"/>
        <w:rPr>
          <w:rFonts w:hint="eastAsia" w:ascii="仿宋_GB2312" w:eastAsia="仿宋_GB2312"/>
          <w:b/>
          <w:bCs/>
          <w:sz w:val="32"/>
          <w:szCs w:val="32"/>
        </w:rPr>
      </w:pPr>
      <w:r>
        <w:rPr>
          <w:rFonts w:hint="eastAsia" w:ascii="仿宋_GB2312" w:eastAsia="仿宋_GB2312"/>
          <w:b/>
          <w:bCs/>
          <w:sz w:val="32"/>
          <w:szCs w:val="32"/>
        </w:rPr>
        <w:t>（三）存在的问题和原因</w:t>
      </w:r>
    </w:p>
    <w:p>
      <w:pPr>
        <w:numPr>
          <w:ilvl w:val="0"/>
          <w:numId w:val="0"/>
        </w:numPr>
        <w:spacing w:line="560" w:lineRule="exact"/>
        <w:ind w:firstLine="640" w:firstLineChars="200"/>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1.预算执行率有待提高</w:t>
      </w:r>
    </w:p>
    <w:p>
      <w:pPr>
        <w:numPr>
          <w:ilvl w:val="0"/>
          <w:numId w:val="0"/>
        </w:numPr>
        <w:spacing w:line="560" w:lineRule="exact"/>
        <w:ind w:firstLine="640" w:firstLineChars="200"/>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预算执行偏差率达7.27%，主要原因为履职所需辅助性事务项目，项目资金收入546万元，实际支出447.58万元。因疫情原因，中心办公和实验室用房维修改造项目未完成决算审计，维修改造项目剩余15%工程款51.75万元以及大楼加固</w:t>
      </w:r>
      <w:r>
        <w:rPr>
          <w:rFonts w:hint="eastAsia" w:ascii="仿宋_GB2312" w:hAnsi="宋体" w:eastAsia="仿宋_GB2312"/>
          <w:sz w:val="32"/>
          <w:szCs w:val="32"/>
          <w:highlight w:val="none"/>
          <w:lang w:val="en-US" w:eastAsia="zh-CN"/>
        </w:rPr>
        <w:t>4.16万元，监理2.72万元，跟审3.84万元，环评2.21万元未支付完毕，食堂厨房设备、家具及厨杂用具项目未完成验收安装调试未支付剩余50%尾款7.92万</w:t>
      </w:r>
      <w:r>
        <w:rPr>
          <w:rFonts w:hint="eastAsia" w:ascii="仿宋_GB2312" w:hAnsi="宋体" w:eastAsia="仿宋_GB2312"/>
          <w:sz w:val="32"/>
          <w:szCs w:val="32"/>
          <w:lang w:val="en-US" w:eastAsia="zh-CN"/>
        </w:rPr>
        <w:t>元，档案整理尾款及档案建设款约2.2万未支付，剩余为维修改造项目采购节约资金；项目资金实验室运行费项目，项目资金收入423万元，实际支出385.77万元。因检验检测试剂政府采购结余资金和疫情原因采购实验室工作台项目未进入资金支付阶段。</w:t>
      </w:r>
    </w:p>
    <w:p>
      <w:pPr>
        <w:numPr>
          <w:ilvl w:val="0"/>
          <w:numId w:val="0"/>
        </w:numPr>
        <w:spacing w:line="560" w:lineRule="exact"/>
        <w:ind w:firstLine="640" w:firstLineChars="200"/>
        <w:rPr>
          <w:rFonts w:hint="eastAsia" w:ascii="仿宋_GB2312" w:hAnsi="宋体" w:eastAsia="仿宋_GB2312"/>
          <w:sz w:val="32"/>
          <w:szCs w:val="32"/>
          <w:lang w:val="en-US" w:eastAsia="zh-CN"/>
        </w:rPr>
      </w:pPr>
    </w:p>
    <w:p>
      <w:pPr>
        <w:numPr>
          <w:ilvl w:val="0"/>
          <w:numId w:val="0"/>
        </w:numPr>
        <w:spacing w:line="560" w:lineRule="exact"/>
        <w:ind w:firstLine="640" w:firstLineChars="200"/>
        <w:rPr>
          <w:rFonts w:hint="default" w:ascii="仿宋_GB2312" w:hAnsi="宋体" w:eastAsia="仿宋_GB2312"/>
          <w:sz w:val="32"/>
          <w:szCs w:val="32"/>
          <w:lang w:val="en-US" w:eastAsia="zh-CN"/>
        </w:rPr>
      </w:pPr>
      <w:r>
        <w:rPr>
          <w:rFonts w:hint="eastAsia" w:ascii="仿宋_GB2312" w:hAnsi="宋体" w:eastAsia="仿宋_GB2312"/>
          <w:sz w:val="32"/>
          <w:szCs w:val="32"/>
          <w:lang w:val="en-US" w:eastAsia="zh-CN"/>
        </w:rPr>
        <w:t>2.指标设置不合理</w:t>
      </w:r>
    </w:p>
    <w:p>
      <w:pPr>
        <w:numPr>
          <w:ilvl w:val="0"/>
          <w:numId w:val="0"/>
        </w:numPr>
        <w:spacing w:line="560" w:lineRule="exact"/>
        <w:ind w:firstLine="640" w:firstLineChars="200"/>
        <w:rPr>
          <w:rFonts w:hint="default" w:ascii="仿宋_GB2312" w:hAnsi="宋体" w:eastAsia="仿宋_GB2312"/>
          <w:sz w:val="32"/>
          <w:szCs w:val="32"/>
          <w:highlight w:val="none"/>
          <w:lang w:val="en-US" w:eastAsia="zh-CN"/>
        </w:rPr>
      </w:pPr>
      <w:r>
        <w:rPr>
          <w:rFonts w:hint="eastAsia" w:ascii="仿宋_GB2312" w:hAnsi="宋体" w:eastAsia="仿宋_GB2312"/>
          <w:sz w:val="32"/>
          <w:szCs w:val="32"/>
          <w:lang w:val="en-US" w:eastAsia="zh-CN"/>
        </w:rPr>
        <w:t>该项目存在</w:t>
      </w:r>
      <w:r>
        <w:rPr>
          <w:rFonts w:hint="eastAsia" w:ascii="仿宋_GB2312" w:hAnsi="宋体" w:eastAsia="仿宋_GB2312"/>
          <w:sz w:val="32"/>
          <w:szCs w:val="32"/>
          <w:highlight w:val="none"/>
          <w:lang w:val="en-US" w:eastAsia="zh-CN"/>
        </w:rPr>
        <w:t>重复设置指标的情况，主要表现年度绩效目标2和年度绩效目标3均设置实验室正常运行率、保障业务工作高效运行和检测对象满意度指标；该项目存在缺乏关键性指标的情况，主要表现在年度绩效目标1建设标准化正规化基层检测站点和2综合实验室取得CMA资质认证，未设置对应关键性指标要求。</w:t>
      </w:r>
    </w:p>
    <w:p>
      <w:pPr>
        <w:pStyle w:val="4"/>
        <w:spacing w:beforeLines="0" w:after="156" w:line="560" w:lineRule="exact"/>
        <w:ind w:firstLine="643"/>
        <w:rPr>
          <w:rFonts w:hint="eastAsia" w:ascii="仿宋_GB2312" w:hAnsi="宋体" w:eastAsia="仿宋_GB2312"/>
          <w:b/>
          <w:bCs/>
          <w:sz w:val="32"/>
          <w:szCs w:val="32"/>
        </w:rPr>
      </w:pPr>
      <w:r>
        <w:rPr>
          <w:rFonts w:hint="eastAsia" w:ascii="仿宋_GB2312" w:hAnsi="宋体" w:eastAsia="仿宋_GB2312"/>
          <w:b/>
          <w:bCs/>
          <w:sz w:val="32"/>
          <w:szCs w:val="32"/>
        </w:rPr>
        <w:t>（四）下一步拟改进措施</w:t>
      </w:r>
    </w:p>
    <w:p>
      <w:pPr>
        <w:pStyle w:val="4"/>
        <w:spacing w:beforeLines="0" w:after="156" w:line="560" w:lineRule="exact"/>
        <w:ind w:firstLine="640"/>
        <w:rPr>
          <w:rFonts w:hint="eastAsia" w:ascii="仿宋_GB2312" w:eastAsia="仿宋_GB2312"/>
          <w:sz w:val="32"/>
          <w:szCs w:val="32"/>
        </w:rPr>
      </w:pPr>
      <w:r>
        <w:rPr>
          <w:rFonts w:hint="eastAsia" w:ascii="仿宋_GB2312" w:eastAsia="仿宋_GB2312"/>
          <w:sz w:val="32"/>
          <w:szCs w:val="32"/>
        </w:rPr>
        <w:t>1.</w:t>
      </w:r>
      <w:r>
        <w:rPr>
          <w:rFonts w:hint="eastAsia" w:ascii="仿宋_GB2312" w:hAnsi="宋体" w:eastAsia="仿宋_GB2312"/>
          <w:sz w:val="32"/>
          <w:szCs w:val="32"/>
        </w:rPr>
        <w:t>下一步拟改进措施</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val="en-US" w:eastAsia="zh-CN"/>
        </w:rPr>
        <w:t>1</w:t>
      </w:r>
      <w:r>
        <w:rPr>
          <w:rFonts w:hint="eastAsia" w:ascii="仿宋_GB2312" w:eastAsia="仿宋_GB2312"/>
          <w:sz w:val="32"/>
          <w:szCs w:val="32"/>
        </w:rPr>
        <w:t>）加强资金预算管理，科学制定资金使用计划，并合理使用项目资金，充分发挥财政资金效益。</w:t>
      </w:r>
    </w:p>
    <w:p>
      <w:pPr>
        <w:spacing w:line="560" w:lineRule="exact"/>
        <w:ind w:firstLine="640" w:firstLineChars="200"/>
        <w:rPr>
          <w:rFonts w:hint="default" w:ascii="仿宋_GB2312" w:eastAsia="仿宋_GB2312"/>
          <w:sz w:val="32"/>
          <w:szCs w:val="32"/>
          <w:lang w:val="en-US" w:eastAsia="zh-CN"/>
        </w:rPr>
      </w:pPr>
      <w:r>
        <w:rPr>
          <w:rFonts w:hint="eastAsia" w:ascii="仿宋_GB2312" w:eastAsia="仿宋_GB2312"/>
          <w:sz w:val="32"/>
          <w:szCs w:val="32"/>
          <w:lang w:eastAsia="zh-CN"/>
        </w:rPr>
        <w:t>（</w:t>
      </w:r>
      <w:r>
        <w:rPr>
          <w:rFonts w:hint="eastAsia" w:ascii="仿宋_GB2312" w:eastAsia="仿宋_GB2312"/>
          <w:sz w:val="32"/>
          <w:szCs w:val="32"/>
          <w:lang w:val="en-US" w:eastAsia="zh-CN"/>
        </w:rPr>
        <w:t>2</w:t>
      </w:r>
      <w:r>
        <w:rPr>
          <w:rFonts w:hint="eastAsia" w:ascii="仿宋_GB2312" w:eastAsia="仿宋_GB2312"/>
          <w:sz w:val="32"/>
          <w:szCs w:val="32"/>
          <w:lang w:eastAsia="zh-CN"/>
        </w:rPr>
        <w:t>）</w:t>
      </w:r>
      <w:r>
        <w:rPr>
          <w:rFonts w:hint="eastAsia" w:ascii="仿宋_GB2312" w:eastAsia="仿宋_GB2312"/>
          <w:sz w:val="32"/>
          <w:szCs w:val="32"/>
          <w:lang w:val="en-US" w:eastAsia="zh-CN"/>
        </w:rPr>
        <w:t>建立健全绩效指标体系，加强指标规范性设置，突出关键性指标，确认绩效指标的设置与部门职能、项目内容相关，且能系统反映项目实施达到的产出和效果。</w:t>
      </w:r>
    </w:p>
    <w:p>
      <w:pPr>
        <w:ind w:firstLine="640" w:firstLineChars="200"/>
        <w:rPr>
          <w:rFonts w:hint="eastAsia" w:ascii="仿宋_GB2312" w:eastAsia="仿宋_GB2312"/>
          <w:sz w:val="32"/>
          <w:szCs w:val="32"/>
        </w:rPr>
      </w:pPr>
      <w:r>
        <w:rPr>
          <w:rFonts w:hint="eastAsia" w:ascii="仿宋_GB2312" w:eastAsia="仿宋_GB2312"/>
          <w:sz w:val="32"/>
          <w:szCs w:val="32"/>
        </w:rPr>
        <w:t>2.拟与预算安排相结合情况</w:t>
      </w:r>
    </w:p>
    <w:p>
      <w:pPr>
        <w:pStyle w:val="5"/>
        <w:spacing w:line="560" w:lineRule="exact"/>
        <w:ind w:firstLine="640" w:firstLineChars="200"/>
        <w:jc w:val="both"/>
        <w:outlineLvl w:val="0"/>
        <w:rPr>
          <w:rFonts w:hint="eastAsia" w:ascii="仿宋_GB2312" w:hAnsi="宋体" w:eastAsia="仿宋_GB2312"/>
          <w:sz w:val="32"/>
          <w:szCs w:val="32"/>
        </w:rPr>
      </w:pPr>
      <w:r>
        <w:rPr>
          <w:rFonts w:hint="eastAsia" w:ascii="仿宋_GB2312" w:hAnsi="宋体" w:eastAsia="仿宋_GB2312"/>
          <w:sz w:val="32"/>
          <w:szCs w:val="32"/>
        </w:rPr>
        <w:t>（1）对部门预算项目支出实行预算执行与绩效目标的“双监控”，确保预算执行进度和绩效目标落实情况始终处于受控状态中。加强各管理部门间的沟通协调，根据项目工作进度及时安排资金计划，及时核销项目各项支出，确保预算执行率达到与项目进度同步。对监控中发现的绩效目标偏离情况予以调整和纠正。</w:t>
      </w:r>
    </w:p>
    <w:p>
      <w:pPr>
        <w:pStyle w:val="5"/>
        <w:spacing w:line="560" w:lineRule="exact"/>
        <w:ind w:firstLine="640" w:firstLineChars="200"/>
        <w:jc w:val="both"/>
        <w:outlineLvl w:val="0"/>
        <w:rPr>
          <w:rFonts w:hint="eastAsia" w:ascii="仿宋_GB2312" w:eastAsia="仿宋_GB2312"/>
          <w:sz w:val="32"/>
          <w:szCs w:val="32"/>
        </w:rPr>
      </w:pPr>
      <w:r>
        <w:rPr>
          <w:rFonts w:hint="eastAsia" w:ascii="仿宋_GB2312" w:hAnsi="宋体" w:eastAsia="仿宋_GB2312"/>
          <w:sz w:val="32"/>
          <w:szCs w:val="32"/>
        </w:rPr>
        <w:t>（2）针对预算绩效评价工作中发现的问题，积极采取措施改进，并纳入下年度对部门工作目标责任制考核范畴，对无效或低效的项目责任人进行追责；增强财政资金使用的透明度，接受社会公众监督。</w:t>
      </w:r>
    </w:p>
    <w:p>
      <w:pPr>
        <w:ind w:firstLine="640" w:firstLineChars="200"/>
        <w:rPr>
          <w:rFonts w:hint="eastAsia" w:ascii="仿宋_GB2312" w:eastAsia="仿宋_GB2312"/>
          <w:sz w:val="32"/>
          <w:szCs w:val="32"/>
        </w:rPr>
      </w:pPr>
      <w:r>
        <w:rPr>
          <w:rFonts w:hint="eastAsia" w:ascii="仿宋_GB2312" w:eastAsia="仿宋_GB2312"/>
          <w:sz w:val="32"/>
          <w:szCs w:val="32"/>
        </w:rPr>
        <w:t>附件：</w:t>
      </w:r>
      <w:r>
        <w:rPr>
          <w:rFonts w:hint="eastAsia" w:ascii="仿宋_GB2312" w:hAnsi="宋体" w:eastAsia="仿宋_GB2312"/>
          <w:kern w:val="0"/>
          <w:sz w:val="32"/>
          <w:szCs w:val="32"/>
          <w:lang w:eastAsia="zh-CN"/>
        </w:rPr>
        <w:t>2022</w:t>
      </w:r>
      <w:r>
        <w:rPr>
          <w:rFonts w:hint="eastAsia" w:ascii="仿宋_GB2312" w:hAnsi="宋体" w:eastAsia="仿宋_GB2312"/>
          <w:kern w:val="0"/>
          <w:sz w:val="32"/>
          <w:szCs w:val="32"/>
        </w:rPr>
        <w:t>年度区公检中心部门整体绩效自评表</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公文小标宋简">
    <w:altName w:val="宋体"/>
    <w:panose1 w:val="0201060901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5ZWRhMDFjNTAxMjZmNWUwNTlhYzBiMTAwNTlhODIifQ=="/>
  </w:docVars>
  <w:rsids>
    <w:rsidRoot w:val="19D20F8A"/>
    <w:rsid w:val="19D20F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样式1"/>
    <w:basedOn w:val="1"/>
    <w:qFormat/>
    <w:uiPriority w:val="0"/>
    <w:pPr>
      <w:spacing w:beforeLines="50" w:afterLines="50" w:line="480" w:lineRule="exact"/>
      <w:ind w:firstLine="560" w:firstLineChars="200"/>
      <w:outlineLvl w:val="0"/>
    </w:pPr>
    <w:rPr>
      <w:rFonts w:ascii="黑体" w:hAnsi="黑体" w:eastAsia="黑体" w:cs="Times New Roman"/>
      <w:sz w:val="28"/>
      <w:szCs w:val="28"/>
    </w:rPr>
  </w:style>
  <w:style w:type="paragraph" w:styleId="5">
    <w:name w:val="No Spacing"/>
    <w:qFormat/>
    <w:uiPriority w:val="1"/>
    <w:pPr>
      <w:adjustRightInd w:val="0"/>
      <w:snapToGrid w:val="0"/>
    </w:pPr>
    <w:rPr>
      <w:rFonts w:ascii="Tahoma" w:hAnsi="Tahoma" w:eastAsia="微软雅黑" w:cs="Times New Roman"/>
      <w:sz w:val="22"/>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2023-11-21T09:55:00Z</dcterms:created>
  <dc:creator>lenovo</dc:creator>
  <cp:lastModifiedBy>lenovo</cp:lastModifiedBy>
  <dcterms:modified xsi:type="dcterms:W3CDTF">2023-11-21T09:58:02Z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E052CE6B63C343BB9B26ABE840BDB80E_11</vt:lpwstr>
  </property>
</Properties>
</file>