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农检运行费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区公共检验检测中心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bookmarkStart w:id="0" w:name="_GoBack"/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2021.3.25</w:t>
      </w:r>
      <w:bookmarkEnd w:id="0"/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农检运行</w:t>
            </w:r>
            <w:r>
              <w:rPr>
                <w:rFonts w:hint="eastAsia" w:ascii="宋体" w:hAnsi="宋体" w:eastAsia="宋体" w:cs="仿宋_GB2312"/>
                <w:kern w:val="0"/>
              </w:rPr>
              <w:t>费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区公共检验检测中心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检验检测一科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2250000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2171967.77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96.53%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19.31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 w:val="21"/>
                <w:szCs w:val="21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数量指标</w:t>
            </w:r>
          </w:p>
        </w:tc>
        <w:tc>
          <w:tcPr>
            <w:tcW w:w="2135" w:type="dxa"/>
            <w:gridSpan w:val="3"/>
            <w:noWrap w:val="0"/>
            <w:vAlign w:val="top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经费保障人员数量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466" w:type="dxa"/>
            <w:noWrap w:val="0"/>
            <w:vAlign w:val="top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11人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11人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质量指标</w:t>
            </w:r>
          </w:p>
        </w:tc>
        <w:tc>
          <w:tcPr>
            <w:tcW w:w="2135" w:type="dxa"/>
            <w:gridSpan w:val="3"/>
            <w:noWrap w:val="0"/>
            <w:vAlign w:val="top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科室绩效目标完成率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466" w:type="dxa"/>
            <w:noWrap w:val="0"/>
            <w:vAlign w:val="top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质量指标</w:t>
            </w:r>
          </w:p>
        </w:tc>
        <w:tc>
          <w:tcPr>
            <w:tcW w:w="2135" w:type="dxa"/>
            <w:gridSpan w:val="3"/>
            <w:noWrap w:val="0"/>
            <w:vAlign w:val="top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主要仪器维修率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466" w:type="dxa"/>
            <w:noWrap w:val="0"/>
            <w:vAlign w:val="top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≤10%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2.5%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质量指标</w:t>
            </w:r>
          </w:p>
        </w:tc>
        <w:tc>
          <w:tcPr>
            <w:tcW w:w="2135" w:type="dxa"/>
            <w:gridSpan w:val="3"/>
            <w:noWrap w:val="0"/>
            <w:vAlign w:val="top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检测车辆维修天数（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466" w:type="dxa"/>
            <w:noWrap w:val="0"/>
            <w:vAlign w:val="top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≤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10天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4天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 w:val="21"/>
                <w:szCs w:val="21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社会效益指标</w:t>
            </w:r>
          </w:p>
        </w:tc>
        <w:tc>
          <w:tcPr>
            <w:tcW w:w="2135" w:type="dxa"/>
            <w:gridSpan w:val="3"/>
            <w:noWrap w:val="0"/>
            <w:vAlign w:val="top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政务公开社会影响力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有所提升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经济效益指标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  <w:t>实验室房屋租金使用率（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经济效益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指标</w:t>
            </w:r>
          </w:p>
        </w:tc>
        <w:tc>
          <w:tcPr>
            <w:tcW w:w="2135" w:type="dxa"/>
            <w:gridSpan w:val="3"/>
            <w:noWrap w:val="0"/>
            <w:vAlign w:val="top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办公经费利用率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466" w:type="dxa"/>
            <w:noWrap w:val="0"/>
            <w:vAlign w:val="top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≥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96.53%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服务对象满意度指标</w:t>
            </w:r>
          </w:p>
        </w:tc>
        <w:tc>
          <w:tcPr>
            <w:tcW w:w="2135" w:type="dxa"/>
            <w:gridSpan w:val="3"/>
            <w:noWrap w:val="0"/>
            <w:vAlign w:val="top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科室总体满意率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20分）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≥95%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lang w:val="en-US" w:eastAsia="zh-CN"/>
              </w:rPr>
              <w:t>99.31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年度预算未完成主要因为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2020受疫情影响，实验室实际用电量较原计划偏低，电费预算未用完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在今后的日常工作中，我科将进一步加大对个各个检测环节统筹调控能力，增强风险预判和管控能力，更加合理的设定预算，避免大额资金结余。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27800"/>
    <w:rsid w:val="10972120"/>
    <w:rsid w:val="1EC27800"/>
    <w:rsid w:val="278C7432"/>
    <w:rsid w:val="305D6997"/>
    <w:rsid w:val="3A012270"/>
    <w:rsid w:val="679154E8"/>
    <w:rsid w:val="6C84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2"/>
    <w:basedOn w:val="5"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5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2021-02-24T01:17:00Z</dcterms:created>
  <dc:creator>lenovo</dc:creator>
  <cp:lastModifiedBy>lenovo</cp:lastModifiedBy>
  <cp:lastPrinted>2021-04-19T01:12:25Z</cp:lastPrinted>
  <dcterms:modified xsi:type="dcterms:W3CDTF">2021-04-19T01:12:29Z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