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年度农产品质量安全检测费项目自评表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val="en-US" w:eastAsia="zh-CN"/>
        </w:rPr>
        <w:t xml:space="preserve"> 区公共检验检测中心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2021.3.25</w:t>
      </w:r>
      <w:r>
        <w:rPr>
          <w:rFonts w:hint="eastAsia" w:ascii="宋体" w:hAnsi="宋体" w:eastAsia="宋体" w:cs="宋体"/>
          <w:color w:val="000000"/>
          <w:kern w:val="0"/>
          <w:sz w:val="24"/>
          <w:szCs w:val="24"/>
        </w:rPr>
        <w:t> </w:t>
      </w:r>
    </w:p>
    <w:tbl>
      <w:tblPr>
        <w:tblStyle w:val="2"/>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76"/>
        <w:gridCol w:w="1247"/>
        <w:gridCol w:w="818"/>
        <w:gridCol w:w="923"/>
        <w:gridCol w:w="394"/>
        <w:gridCol w:w="1466"/>
        <w:gridCol w:w="660"/>
        <w:gridCol w:w="65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44" w:type="dxa"/>
            <w:gridSpan w:val="8"/>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农产品质量安全检测费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2988" w:type="dxa"/>
            <w:gridSpan w:val="3"/>
            <w:noWrap w:val="0"/>
            <w:vAlign w:val="center"/>
          </w:tcPr>
          <w:p>
            <w:pPr>
              <w:widowControl/>
              <w:snapToGrid w:val="0"/>
              <w:jc w:val="left"/>
              <w:rPr>
                <w:rFonts w:ascii="宋体" w:hAnsi="宋体" w:eastAsia="宋体" w:cs="Times New Roman"/>
                <w:kern w:val="0"/>
              </w:rPr>
            </w:pPr>
            <w:r>
              <w:rPr>
                <w:rFonts w:hint="eastAsia" w:ascii="宋体" w:hAnsi="宋体" w:eastAsia="宋体" w:cs="Times New Roman"/>
                <w:kern w:val="0"/>
              </w:rPr>
              <w:t>区公共检验检测中心</w:t>
            </w:r>
          </w:p>
        </w:tc>
        <w:tc>
          <w:tcPr>
            <w:tcW w:w="2520"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1536" w:type="dxa"/>
            <w:gridSpan w:val="2"/>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检验检测一科</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44" w:type="dxa"/>
            <w:gridSpan w:val="8"/>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44" w:type="dxa"/>
            <w:gridSpan w:val="8"/>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4"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44" w:type="dxa"/>
            <w:gridSpan w:val="8"/>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sym w:font="Wingdings 2" w:char="0052"/>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904"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7" w:type="dxa"/>
            <w:noWrap w:val="0"/>
            <w:vAlign w:val="center"/>
          </w:tcPr>
          <w:p>
            <w:pPr>
              <w:widowControl/>
              <w:snapToGrid w:val="0"/>
              <w:jc w:val="center"/>
              <w:rPr>
                <w:rFonts w:ascii="宋体" w:hAnsi="宋体" w:eastAsia="宋体" w:cs="Times New Roman"/>
                <w:kern w:val="0"/>
              </w:rPr>
            </w:pPr>
          </w:p>
        </w:tc>
        <w:tc>
          <w:tcPr>
            <w:tcW w:w="81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317"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1466"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2196"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904" w:type="dxa"/>
            <w:gridSpan w:val="2"/>
            <w:vMerge w:val="continue"/>
            <w:noWrap w:val="0"/>
            <w:vAlign w:val="center"/>
          </w:tcPr>
          <w:p>
            <w:pPr>
              <w:widowControl/>
              <w:snapToGrid w:val="0"/>
              <w:jc w:val="center"/>
              <w:rPr>
                <w:rFonts w:ascii="宋体" w:hAnsi="宋体" w:eastAsia="宋体" w:cs="Times New Roman"/>
                <w:kern w:val="0"/>
              </w:rPr>
            </w:pPr>
          </w:p>
        </w:tc>
        <w:tc>
          <w:tcPr>
            <w:tcW w:w="124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818"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1510000</w:t>
            </w:r>
          </w:p>
        </w:tc>
        <w:tc>
          <w:tcPr>
            <w:tcW w:w="1317"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1492432.3</w:t>
            </w:r>
          </w:p>
        </w:tc>
        <w:tc>
          <w:tcPr>
            <w:tcW w:w="1466"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98.84%</w:t>
            </w:r>
          </w:p>
        </w:tc>
        <w:tc>
          <w:tcPr>
            <w:tcW w:w="2196" w:type="dxa"/>
            <w:gridSpan w:val="3"/>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19.77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28"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6"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2135"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1466"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19"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7"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restart"/>
            <w:noWrap w:val="0"/>
            <w:vAlign w:val="center"/>
          </w:tcPr>
          <w:p>
            <w:pPr>
              <w:snapToGrid w:val="0"/>
              <w:jc w:val="center"/>
              <w:rPr>
                <w:rFonts w:hint="eastAsia" w:ascii="宋体" w:hAnsi="宋体" w:eastAsia="宋体" w:cs="宋体"/>
                <w:kern w:val="0"/>
                <w:sz w:val="21"/>
                <w:szCs w:val="21"/>
              </w:rPr>
            </w:pPr>
            <w:r>
              <w:rPr>
                <w:rFonts w:hint="eastAsia" w:ascii="宋体" w:hAnsi="宋体" w:eastAsia="宋体" w:cs="宋体"/>
                <w:kern w:val="0"/>
                <w:sz w:val="21"/>
                <w:szCs w:val="21"/>
              </w:rPr>
              <w:t>产出指标</w:t>
            </w:r>
          </w:p>
          <w:p>
            <w:pPr>
              <w:snapToGrid w:val="0"/>
              <w:jc w:val="both"/>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（40分</w:t>
            </w:r>
            <w:r>
              <w:rPr>
                <w:rFonts w:hint="eastAsia" w:ascii="宋体" w:hAnsi="宋体" w:eastAsia="宋体" w:cs="宋体"/>
                <w:kern w:val="0"/>
                <w:sz w:val="21"/>
                <w:szCs w:val="21"/>
                <w:lang w:eastAsia="zh-CN"/>
              </w:rPr>
              <w:t>）</w:t>
            </w:r>
          </w:p>
        </w:tc>
        <w:tc>
          <w:tcPr>
            <w:tcW w:w="1247" w:type="dxa"/>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kern w:val="0"/>
                <w:sz w:val="21"/>
                <w:szCs w:val="21"/>
                <w:lang w:eastAsia="zh-CN"/>
              </w:rPr>
            </w:pPr>
            <w:r>
              <w:rPr>
                <w:rFonts w:hint="eastAsia" w:ascii="宋体" w:hAnsi="宋体" w:eastAsia="宋体" w:cs="宋体"/>
                <w:color w:val="000000"/>
                <w:sz w:val="21"/>
                <w:szCs w:val="21"/>
              </w:rPr>
              <w:t>数量指标</w:t>
            </w:r>
          </w:p>
        </w:tc>
        <w:tc>
          <w:tcPr>
            <w:tcW w:w="2135" w:type="dxa"/>
            <w:gridSpan w:val="3"/>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kern w:val="0"/>
                <w:sz w:val="21"/>
                <w:szCs w:val="21"/>
                <w:lang w:val="en-US" w:eastAsia="zh-CN"/>
              </w:rPr>
            </w:pPr>
            <w:r>
              <w:rPr>
                <w:rFonts w:hint="eastAsia" w:ascii="宋体" w:hAnsi="宋体" w:eastAsia="宋体" w:cs="宋体"/>
                <w:color w:val="000000"/>
                <w:sz w:val="21"/>
                <w:szCs w:val="21"/>
              </w:rPr>
              <w:t>农产品抽检量总数</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20分）</w:t>
            </w:r>
          </w:p>
        </w:tc>
        <w:tc>
          <w:tcPr>
            <w:tcW w:w="1466" w:type="dxa"/>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96350批次</w:t>
            </w:r>
          </w:p>
        </w:tc>
        <w:tc>
          <w:tcPr>
            <w:tcW w:w="1319" w:type="dxa"/>
            <w:gridSpan w:val="2"/>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108270批次</w:t>
            </w:r>
          </w:p>
        </w:tc>
        <w:tc>
          <w:tcPr>
            <w:tcW w:w="877" w:type="dxa"/>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hint="eastAsia" w:ascii="宋体" w:hAnsi="宋体" w:eastAsia="宋体" w:cs="宋体"/>
                <w:kern w:val="0"/>
                <w:sz w:val="21"/>
                <w:szCs w:val="21"/>
              </w:rPr>
            </w:pPr>
          </w:p>
        </w:tc>
        <w:tc>
          <w:tcPr>
            <w:tcW w:w="1247" w:type="dxa"/>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数量指标</w:t>
            </w:r>
          </w:p>
        </w:tc>
        <w:tc>
          <w:tcPr>
            <w:tcW w:w="2135" w:type="dxa"/>
            <w:gridSpan w:val="3"/>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区内重点农业企和合作社抽检次数（10分）</w:t>
            </w:r>
          </w:p>
        </w:tc>
        <w:tc>
          <w:tcPr>
            <w:tcW w:w="1466" w:type="dxa"/>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≥20次</w:t>
            </w:r>
          </w:p>
        </w:tc>
        <w:tc>
          <w:tcPr>
            <w:tcW w:w="1319" w:type="dxa"/>
            <w:gridSpan w:val="2"/>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77次</w:t>
            </w:r>
          </w:p>
        </w:tc>
        <w:tc>
          <w:tcPr>
            <w:tcW w:w="877" w:type="dxa"/>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hint="eastAsia" w:ascii="宋体" w:hAnsi="宋体" w:eastAsia="宋体" w:cs="宋体"/>
                <w:kern w:val="0"/>
                <w:sz w:val="21"/>
                <w:szCs w:val="21"/>
              </w:rPr>
            </w:pPr>
          </w:p>
        </w:tc>
        <w:tc>
          <w:tcPr>
            <w:tcW w:w="1247" w:type="dxa"/>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auto"/>
                <w:kern w:val="0"/>
                <w:position w:val="0"/>
                <w:sz w:val="21"/>
                <w:szCs w:val="21"/>
                <w:u w:val="none"/>
                <w:shd w:val="clear" w:color="auto" w:fill="auto"/>
                <w:lang w:val="zh-CN" w:eastAsia="zh-CN" w:bidi="ar-SA"/>
              </w:rPr>
            </w:pPr>
            <w:r>
              <w:rPr>
                <w:rFonts w:hint="eastAsia" w:ascii="宋体" w:hAnsi="宋体" w:eastAsia="宋体" w:cs="宋体"/>
                <w:color w:val="000000"/>
                <w:sz w:val="21"/>
                <w:szCs w:val="21"/>
              </w:rPr>
              <w:t>质量指标</w:t>
            </w:r>
          </w:p>
        </w:tc>
        <w:tc>
          <w:tcPr>
            <w:tcW w:w="2135" w:type="dxa"/>
            <w:gridSpan w:val="3"/>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auto"/>
                <w:kern w:val="0"/>
                <w:position w:val="0"/>
                <w:sz w:val="21"/>
                <w:szCs w:val="21"/>
                <w:u w:val="none"/>
                <w:shd w:val="clear" w:color="auto" w:fill="auto"/>
                <w:lang w:val="en-US" w:eastAsia="zh-CN" w:bidi="ar-SA"/>
              </w:rPr>
            </w:pPr>
            <w:r>
              <w:rPr>
                <w:rFonts w:hint="eastAsia" w:ascii="宋体" w:hAnsi="宋体" w:eastAsia="宋体" w:cs="宋体"/>
                <w:color w:val="000000"/>
                <w:sz w:val="21"/>
                <w:szCs w:val="21"/>
              </w:rPr>
              <w:t>抽检合格率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10分）</w:t>
            </w:r>
          </w:p>
        </w:tc>
        <w:tc>
          <w:tcPr>
            <w:tcW w:w="1466" w:type="dxa"/>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99%</w:t>
            </w:r>
          </w:p>
        </w:tc>
        <w:tc>
          <w:tcPr>
            <w:tcW w:w="1319" w:type="dxa"/>
            <w:gridSpan w:val="2"/>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100%</w:t>
            </w:r>
          </w:p>
        </w:tc>
        <w:tc>
          <w:tcPr>
            <w:tcW w:w="877" w:type="dxa"/>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28" w:type="dxa"/>
            <w:vMerge w:val="continue"/>
            <w:noWrap w:val="0"/>
            <w:vAlign w:val="center"/>
          </w:tcPr>
          <w:p>
            <w:pPr>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hint="eastAsia" w:ascii="宋体" w:hAnsi="宋体" w:eastAsia="宋体" w:cs="宋体"/>
                <w:kern w:val="0"/>
                <w:sz w:val="21"/>
                <w:szCs w:val="21"/>
              </w:rPr>
            </w:pPr>
          </w:p>
        </w:tc>
        <w:tc>
          <w:tcPr>
            <w:tcW w:w="1247" w:type="dxa"/>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auto"/>
                <w:kern w:val="0"/>
                <w:position w:val="0"/>
                <w:sz w:val="21"/>
                <w:szCs w:val="21"/>
                <w:u w:val="none"/>
                <w:shd w:val="clear" w:color="auto" w:fill="auto"/>
                <w:lang w:val="zh-CN" w:eastAsia="zh-CN" w:bidi="ar-SA"/>
              </w:rPr>
            </w:pPr>
            <w:r>
              <w:rPr>
                <w:rFonts w:hint="eastAsia" w:ascii="宋体" w:hAnsi="宋体" w:eastAsia="宋体" w:cs="宋体"/>
                <w:color w:val="000000"/>
                <w:sz w:val="21"/>
                <w:szCs w:val="21"/>
              </w:rPr>
              <w:t>时效指标</w:t>
            </w:r>
          </w:p>
        </w:tc>
        <w:tc>
          <w:tcPr>
            <w:tcW w:w="2135" w:type="dxa"/>
            <w:gridSpan w:val="3"/>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auto"/>
                <w:kern w:val="0"/>
                <w:position w:val="0"/>
                <w:sz w:val="21"/>
                <w:szCs w:val="21"/>
                <w:u w:val="none"/>
                <w:shd w:val="clear" w:color="auto" w:fill="auto"/>
                <w:lang w:val="en-US" w:eastAsia="zh-CN" w:bidi="ar-SA"/>
              </w:rPr>
            </w:pPr>
            <w:r>
              <w:rPr>
                <w:rFonts w:hint="eastAsia" w:ascii="宋体" w:hAnsi="宋体" w:eastAsia="宋体" w:cs="宋体"/>
                <w:color w:val="000000"/>
                <w:sz w:val="21"/>
                <w:szCs w:val="21"/>
              </w:rPr>
              <w:t>定性检测报告出具时间</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10分）</w:t>
            </w:r>
          </w:p>
        </w:tc>
        <w:tc>
          <w:tcPr>
            <w:tcW w:w="1466" w:type="dxa"/>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24小时</w:t>
            </w:r>
          </w:p>
        </w:tc>
        <w:tc>
          <w:tcPr>
            <w:tcW w:w="1319" w:type="dxa"/>
            <w:gridSpan w:val="2"/>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8小时</w:t>
            </w:r>
          </w:p>
        </w:tc>
        <w:tc>
          <w:tcPr>
            <w:tcW w:w="877" w:type="dxa"/>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restart"/>
            <w:noWrap w:val="0"/>
            <w:vAlign w:val="center"/>
          </w:tcPr>
          <w:p>
            <w:pPr>
              <w:snapToGrid w:val="0"/>
              <w:jc w:val="center"/>
              <w:rPr>
                <w:rFonts w:hint="eastAsia" w:ascii="宋体" w:hAnsi="宋体" w:eastAsia="宋体" w:cs="宋体"/>
                <w:kern w:val="0"/>
                <w:sz w:val="21"/>
                <w:szCs w:val="21"/>
              </w:rPr>
            </w:pPr>
            <w:r>
              <w:rPr>
                <w:rFonts w:hint="eastAsia" w:ascii="宋体" w:hAnsi="宋体" w:eastAsia="宋体" w:cs="宋体"/>
                <w:kern w:val="0"/>
                <w:sz w:val="21"/>
                <w:szCs w:val="21"/>
              </w:rPr>
              <w:t>效益指标</w:t>
            </w:r>
          </w:p>
          <w:p>
            <w:pPr>
              <w:snapToGrid w:val="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30分</w:t>
            </w:r>
            <w:r>
              <w:rPr>
                <w:rFonts w:hint="eastAsia" w:ascii="宋体" w:hAnsi="宋体" w:eastAsia="宋体" w:cs="宋体"/>
                <w:kern w:val="0"/>
                <w:sz w:val="21"/>
                <w:szCs w:val="21"/>
                <w:lang w:eastAsia="zh-CN"/>
              </w:rPr>
              <w:t>）</w:t>
            </w:r>
          </w:p>
        </w:tc>
        <w:tc>
          <w:tcPr>
            <w:tcW w:w="1247" w:type="dxa"/>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kern w:val="0"/>
                <w:sz w:val="21"/>
                <w:szCs w:val="21"/>
              </w:rPr>
            </w:pPr>
            <w:r>
              <w:rPr>
                <w:rFonts w:hint="eastAsia" w:ascii="宋体" w:hAnsi="宋体" w:eastAsia="宋体" w:cs="宋体"/>
                <w:color w:val="000000"/>
                <w:sz w:val="21"/>
                <w:szCs w:val="21"/>
              </w:rPr>
              <w:t>社会效益指标</w:t>
            </w:r>
          </w:p>
        </w:tc>
        <w:tc>
          <w:tcPr>
            <w:tcW w:w="2135" w:type="dxa"/>
            <w:gridSpan w:val="3"/>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kern w:val="0"/>
                <w:sz w:val="21"/>
                <w:szCs w:val="21"/>
                <w:lang w:val="en-US" w:eastAsia="zh-CN"/>
              </w:rPr>
            </w:pPr>
            <w:r>
              <w:rPr>
                <w:rFonts w:hint="eastAsia" w:ascii="宋体" w:hAnsi="宋体" w:eastAsia="宋体" w:cs="宋体"/>
                <w:color w:val="000000"/>
                <w:sz w:val="21"/>
                <w:szCs w:val="21"/>
              </w:rPr>
              <w:t xml:space="preserve"> 重大农产品质量安全事故发生率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10分）</w:t>
            </w:r>
          </w:p>
        </w:tc>
        <w:tc>
          <w:tcPr>
            <w:tcW w:w="1466" w:type="dxa"/>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0</w:t>
            </w:r>
          </w:p>
        </w:tc>
        <w:tc>
          <w:tcPr>
            <w:tcW w:w="1319" w:type="dxa"/>
            <w:gridSpan w:val="2"/>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0</w:t>
            </w:r>
          </w:p>
        </w:tc>
        <w:tc>
          <w:tcPr>
            <w:tcW w:w="877" w:type="dxa"/>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hint="eastAsia" w:ascii="宋体" w:hAnsi="宋体" w:eastAsia="宋体" w:cs="宋体"/>
                <w:kern w:val="0"/>
                <w:sz w:val="21"/>
                <w:szCs w:val="21"/>
              </w:rPr>
            </w:pPr>
          </w:p>
        </w:tc>
        <w:tc>
          <w:tcPr>
            <w:tcW w:w="1247" w:type="dxa"/>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社会效益指标</w:t>
            </w:r>
          </w:p>
        </w:tc>
        <w:tc>
          <w:tcPr>
            <w:tcW w:w="2135" w:type="dxa"/>
            <w:gridSpan w:val="3"/>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农产品质量安全水平逐步提升（</w:t>
            </w:r>
            <w:r>
              <w:rPr>
                <w:rFonts w:hint="eastAsia" w:ascii="宋体" w:hAnsi="宋体" w:eastAsia="宋体" w:cs="宋体"/>
                <w:kern w:val="0"/>
                <w:sz w:val="21"/>
                <w:szCs w:val="21"/>
                <w:lang w:val="en-US" w:eastAsia="zh-CN"/>
              </w:rPr>
              <w:t>10分）</w:t>
            </w:r>
          </w:p>
        </w:tc>
        <w:tc>
          <w:tcPr>
            <w:tcW w:w="1466" w:type="dxa"/>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有所提升</w:t>
            </w:r>
          </w:p>
        </w:tc>
        <w:tc>
          <w:tcPr>
            <w:tcW w:w="1319" w:type="dxa"/>
            <w:gridSpan w:val="2"/>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有所提升</w:t>
            </w:r>
          </w:p>
        </w:tc>
        <w:tc>
          <w:tcPr>
            <w:tcW w:w="877" w:type="dxa"/>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vMerge w:val="continue"/>
            <w:noWrap w:val="0"/>
            <w:vAlign w:val="center"/>
          </w:tcPr>
          <w:p>
            <w:pPr>
              <w:widowControl/>
              <w:snapToGrid w:val="0"/>
              <w:jc w:val="center"/>
              <w:rPr>
                <w:rFonts w:hint="eastAsia" w:ascii="宋体" w:hAnsi="宋体" w:eastAsia="宋体" w:cs="宋体"/>
                <w:kern w:val="0"/>
                <w:sz w:val="21"/>
                <w:szCs w:val="21"/>
              </w:rPr>
            </w:pPr>
          </w:p>
        </w:tc>
        <w:tc>
          <w:tcPr>
            <w:tcW w:w="1247" w:type="dxa"/>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auto"/>
                <w:kern w:val="0"/>
                <w:position w:val="0"/>
                <w:sz w:val="21"/>
                <w:szCs w:val="21"/>
                <w:u w:val="none"/>
                <w:shd w:val="clear" w:color="auto" w:fill="auto"/>
                <w:lang w:val="zh-CN" w:eastAsia="zh-CN" w:bidi="ar-SA"/>
              </w:rPr>
            </w:pPr>
            <w:r>
              <w:rPr>
                <w:rFonts w:hint="eastAsia" w:ascii="宋体" w:hAnsi="宋体" w:eastAsia="宋体" w:cs="宋体"/>
                <w:color w:val="000000"/>
                <w:sz w:val="21"/>
                <w:szCs w:val="21"/>
              </w:rPr>
              <w:t>可持续影响指标</w:t>
            </w:r>
          </w:p>
        </w:tc>
        <w:tc>
          <w:tcPr>
            <w:tcW w:w="2135" w:type="dxa"/>
            <w:gridSpan w:val="3"/>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color w:val="auto"/>
                <w:kern w:val="0"/>
                <w:position w:val="0"/>
                <w:sz w:val="21"/>
                <w:szCs w:val="21"/>
                <w:u w:val="none"/>
                <w:shd w:val="clear" w:color="auto" w:fill="auto"/>
                <w:lang w:val="en-US" w:eastAsia="zh-CN" w:bidi="ar-SA"/>
              </w:rPr>
            </w:pPr>
            <w:r>
              <w:rPr>
                <w:rFonts w:hint="eastAsia" w:ascii="宋体" w:hAnsi="宋体" w:eastAsia="宋体" w:cs="宋体"/>
                <w:color w:val="000000"/>
                <w:sz w:val="21"/>
                <w:szCs w:val="21"/>
              </w:rPr>
              <w:t>警报准确</w:t>
            </w:r>
            <w:bookmarkStart w:id="0" w:name="_GoBack"/>
            <w:bookmarkEnd w:id="0"/>
            <w:r>
              <w:rPr>
                <w:rFonts w:hint="eastAsia" w:ascii="宋体" w:hAnsi="宋体" w:eastAsia="宋体" w:cs="宋体"/>
                <w:color w:val="000000"/>
                <w:sz w:val="21"/>
                <w:szCs w:val="21"/>
              </w:rPr>
              <w:t>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10分）</w:t>
            </w:r>
          </w:p>
        </w:tc>
        <w:tc>
          <w:tcPr>
            <w:tcW w:w="1466" w:type="dxa"/>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90%</w:t>
            </w:r>
          </w:p>
        </w:tc>
        <w:tc>
          <w:tcPr>
            <w:tcW w:w="1319" w:type="dxa"/>
            <w:gridSpan w:val="2"/>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100%</w:t>
            </w:r>
          </w:p>
        </w:tc>
        <w:tc>
          <w:tcPr>
            <w:tcW w:w="877" w:type="dxa"/>
            <w:noWrap w:val="0"/>
            <w:vAlign w:val="center"/>
          </w:tcPr>
          <w:p>
            <w:pPr>
              <w:widowControl/>
              <w:snapToGrid w:val="0"/>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8" w:type="dxa"/>
            <w:vMerge w:val="continue"/>
            <w:noWrap w:val="0"/>
            <w:vAlign w:val="center"/>
          </w:tcPr>
          <w:p>
            <w:pPr>
              <w:widowControl/>
              <w:snapToGrid w:val="0"/>
              <w:jc w:val="center"/>
              <w:rPr>
                <w:rFonts w:ascii="宋体" w:hAnsi="宋体" w:eastAsia="宋体" w:cs="Times New Roman"/>
                <w:kern w:val="0"/>
              </w:rPr>
            </w:pPr>
          </w:p>
        </w:tc>
        <w:tc>
          <w:tcPr>
            <w:tcW w:w="1076" w:type="dxa"/>
            <w:noWrap w:val="0"/>
            <w:vAlign w:val="center"/>
          </w:tcPr>
          <w:p>
            <w:pPr>
              <w:widowControl/>
              <w:snapToGrid w:val="0"/>
              <w:jc w:val="center"/>
              <w:rPr>
                <w:rFonts w:hint="eastAsia" w:ascii="宋体" w:hAnsi="宋体" w:eastAsia="宋体" w:cs="宋体"/>
                <w:kern w:val="0"/>
                <w:sz w:val="21"/>
                <w:szCs w:val="21"/>
              </w:rPr>
            </w:pPr>
            <w:r>
              <w:rPr>
                <w:rFonts w:hint="eastAsia" w:ascii="宋体" w:hAnsi="宋体" w:eastAsia="宋体" w:cs="宋体"/>
                <w:kern w:val="0"/>
                <w:sz w:val="21"/>
                <w:szCs w:val="21"/>
              </w:rPr>
              <w:t>满意度</w:t>
            </w:r>
          </w:p>
          <w:p>
            <w:pPr>
              <w:widowControl/>
              <w:snapToGrid w:val="0"/>
              <w:jc w:val="center"/>
              <w:rPr>
                <w:rFonts w:hint="eastAsia" w:ascii="宋体" w:hAnsi="宋体" w:eastAsia="宋体" w:cs="宋体"/>
                <w:kern w:val="0"/>
                <w:sz w:val="21"/>
                <w:szCs w:val="21"/>
              </w:rPr>
            </w:pPr>
            <w:r>
              <w:rPr>
                <w:rFonts w:hint="eastAsia" w:ascii="宋体" w:hAnsi="宋体" w:eastAsia="宋体" w:cs="宋体"/>
                <w:kern w:val="0"/>
                <w:sz w:val="21"/>
                <w:szCs w:val="21"/>
              </w:rPr>
              <w:t>指标</w:t>
            </w:r>
          </w:p>
          <w:p>
            <w:pPr>
              <w:widowControl/>
              <w:snapToGrid w:val="0"/>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10分</w:t>
            </w:r>
            <w:r>
              <w:rPr>
                <w:rFonts w:hint="eastAsia" w:ascii="宋体" w:hAnsi="宋体" w:eastAsia="宋体" w:cs="宋体"/>
                <w:kern w:val="0"/>
                <w:sz w:val="21"/>
                <w:szCs w:val="21"/>
                <w:lang w:eastAsia="zh-CN"/>
              </w:rPr>
              <w:t>）</w:t>
            </w:r>
          </w:p>
        </w:tc>
        <w:tc>
          <w:tcPr>
            <w:tcW w:w="1247" w:type="dxa"/>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kern w:val="0"/>
                <w:sz w:val="21"/>
                <w:szCs w:val="21"/>
                <w:lang w:eastAsia="zh-CN"/>
              </w:rPr>
            </w:pPr>
            <w:r>
              <w:rPr>
                <w:rFonts w:hint="eastAsia" w:ascii="宋体" w:hAnsi="宋体" w:eastAsia="宋体" w:cs="宋体"/>
                <w:color w:val="000000"/>
                <w:sz w:val="21"/>
                <w:szCs w:val="21"/>
              </w:rPr>
              <w:t>服务对象满意度指标</w:t>
            </w:r>
          </w:p>
        </w:tc>
        <w:tc>
          <w:tcPr>
            <w:tcW w:w="2135" w:type="dxa"/>
            <w:gridSpan w:val="3"/>
            <w:noWrap w:val="0"/>
            <w:vAlign w:val="top"/>
          </w:tcPr>
          <w:p>
            <w:pPr>
              <w:pStyle w:val="4"/>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宋体"/>
                <w:kern w:val="0"/>
                <w:sz w:val="21"/>
                <w:szCs w:val="21"/>
                <w:lang w:val="en-US" w:eastAsia="zh-CN"/>
              </w:rPr>
            </w:pPr>
            <w:r>
              <w:rPr>
                <w:rFonts w:hint="eastAsia" w:ascii="宋体" w:hAnsi="宋体" w:eastAsia="宋体" w:cs="宋体"/>
                <w:color w:val="000000"/>
                <w:sz w:val="21"/>
                <w:szCs w:val="21"/>
              </w:rPr>
              <w:t>年产品检测结果投诉率</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10分）</w:t>
            </w:r>
          </w:p>
        </w:tc>
        <w:tc>
          <w:tcPr>
            <w:tcW w:w="1466" w:type="dxa"/>
            <w:noWrap w:val="0"/>
            <w:vAlign w:val="center"/>
          </w:tcPr>
          <w:p>
            <w:pPr>
              <w:widowControl/>
              <w:snapToGrid w:val="0"/>
              <w:jc w:val="center"/>
              <w:rPr>
                <w:rFonts w:hint="eastAsia" w:ascii="宋体" w:hAnsi="宋体" w:eastAsia="宋体" w:cs="宋体"/>
                <w:kern w:val="0"/>
                <w:sz w:val="21"/>
                <w:szCs w:val="21"/>
              </w:rPr>
            </w:pPr>
            <w:r>
              <w:rPr>
                <w:rFonts w:hint="eastAsia" w:ascii="宋体" w:hAnsi="宋体" w:eastAsia="宋体" w:cs="宋体"/>
                <w:i w:val="0"/>
                <w:color w:val="000000"/>
                <w:kern w:val="0"/>
                <w:sz w:val="21"/>
                <w:szCs w:val="21"/>
                <w:u w:val="none"/>
                <w:lang w:val="en-US" w:eastAsia="zh-CN" w:bidi="ar"/>
              </w:rPr>
              <w:t>≤5%</w:t>
            </w:r>
          </w:p>
        </w:tc>
        <w:tc>
          <w:tcPr>
            <w:tcW w:w="1319" w:type="dxa"/>
            <w:gridSpan w:val="2"/>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0</w:t>
            </w:r>
          </w:p>
        </w:tc>
        <w:tc>
          <w:tcPr>
            <w:tcW w:w="877" w:type="dxa"/>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28"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120" w:type="dxa"/>
            <w:gridSpan w:val="9"/>
            <w:noWrap w:val="0"/>
            <w:vAlign w:val="center"/>
          </w:tcPr>
          <w:p>
            <w:pPr>
              <w:widowControl/>
              <w:snapToGrid w:val="0"/>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1904"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44" w:type="dxa"/>
            <w:gridSpan w:val="8"/>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年度预算未完成主要因为试剂采购招投标过程中中标价格低于计划数，存在结余资金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jc w:val="center"/>
        </w:trPr>
        <w:tc>
          <w:tcPr>
            <w:tcW w:w="1904"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44" w:type="dxa"/>
            <w:gridSpan w:val="8"/>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在今后的采购过程中，我科将进一步加大市场调研力度，摸准市场行情，更加精确的测算采购预算资金规模，避免采购过程中出现大额结余资金。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1904"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44" w:type="dxa"/>
            <w:gridSpan w:val="8"/>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C27800"/>
    <w:rsid w:val="0DB10E89"/>
    <w:rsid w:val="1EC27800"/>
    <w:rsid w:val="3A834684"/>
    <w:rsid w:val="41D51567"/>
    <w:rsid w:val="585E5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2"/>
    <w:basedOn w:val="5"/>
    <w:qFormat/>
    <w:uiPriority w:val="3"/>
    <w:pPr>
      <w:widowControl/>
      <w:jc w:val="both"/>
    </w:pPr>
    <w:rPr>
      <w:rFonts w:ascii="Times New Roman" w:hAnsi="Times New Roman" w:eastAsia="Times New Roman"/>
      <w:sz w:val="21"/>
    </w:rPr>
  </w:style>
  <w:style w:type="paragraph" w:customStyle="1" w:styleId="5">
    <w:name w:val="[Normal]"/>
    <w:qFormat/>
    <w:uiPriority w:val="6"/>
    <w:rPr>
      <w:rFonts w:ascii="宋体" w:hAnsi="宋体" w:eastAsia="宋体" w:cstheme="minorBidi"/>
      <w:color w:val="auto"/>
      <w:position w:val="0"/>
      <w:sz w:val="24"/>
      <w:u w:val="none"/>
      <w:shd w:val="clear" w:color="auto" w:fill="auto"/>
      <w:lang w:val="zh-CN"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2021-02-24T01:17:00Z</dcterms:created>
  <dc:creator>lenovo</dc:creator>
  <cp:lastModifiedBy>lenovo</cp:lastModifiedBy>
  <cp:lastPrinted>2021-04-19T01:10:32Z</cp:lastPrinted>
  <dcterms:modified xsi:type="dcterms:W3CDTF">2021-04-19T01:10:38Z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