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2020年度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zh-CN" w:eastAsia="en-US" w:bidi="ar"/>
        </w:rPr>
        <w:t>下属二级单位运转经费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项目自评表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both"/>
        <w:textAlignment w:val="center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单位名称: 武汉市东西湖区人民政府辛安渡街道办事处          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center"/>
        <w:textAlignment w:val="center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                                                   填报日期:2021.4.27</w:t>
      </w:r>
    </w:p>
    <w:tbl>
      <w:tblPr>
        <w:tblStyle w:val="3"/>
        <w:tblW w:w="5333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344"/>
        <w:gridCol w:w="1226"/>
        <w:gridCol w:w="345"/>
        <w:gridCol w:w="502"/>
        <w:gridCol w:w="486"/>
        <w:gridCol w:w="747"/>
        <w:gridCol w:w="575"/>
        <w:gridCol w:w="191"/>
        <w:gridCol w:w="456"/>
        <w:gridCol w:w="1104"/>
        <w:gridCol w:w="1278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19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项目名称</w:t>
            </w:r>
          </w:p>
        </w:tc>
        <w:tc>
          <w:tcPr>
            <w:tcW w:w="38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下属二级单位运转经费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主管部门</w:t>
            </w:r>
          </w:p>
        </w:tc>
        <w:tc>
          <w:tcPr>
            <w:tcW w:w="114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辛安渡街道办事处</w:t>
            </w:r>
          </w:p>
        </w:tc>
        <w:tc>
          <w:tcPr>
            <w:tcW w:w="109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项目实施单位</w:t>
            </w:r>
          </w:p>
        </w:tc>
        <w:tc>
          <w:tcPr>
            <w:tcW w:w="156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武汉市东西湖区人民政府辛安渡街道办事处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zh-CN" w:eastAsia="en-US" w:bidi="ar"/>
              </w:rPr>
              <w:t>财务核算中心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9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项目类别</w:t>
            </w:r>
          </w:p>
        </w:tc>
        <w:tc>
          <w:tcPr>
            <w:tcW w:w="38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1、部门预算项目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2、 区直专项 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9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项目属性</w:t>
            </w:r>
          </w:p>
        </w:tc>
        <w:tc>
          <w:tcPr>
            <w:tcW w:w="38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1、持续性项目 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2、新增性项目 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9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项目类型</w:t>
            </w:r>
          </w:p>
        </w:tc>
        <w:tc>
          <w:tcPr>
            <w:tcW w:w="38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1、常年性项目 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2、延续性项目 ☐ 3、一次性项目 ☐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199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预算执行情况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（万元）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（20分）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预算数（A）</w:t>
            </w:r>
          </w:p>
        </w:tc>
        <w:tc>
          <w:tcPr>
            <w:tcW w:w="7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执行数（B）</w:t>
            </w:r>
          </w:p>
        </w:tc>
        <w:tc>
          <w:tcPr>
            <w:tcW w:w="96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执行率（B/A）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（20分*执行率）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19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项目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支出总额</w:t>
            </w:r>
          </w:p>
        </w:tc>
        <w:tc>
          <w:tcPr>
            <w:tcW w:w="7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zh-CN" w:eastAsia="en-US" w:bidi="ar"/>
              </w:rPr>
              <w:t>2459.73</w:t>
            </w:r>
          </w:p>
        </w:tc>
        <w:tc>
          <w:tcPr>
            <w:tcW w:w="7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1714.29</w:t>
            </w:r>
          </w:p>
        </w:tc>
        <w:tc>
          <w:tcPr>
            <w:tcW w:w="96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69.69%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13.94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60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年度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绩效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目标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(80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分)</w:t>
            </w: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一级指标</w:t>
            </w: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二级指标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三级指标</w:t>
            </w:r>
          </w:p>
        </w:tc>
        <w:tc>
          <w:tcPr>
            <w:tcW w:w="6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年初目标值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(A)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实际完成值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(B)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460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3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产出指标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(40分)</w:t>
            </w:r>
          </w:p>
        </w:tc>
        <w:tc>
          <w:tcPr>
            <w:tcW w:w="864" w:type="pct"/>
            <w:gridSpan w:val="2"/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环境整治覆盖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（6分）</w:t>
            </w:r>
          </w:p>
        </w:tc>
        <w:tc>
          <w:tcPr>
            <w:tcW w:w="672" w:type="pct"/>
            <w:gridSpan w:val="3"/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全覆盖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全覆盖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60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3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经费拨付单位数量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（6分）</w:t>
            </w:r>
          </w:p>
        </w:tc>
        <w:tc>
          <w:tcPr>
            <w:tcW w:w="6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27家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24家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5.33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60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3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绿化及林业面积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（6分）</w:t>
            </w:r>
          </w:p>
        </w:tc>
        <w:tc>
          <w:tcPr>
            <w:tcW w:w="6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210万㎡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598.6万㎡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60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3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脱贫户数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（6分）</w:t>
            </w:r>
          </w:p>
        </w:tc>
        <w:tc>
          <w:tcPr>
            <w:tcW w:w="6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达到计划要求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达到计划要求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460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3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质量指标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村湾环境面貌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（4分）</w:t>
            </w:r>
          </w:p>
        </w:tc>
        <w:tc>
          <w:tcPr>
            <w:tcW w:w="6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干净、整洁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干净、整洁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60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3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质量指标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经费拨付使用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（6分）</w:t>
            </w:r>
          </w:p>
        </w:tc>
        <w:tc>
          <w:tcPr>
            <w:tcW w:w="6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合法、合规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合法、合规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60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38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质量指标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农业设施与公共设施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（6分）</w:t>
            </w:r>
          </w:p>
        </w:tc>
        <w:tc>
          <w:tcPr>
            <w:tcW w:w="6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正常运转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正常运转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60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3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效益指标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(30分)</w:t>
            </w: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经济效益指标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农业经济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（8分）</w:t>
            </w:r>
          </w:p>
        </w:tc>
        <w:tc>
          <w:tcPr>
            <w:tcW w:w="6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促进农业经济发展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促进农业经济发展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60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3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社会效益指标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加强基层党组织建设、居民生活水平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（8分）</w:t>
            </w:r>
          </w:p>
        </w:tc>
        <w:tc>
          <w:tcPr>
            <w:tcW w:w="6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效果明显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效果明显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60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3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生态效益指标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环境卫生水平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（7分）</w:t>
            </w:r>
          </w:p>
        </w:tc>
        <w:tc>
          <w:tcPr>
            <w:tcW w:w="6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明显提高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明显提高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60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38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可持续影响</w:t>
            </w:r>
            <w:bookmarkStart w:id="0" w:name="_GoBack"/>
            <w:bookmarkEnd w:id="0"/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项目机制制度健全、资金有保障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（7分）</w:t>
            </w:r>
          </w:p>
        </w:tc>
        <w:tc>
          <w:tcPr>
            <w:tcW w:w="6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持续性较好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持续性较好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460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满意度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(10分)</w:t>
            </w:r>
          </w:p>
        </w:tc>
        <w:tc>
          <w:tcPr>
            <w:tcW w:w="8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服务对象满意度指标</w:t>
            </w:r>
          </w:p>
        </w:tc>
        <w:tc>
          <w:tcPr>
            <w:tcW w:w="9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居民满意度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（10分）</w:t>
            </w:r>
          </w:p>
        </w:tc>
        <w:tc>
          <w:tcPr>
            <w:tcW w:w="6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明显提高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明显提高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总分</w:t>
            </w:r>
          </w:p>
        </w:tc>
        <w:tc>
          <w:tcPr>
            <w:tcW w:w="4539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93.27</w:t>
            </w:r>
          </w:p>
        </w:tc>
      </w:tr>
    </w:tbl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TW" w:bidi="ar"/>
        </w:rPr>
      </w:pPr>
    </w:p>
    <w:tbl>
      <w:tblPr>
        <w:tblStyle w:val="3"/>
        <w:tblW w:w="9039" w:type="dxa"/>
        <w:tblInd w:w="0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7"/>
        <w:gridCol w:w="69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8" w:hRule="atLeast"/>
        </w:trPr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TW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偏差大或目标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TW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未完成原因分析</w:t>
            </w:r>
          </w:p>
        </w:tc>
        <w:tc>
          <w:tcPr>
            <w:tcW w:w="6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zh-TW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1.预算执行率未完成，其原因为年初预算较大和支付存在串项的现象。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zh-TW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2.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zh-CN" w:eastAsia="zh-CN" w:bidi="ar"/>
              </w:rPr>
              <w:t>经费拨付单位数量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年初设定标准值27家，实际完成值24家。原因是未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zh-TW" w:eastAsia="zh-TW" w:bidi="ar"/>
              </w:rPr>
              <w:t>根据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上年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zh-TW" w:eastAsia="zh-TW" w:bidi="ar"/>
              </w:rPr>
              <w:t>实际情况进行调整，使实际完成值与目标值差异较大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zh-TW" w:eastAsia="zh-CN" w:bidi="ar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3.下属二级单位运转经费的财务核算主要由街道的核算中心负责。由于核算体系的原因，预算编制科目与会计核算口径不一致，故本次预算执行率只能依据支付系统来统计，这也造成预算执行率统计不准确。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TW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结果应用方案</w:t>
            </w:r>
          </w:p>
        </w:tc>
        <w:tc>
          <w:tcPr>
            <w:tcW w:w="6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规范预算编制，将基层单位的事权与财权紧密结合，强化预算编制的精细化。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zh-TW" w:eastAsia="zh-TW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zh-TW" w:eastAsia="zh-TW" w:bidi="ar"/>
              </w:rPr>
              <w:t>建立健全绩效指标体系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zh-TW" w:eastAsia="zh-CN" w:bidi="ar"/>
              </w:rPr>
              <w:t>。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zh-TW" w:eastAsia="zh-TW" w:bidi="ar"/>
              </w:rPr>
              <w:t>根据自身项目特点，优先选择最能反映绩效管理要求的关键性指标。增设项目资金投放比重高的业务产出指标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zh-TW" w:eastAsia="zh-CN" w:bidi="ar"/>
              </w:rPr>
              <w:t>。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zh-TW" w:eastAsia="zh-TW" w:bidi="ar"/>
              </w:rPr>
              <w:t>拟减除不重要的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zh-CN" w:eastAsia="zh-CN" w:bidi="ar"/>
              </w:rPr>
              <w:t>“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zh-TW" w:eastAsia="zh-TW" w:bidi="ar"/>
              </w:rPr>
              <w:t>项目机制制度健全、资金有保障” 指标，增设项目资金投放比重高的业务产出指标，如：环境整治覆盖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的年初目标值设置为环卫负责清理区域数量。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zh-TW" w:eastAsia="zh-TW" w:bidi="ar"/>
              </w:rPr>
              <w:t>脱贫户数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应当设置为具体户数。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zh-TW" w:eastAsia="zh-TW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3.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zh-TW" w:eastAsia="zh-TW" w:bidi="ar"/>
              </w:rPr>
              <w:t>强化绩效目标管理，规范绩效目标编制。各部门编制预算时要结合单位职责、项目实施实际，分解细化工作要求，科学设置绩效目标和相关指标，规范绩效目标编制，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同时将绩效目标的考核纳入办事处年终考核的范围，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zh-TW" w:eastAsia="zh-TW" w:bidi="ar"/>
              </w:rPr>
              <w:t>加强绩效目标审核，提升绩效目标编制质量。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4.规范预算编制科目与会计核算科目口径一致，将财政所和核算中心核算口径一致，统一管理，以便加强预算执行分析，强化财务监管。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TW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6" w:hRule="atLeast"/>
        </w:trPr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TW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签批意见</w:t>
            </w:r>
          </w:p>
        </w:tc>
        <w:tc>
          <w:tcPr>
            <w:tcW w:w="6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TW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                                                                 签名: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                                                                年     月     日</w:t>
            </w:r>
          </w:p>
        </w:tc>
      </w:tr>
    </w:tbl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both"/>
        <w:textAlignment w:val="center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5CA434"/>
    <w:multiLevelType w:val="singleLevel"/>
    <w:tmpl w:val="DC5CA43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554BD5"/>
    <w:rsid w:val="00185EB8"/>
    <w:rsid w:val="0AB133A9"/>
    <w:rsid w:val="217E56B4"/>
    <w:rsid w:val="373B74F1"/>
    <w:rsid w:val="3A8264FC"/>
    <w:rsid w:val="42A343D3"/>
    <w:rsid w:val="47554BD5"/>
    <w:rsid w:val="5AC423BE"/>
    <w:rsid w:val="60E95AD4"/>
    <w:rsid w:val="61584320"/>
    <w:rsid w:val="72146B90"/>
    <w:rsid w:val="78C22DF1"/>
    <w:rsid w:val="7E6D4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msonospacing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等线" w:hAnsi="等线" w:eastAsia="等线" w:cs="Times New Roman"/>
      <w:kern w:val="2"/>
      <w:sz w:val="21"/>
      <w:szCs w:val="24"/>
      <w:lang w:val="en-US" w:eastAsia="zh-CN" w:bidi="ar"/>
    </w:rPr>
  </w:style>
  <w:style w:type="paragraph" w:customStyle="1" w:styleId="6">
    <w:name w:val="正文2"/>
    <w:basedOn w:val="7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  <w:style w:type="paragraph" w:customStyle="1" w:styleId="7">
    <w:name w:val="[Normal]"/>
    <w:qFormat/>
    <w:uiPriority w:val="6"/>
    <w:rPr>
      <w:rFonts w:ascii="宋体" w:hAnsi="宋体" w:eastAsia="宋体" w:cstheme="minorBidi"/>
      <w:color w:val="auto"/>
      <w:position w:val="0"/>
      <w:sz w:val="24"/>
      <w:u w:val="none"/>
      <w:shd w:val="clear" w:color="auto" w:fill="auto"/>
      <w:lang w:val="zh-CN" w:eastAsia="zh-CN" w:bidi="ar-SA"/>
    </w:rPr>
  </w:style>
  <w:style w:type="paragraph" w:customStyle="1" w:styleId="8">
    <w:name w:val="Body text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145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2021-04-22T00:42:00Z</dcterms:created>
  <dc:creator>志</dc:creator>
  <cp:lastModifiedBy>爱亲亲老婆</cp:lastModifiedBy>
  <cp:lastPrinted>2021-07-13T00:56:55Z</cp:lastPrinted>
  <dcterms:modified xsi:type="dcterms:W3CDTF">2021-07-13T00:57:05Z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F1FEC365494D43269E7B3BF718F32EA0</vt:lpwstr>
  </property>
</Properties>
</file>