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340" w:line="240" w:lineRule="auto"/>
        <w:ind w:left="0" w:right="0" w:firstLine="500" w:firstLineChars="0"/>
        <w:jc w:val="left"/>
      </w:pPr>
      <w:r>
        <w:rPr>
          <w:color w:val="000000"/>
          <w:spacing w:val="0"/>
          <w:w w:val="100"/>
          <w:position w:val="0"/>
        </w:rPr>
        <w:t>【第三方机构：武汉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正远有限责任会计师事务所</w:t>
      </w:r>
      <w:r>
        <w:rPr>
          <w:color w:val="000000"/>
          <w:spacing w:val="0"/>
          <w:w w:val="100"/>
          <w:position w:val="0"/>
        </w:rPr>
        <w:t>】</w:t>
      </w:r>
    </w:p>
    <w:p>
      <w:pPr>
        <w:pStyle w:val="5"/>
        <w:keepNext/>
        <w:keepLines/>
        <w:widowControl w:val="0"/>
        <w:shd w:val="clear" w:color="auto" w:fill="auto"/>
        <w:bidi w:val="0"/>
        <w:spacing w:before="0"/>
        <w:ind w:left="0" w:right="0" w:firstLine="0"/>
        <w:jc w:val="center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TW" w:bidi="zh-TW"/>
        </w:rPr>
      </w:pPr>
      <w:bookmarkStart w:id="0" w:name="bookmark1"/>
      <w:bookmarkStart w:id="1" w:name="bookmark2"/>
      <w:bookmarkStart w:id="2" w:name="bookmark0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辛安渡办事处2020年度拆迁过渡费项目自评</w:t>
      </w:r>
      <w:bookmarkEnd w:id="0"/>
      <w:bookmarkEnd w:id="1"/>
      <w:bookmarkEnd w:id="2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结果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70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摘要</w:t>
      </w:r>
      <w:r>
        <w:rPr>
          <w:color w:val="000000"/>
          <w:spacing w:val="0"/>
          <w:w w:val="100"/>
          <w:position w:val="0"/>
        </w:rPr>
        <w:t>版）</w:t>
      </w:r>
    </w:p>
    <w:p>
      <w:pPr>
        <w:pStyle w:val="4"/>
        <w:keepNext w:val="0"/>
        <w:keepLines w:val="0"/>
        <w:widowControl w:val="0"/>
        <w:numPr>
          <w:ilvl w:val="0"/>
          <w:numId w:val="1"/>
        </w:numPr>
        <w:shd w:val="clear" w:color="auto" w:fill="auto"/>
        <w:bidi w:val="0"/>
        <w:spacing w:before="0" w:after="180" w:line="240" w:lineRule="auto"/>
        <w:ind w:left="0" w:right="0" w:firstLine="48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bookmarkStart w:id="3" w:name="bookmark3"/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自评结论</w:t>
      </w:r>
    </w:p>
    <w:p>
      <w:pPr>
        <w:pStyle w:val="4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="480" w:leftChars="0" w:right="0" w:rightChars="0"/>
        <w:jc w:val="both"/>
      </w:pPr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一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</w:t>
      </w:r>
      <w:bookmarkEnd w:id="3"/>
      <w:r>
        <w:rPr>
          <w:color w:val="000000"/>
          <w:spacing w:val="0"/>
          <w:w w:val="100"/>
          <w:position w:val="0"/>
        </w:rPr>
        <w:t>、自评得分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480"/>
        <w:jc w:val="both"/>
      </w:pPr>
      <w:r>
        <w:rPr>
          <w:color w:val="000000"/>
          <w:spacing w:val="0"/>
          <w:w w:val="100"/>
          <w:position w:val="0"/>
        </w:rPr>
        <w:t>项目绩效自评综合</w:t>
      </w:r>
      <w:r>
        <w:rPr>
          <w:color w:val="000000"/>
          <w:spacing w:val="0"/>
          <w:w w:val="100"/>
          <w:position w:val="0"/>
          <w:sz w:val="21"/>
          <w:szCs w:val="21"/>
        </w:rPr>
        <w:t>评分</w:t>
      </w:r>
      <w:r>
        <w:rPr>
          <w:rFonts w:hint="eastAsia"/>
          <w:color w:val="000000"/>
          <w:spacing w:val="0"/>
          <w:w w:val="100"/>
          <w:position w:val="0"/>
          <w:sz w:val="21"/>
          <w:szCs w:val="21"/>
          <w:lang w:val="en-US" w:eastAsia="zh-CN"/>
        </w:rPr>
        <w:t>82.56</w:t>
      </w:r>
      <w:r>
        <w:rPr>
          <w:color w:val="000000"/>
          <w:spacing w:val="0"/>
          <w:w w:val="100"/>
          <w:position w:val="0"/>
          <w:sz w:val="21"/>
          <w:szCs w:val="21"/>
        </w:rPr>
        <w:t>分。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02"/>
        <w:gridCol w:w="1186"/>
        <w:gridCol w:w="1397"/>
        <w:gridCol w:w="138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评价项目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权重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评级分值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本项得分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预算执行情况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20%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20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14.53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项目产出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30.03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项目效益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项目满意度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lef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综合绩效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82.56</w:t>
            </w:r>
          </w:p>
        </w:tc>
      </w:tr>
    </w:tbl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right="0"/>
        <w:jc w:val="both"/>
      </w:pPr>
      <w:bookmarkStart w:id="4" w:name="bookmark4"/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二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</w:t>
      </w:r>
      <w:bookmarkEnd w:id="4"/>
      <w:r>
        <w:rPr>
          <w:color w:val="000000"/>
          <w:spacing w:val="0"/>
          <w:w w:val="100"/>
          <w:position w:val="0"/>
        </w:rPr>
        <w:t>、绩效目标完成情况</w:t>
      </w:r>
    </w:p>
    <w:p>
      <w:pPr>
        <w:pStyle w:val="4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819"/>
        </w:tabs>
        <w:bidi w:val="0"/>
        <w:spacing w:before="0" w:after="0" w:line="450" w:lineRule="exact"/>
        <w:ind w:left="0" w:right="0" w:firstLine="480"/>
        <w:jc w:val="both"/>
      </w:pPr>
      <w:bookmarkStart w:id="5" w:name="bookmark5"/>
      <w:bookmarkEnd w:id="5"/>
      <w:r>
        <w:rPr>
          <w:color w:val="000000"/>
          <w:spacing w:val="0"/>
          <w:w w:val="100"/>
          <w:position w:val="0"/>
        </w:rPr>
        <w:t>执行率情况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default"/>
          <w:sz w:val="24"/>
          <w:szCs w:val="24"/>
          <w:lang w:val="en-US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该项目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资金主要保障辖区退地搬迁项目相关费用的正常发放，满足群众生活的需要</w:t>
      </w:r>
      <w:r>
        <w:rPr>
          <w:color w:val="000000"/>
          <w:spacing w:val="0"/>
          <w:w w:val="100"/>
          <w:position w:val="0"/>
          <w:sz w:val="22"/>
          <w:szCs w:val="22"/>
        </w:rPr>
        <w:t>。</w:t>
      </w:r>
      <w:r>
        <w:rPr>
          <w:color w:val="000000"/>
          <w:spacing w:val="0"/>
          <w:w w:val="100"/>
          <w:position w:val="0"/>
          <w:sz w:val="24"/>
          <w:szCs w:val="24"/>
        </w:rPr>
        <w:t>20</w: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>20</w:t>
      </w:r>
      <w:r>
        <w:rPr>
          <w:color w:val="000000"/>
          <w:spacing w:val="0"/>
          <w:w w:val="100"/>
          <w:position w:val="0"/>
          <w:sz w:val="22"/>
          <w:szCs w:val="22"/>
        </w:rPr>
        <w:t>年项目年初预算为</w:t>
      </w:r>
      <w:r>
        <w:rPr>
          <w:rFonts w:ascii="宋体" w:hAnsi="宋体" w:eastAsia="宋体"/>
          <w:color w:val="000000"/>
          <w:sz w:val="20"/>
        </w:rPr>
        <w:t>1047.45</w:t>
      </w:r>
      <w:r>
        <w:rPr>
          <w:color w:val="000000"/>
          <w:spacing w:val="0"/>
          <w:w w:val="100"/>
          <w:position w:val="0"/>
          <w:sz w:val="22"/>
          <w:szCs w:val="22"/>
        </w:rPr>
        <w:t>万元， 实际支出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761.02</w:t>
      </w:r>
      <w:r>
        <w:rPr>
          <w:color w:val="000000"/>
          <w:spacing w:val="0"/>
          <w:w w:val="100"/>
          <w:position w:val="0"/>
          <w:sz w:val="22"/>
          <w:szCs w:val="22"/>
        </w:rPr>
        <w:t>万元，预算执行率为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highlight w:val="none"/>
          <w:lang w:val="en-US" w:eastAsia="zh-CN"/>
        </w:rPr>
        <w:t>72.65%</w:t>
      </w:r>
      <w:r>
        <w:rPr>
          <w:rFonts w:hint="eastAsia"/>
          <w:highlight w:val="none"/>
          <w:lang w:val="en-US" w:eastAsia="zh-CN"/>
        </w:rPr>
        <w:t>。</w:t>
      </w:r>
    </w:p>
    <w:p>
      <w:pPr>
        <w:pStyle w:val="4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863"/>
        </w:tabs>
        <w:bidi w:val="0"/>
        <w:spacing w:before="0" w:after="0" w:line="456" w:lineRule="exact"/>
        <w:ind w:left="0" w:right="0" w:firstLine="500"/>
        <w:jc w:val="both"/>
      </w:pPr>
      <w:bookmarkStart w:id="6" w:name="bookmark6"/>
      <w:bookmarkEnd w:id="6"/>
      <w:r>
        <w:rPr>
          <w:color w:val="000000"/>
          <w:spacing w:val="0"/>
          <w:w w:val="100"/>
          <w:position w:val="0"/>
        </w:rPr>
        <w:t>完成的绩效目标</w:t>
      </w:r>
    </w:p>
    <w:tbl>
      <w:tblPr>
        <w:tblStyle w:val="2"/>
        <w:tblW w:w="4977" w:type="pct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7"/>
        <w:gridCol w:w="1999"/>
        <w:gridCol w:w="1315"/>
        <w:gridCol w:w="1127"/>
        <w:gridCol w:w="1805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1318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二级指标</w:t>
            </w:r>
          </w:p>
        </w:tc>
        <w:tc>
          <w:tcPr>
            <w:tcW w:w="117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en-US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指标</w:t>
            </w: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(A)</w:t>
            </w:r>
          </w:p>
        </w:tc>
        <w:tc>
          <w:tcPr>
            <w:tcW w:w="664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(B)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8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117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过渡费发放率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大于99%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大于99%</w:t>
            </w:r>
          </w:p>
        </w:tc>
        <w:tc>
          <w:tcPr>
            <w:tcW w:w="106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31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117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发放及时性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(12.5分)</w:t>
            </w:r>
          </w:p>
        </w:tc>
        <w:tc>
          <w:tcPr>
            <w:tcW w:w="77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每月发放</w:t>
            </w:r>
          </w:p>
        </w:tc>
        <w:tc>
          <w:tcPr>
            <w:tcW w:w="66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及时发放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12.5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1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社会稳定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(12.5分)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保持稳定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保持稳定</w:t>
            </w:r>
          </w:p>
        </w:tc>
        <w:tc>
          <w:tcPr>
            <w:tcW w:w="10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12.5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1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政府公信力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有所提升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有所提升</w:t>
            </w:r>
          </w:p>
        </w:tc>
        <w:tc>
          <w:tcPr>
            <w:tcW w:w="10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可持续影响指标</w:t>
            </w:r>
          </w:p>
        </w:tc>
        <w:tc>
          <w:tcPr>
            <w:tcW w:w="1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费用发放正常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持续正常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持续正常</w:t>
            </w:r>
          </w:p>
        </w:tc>
        <w:tc>
          <w:tcPr>
            <w:tcW w:w="10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</w:tbl>
    <w:p>
      <w:pPr>
        <w:pStyle w:val="4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863"/>
        </w:tabs>
        <w:bidi w:val="0"/>
        <w:spacing w:before="0" w:after="0" w:line="456" w:lineRule="exact"/>
        <w:ind w:left="500" w:leftChars="0" w:right="0" w:rightChars="0"/>
        <w:jc w:val="both"/>
      </w:pPr>
    </w:p>
    <w:p>
      <w:pPr>
        <w:pStyle w:val="4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863"/>
        </w:tabs>
        <w:bidi w:val="0"/>
        <w:spacing w:before="0" w:after="0" w:line="456" w:lineRule="exact"/>
        <w:ind w:right="0" w:rightChars="0"/>
        <w:jc w:val="both"/>
      </w:pPr>
    </w:p>
    <w:p>
      <w:pPr>
        <w:pStyle w:val="4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863"/>
        </w:tabs>
        <w:bidi w:val="0"/>
        <w:spacing w:before="0" w:after="0" w:line="456" w:lineRule="exact"/>
        <w:ind w:left="500" w:leftChars="0" w:right="0" w:rightChars="0"/>
        <w:jc w:val="both"/>
      </w:pPr>
      <w:r>
        <w:rPr>
          <w:rFonts w:hint="eastAsia"/>
          <w:lang w:val="en-US" w:eastAsia="zh-CN"/>
        </w:rPr>
        <w:t>3.未完成的绩效目标</w:t>
      </w:r>
    </w:p>
    <w:tbl>
      <w:tblPr>
        <w:tblStyle w:val="2"/>
        <w:tblW w:w="4886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4"/>
        <w:gridCol w:w="2096"/>
        <w:gridCol w:w="1498"/>
        <w:gridCol w:w="1670"/>
        <w:gridCol w:w="9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bookmarkStart w:id="7" w:name="bookmark8"/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二级指标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指标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数量指标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过渡费发放户数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724户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18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364户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5.03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000000"/>
                <w:position w:val="0"/>
                <w:sz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满意度指标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群众满意度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≤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95</w:t>
            </w:r>
            <w:r>
              <w:rPr>
                <w:rFonts w:ascii="宋体" w:hAnsi="宋体" w:eastAsia="宋体"/>
                <w:color w:val="000000"/>
                <w:sz w:val="20"/>
              </w:rPr>
              <w:t>%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18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90</w:t>
            </w:r>
            <w:r>
              <w:rPr>
                <w:rFonts w:ascii="宋体" w:hAnsi="宋体" w:eastAsia="宋体"/>
                <w:color w:val="000000"/>
                <w:sz w:val="20"/>
              </w:rPr>
              <w:t>%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  <w:t>8</w:t>
            </w:r>
          </w:p>
        </w:tc>
      </w:tr>
      <w:bookmarkEnd w:id="7"/>
      <w:tr>
        <w:trPr>
          <w:trHeight w:val="471" w:hRule="atLeast"/>
        </w:trPr>
        <w:tc>
          <w:tcPr>
            <w:tcW w:w="1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费用增加率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(5分)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≤5%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≤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</w:t>
            </w:r>
            <w:r>
              <w:rPr>
                <w:rFonts w:ascii="宋体" w:hAnsi="宋体" w:eastAsia="宋体"/>
                <w:color w:val="000000"/>
                <w:sz w:val="20"/>
              </w:rPr>
              <w:t>5%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ind w:right="0" w:rightChars="0" w:firstLine="440" w:firstLineChars="200"/>
        <w:textAlignment w:val="auto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三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）、</w:t>
      </w:r>
      <w:r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存在的问题和原因</w:t>
      </w:r>
    </w:p>
    <w:p>
      <w:pPr>
        <w:numPr>
          <w:ilvl w:val="0"/>
          <w:numId w:val="0"/>
        </w:numPr>
        <w:ind w:right="0" w:rightChars="0" w:firstLine="440" w:firstLineChars="200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1、</w:t>
      </w:r>
      <w:r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项目预算执行率较低。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其原因为一是年初预算人数有出入，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highlight w:val="none"/>
          <w:u w:val="none"/>
          <w:shd w:val="clear" w:color="auto" w:fill="auto"/>
          <w:lang w:val="en-US" w:eastAsia="zh-CN" w:bidi="zh-TW"/>
        </w:rPr>
        <w:t>其二为付款时，指标串项。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leftChars="0" w:right="0" w:firstLine="440" w:firstLineChars="200"/>
        <w:jc w:val="both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2、指标设定不规范。</w:t>
      </w:r>
      <w:r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部分项目申报时绩效目标较为简单、笼统，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如</w:t>
      </w:r>
      <w:r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社会稳定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、</w:t>
      </w:r>
      <w:r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政府公信力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，为定性指标，不便于量化考核</w:t>
      </w:r>
      <w:r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，导致事后绩效评价缺少科学合理的衡量标准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。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此项目为政策性费用，设置费用增长率不规范。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leftChars="0" w:right="0" w:firstLine="440" w:firstLineChars="200"/>
        <w:jc w:val="both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3、指标目标值设定不规范，如群众</w:t>
      </w: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对拆迁过渡费工作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满意度指标</w:t>
      </w: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leftChars="0" w:right="0" w:firstLine="180" w:firstLineChars="100"/>
        <w:jc w:val="both"/>
        <w:textAlignment w:val="auto"/>
        <w:rPr>
          <w:rFonts w:hint="default"/>
          <w:color w:val="000000"/>
          <w:spacing w:val="0"/>
          <w:w w:val="100"/>
          <w:position w:val="0"/>
          <w:sz w:val="18"/>
          <w:szCs w:val="18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18"/>
          <w:szCs w:val="18"/>
          <w:lang w:val="en-US" w:eastAsia="zh-CN"/>
        </w:rPr>
        <w:t>备注：因会计核算体系的原因，本次考核是依据财政支付体系的数据进行统计。</w:t>
      </w:r>
      <w:bookmarkStart w:id="8" w:name="_GoBack"/>
      <w:bookmarkEnd w:id="8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ind w:left="482" w:leftChars="0" w:right="0" w:rightChars="0" w:firstLine="240" w:firstLineChars="100"/>
        <w:textAlignment w:val="auto"/>
        <w:rPr>
          <w:rFonts w:hint="default"/>
          <w:color w:val="000000"/>
          <w:spacing w:val="0"/>
          <w:w w:val="100"/>
          <w:position w:val="0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520"/>
        <w:jc w:val="both"/>
        <w:textAlignment w:val="auto"/>
        <w:rPr>
          <w:color w:val="000000"/>
          <w:spacing w:val="0"/>
          <w:w w:val="100"/>
          <w:position w:val="0"/>
        </w:rPr>
      </w:pPr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四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）、</w:t>
      </w:r>
      <w:r>
        <w:rPr>
          <w:color w:val="000000"/>
          <w:spacing w:val="0"/>
          <w:w w:val="100"/>
          <w:position w:val="0"/>
        </w:rPr>
        <w:t>建议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leftChars="0" w:right="0" w:firstLine="220" w:firstLineChars="100"/>
        <w:jc w:val="both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</w:pP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1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、建立健全绩效指标体系，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其一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根据自身项目特点，优先选择最能反映绩效管理要求的关键性指标，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尽量少设置</w:t>
      </w: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定性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指标；其二根据项目的正常情况设定目标值，不可超量设置，增加财政负担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leftChars="0" w:right="0" w:firstLine="220" w:firstLineChars="100"/>
        <w:jc w:val="both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</w:pP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2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提高预算绩效管理意识。统一预算编制科目与会计核算科目口径，以便加强预算执行分析，强化财务监控，强化预算刚性约束；建立日常跟踪及考评机制，加强内部监督考评。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/>
          <w:lang w:val="en-US" w:eastAsia="zh-CN"/>
        </w:rPr>
        <w:t>附件：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2020年度拆迁过渡费项目自评表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8ABB9A"/>
    <w:multiLevelType w:val="singleLevel"/>
    <w:tmpl w:val="9C8ABB9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宋体" w:hAnsi="宋体" w:eastAsia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185F5D"/>
    <w:rsid w:val="20CD16CC"/>
    <w:rsid w:val="2F185F5D"/>
    <w:rsid w:val="30A2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5">
    <w:name w:val="Heading #1|1"/>
    <w:basedOn w:val="1"/>
    <w:qFormat/>
    <w:uiPriority w:val="0"/>
    <w:pPr>
      <w:widowControl w:val="0"/>
      <w:shd w:val="clear" w:color="auto" w:fill="auto"/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正文2"/>
    <w:basedOn w:val="8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8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2021-05-28T02:37:00Z</dcterms:created>
  <dc:creator>志</dc:creator>
  <cp:lastModifiedBy>志</cp:lastModifiedBy>
  <dcterms:modified xsi:type="dcterms:W3CDTF">2021-06-02T06:25:34Z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3BA69F11B1B94EE59DEBBF5E27EE3580</vt:lpwstr>
  </property>
</Properties>
</file>