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0"/>
      <w:bookmarkStart w:id="1" w:name="bookmark2"/>
      <w:bookmarkStart w:id="2" w:name="bookmark1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辛安渡办事处2020年小型修缮项目自评报告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一、自评结论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color w:val="000000"/>
          <w:spacing w:val="0"/>
          <w:w w:val="100"/>
          <w:position w:val="0"/>
          <w:sz w:val="22"/>
          <w:szCs w:val="22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  <w:sz w:val="22"/>
          <w:szCs w:val="22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83.84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16.84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88.84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资金主要用于建设辛安渡街道通村道路及配套工程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cs="Times New Roman"/>
          <w:color w:val="000000"/>
          <w:sz w:val="20"/>
          <w:szCs w:val="20"/>
          <w:lang w:val="en-US" w:eastAsia="zh-CN" w:bidi="ar"/>
        </w:rPr>
        <w:t>1000</w:t>
      </w:r>
      <w:r>
        <w:rPr>
          <w:color w:val="000000"/>
          <w:spacing w:val="0"/>
          <w:w w:val="100"/>
          <w:position w:val="0"/>
          <w:sz w:val="22"/>
          <w:szCs w:val="22"/>
        </w:rPr>
        <w:t>万元，实际支出</w:t>
      </w:r>
      <w:r>
        <w:rPr>
          <w:rFonts w:hint="eastAsia" w:ascii="宋体" w:hAnsi="宋体" w:eastAsia="宋体" w:cs="Times New Roman"/>
          <w:color w:val="000000"/>
          <w:sz w:val="20"/>
          <w:szCs w:val="20"/>
          <w:lang w:val="zh-CN" w:eastAsia="en-US" w:bidi="ar"/>
        </w:rPr>
        <w:t>842</w:t>
      </w:r>
      <w:r>
        <w:rPr>
          <w:rFonts w:hint="eastAsia" w:cs="Times New Roman"/>
          <w:color w:val="000000"/>
          <w:sz w:val="20"/>
          <w:szCs w:val="20"/>
          <w:lang w:val="en-US" w:eastAsia="zh-CN" w:bidi="ar"/>
        </w:rPr>
        <w:t>.</w:t>
      </w:r>
      <w:r>
        <w:rPr>
          <w:rFonts w:hint="eastAsia" w:ascii="宋体" w:hAnsi="宋体" w:eastAsia="宋体" w:cs="Times New Roman"/>
          <w:color w:val="000000"/>
          <w:sz w:val="20"/>
          <w:szCs w:val="20"/>
          <w:lang w:val="zh-CN" w:eastAsia="en-US" w:bidi="ar"/>
        </w:rPr>
        <w:t>1</w:t>
      </w:r>
      <w:r>
        <w:rPr>
          <w:rFonts w:hint="eastAsia" w:cs="Times New Roman"/>
          <w:color w:val="000000"/>
          <w:sz w:val="20"/>
          <w:szCs w:val="20"/>
          <w:lang w:val="en-US" w:eastAsia="zh-CN" w:bidi="ar"/>
        </w:rPr>
        <w:t>6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84.22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%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o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268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2203"/>
        <w:gridCol w:w="1315"/>
        <w:gridCol w:w="1172"/>
        <w:gridCol w:w="21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7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17" w:type="pct"/>
            <w:vMerge w:val="restart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szCs w:val="22"/>
                <w:lang w:val="en-US" w:eastAsia="zh-CN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szCs w:val="22"/>
                <w:lang w:val="en-US" w:eastAsia="zh-CN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szCs w:val="22"/>
                <w:lang w:val="en-US" w:eastAsia="zh-CN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  <w:lang w:val="en-US" w:eastAsia="zh-CN"/>
              </w:rPr>
              <w:t>数量指标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道路建设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4公里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4.53公里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17" w:type="pct"/>
            <w:vMerge w:val="continue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管线改造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2.5公里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5.5公里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17" w:type="pct"/>
            <w:vMerge w:val="continue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路灯维修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200盏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200盏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17" w:type="pct"/>
            <w:vMerge w:val="continue"/>
            <w:tcBorders>
              <w:left w:val="single" w:color="auto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新建活动广场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3座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3座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1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按照国家建筑标准验收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≥99.5%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按照国家建筑标准控制成本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≤8%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≤8%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辖区居民满意度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r>
        <w:rPr>
          <w:rFonts w:hint="eastAsia"/>
          <w:lang w:val="en-US" w:eastAsia="zh-CN"/>
        </w:rPr>
        <w:t>未完成目标</w:t>
      </w:r>
    </w:p>
    <w:tbl>
      <w:tblPr>
        <w:tblStyle w:val="2"/>
        <w:tblW w:w="5268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2203"/>
        <w:gridCol w:w="1315"/>
        <w:gridCol w:w="1172"/>
        <w:gridCol w:w="210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1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7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17" w:type="pct"/>
            <w:vMerge w:val="restart"/>
            <w:tcBorders>
              <w:lef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firstLine="600" w:firstLineChars="300"/>
              <w:jc w:val="both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firstLine="600" w:firstLineChars="300"/>
              <w:jc w:val="both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党群服务中心建设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1200㎡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部分未完成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17" w:type="pct"/>
            <w:vMerge w:val="continue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建设举升平台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16台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0台</w:t>
            </w:r>
          </w:p>
        </w:tc>
        <w:tc>
          <w:tcPr>
            <w:tcW w:w="1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1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按年度计划建设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3分）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及时建设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部分未完成</w:t>
            </w:r>
          </w:p>
        </w:tc>
        <w:tc>
          <w:tcPr>
            <w:tcW w:w="117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  <w:t>2</w:t>
            </w:r>
          </w:p>
        </w:tc>
      </w:tr>
    </w:tbl>
    <w:p>
      <w:pPr>
        <w:keepNext w:val="0"/>
        <w:keepLines w:val="0"/>
        <w:widowControl w:val="0"/>
        <w:numPr>
          <w:ilvl w:val="0"/>
          <w:numId w:val="2"/>
        </w:numPr>
        <w:suppressLineNumbers w:val="0"/>
        <w:shd w:val="clear" w:color="auto" w:fill="auto"/>
        <w:spacing w:before="0" w:beforeAutospacing="0" w:after="0" w:afterAutospacing="0"/>
        <w:ind w:leftChars="0" w:right="0" w:rightChars="0"/>
        <w:jc w:val="both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、存在的问题和原因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1.预算执行率未完成，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其原因为支付存在串项的现象；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zh-TW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2.产出指标-数量指标计划目标值为</w:t>
      </w:r>
      <w:r>
        <w:rPr>
          <w:color w:val="000000"/>
          <w:spacing w:val="0"/>
          <w:w w:val="100"/>
          <w:position w:val="0"/>
          <w:sz w:val="22"/>
          <w:szCs w:val="22"/>
        </w:rPr>
        <w:t>党群服务中心建设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1200平方米，实际情况为三合大队建设面积1225.76平方米，因疫情的原因2020年9月开工，2021年1月才完成，故该项得分3分；产出指标-数量指标</w:t>
      </w:r>
      <w:r>
        <w:rPr>
          <w:color w:val="000000"/>
          <w:spacing w:val="0"/>
          <w:w w:val="100"/>
          <w:position w:val="0"/>
          <w:sz w:val="22"/>
          <w:szCs w:val="22"/>
        </w:rPr>
        <w:t>建设举升平台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计划目标值为</w:t>
      </w:r>
      <w:r>
        <w:rPr>
          <w:color w:val="000000"/>
          <w:spacing w:val="0"/>
          <w:w w:val="100"/>
          <w:position w:val="0"/>
          <w:sz w:val="22"/>
          <w:szCs w:val="22"/>
        </w:rPr>
        <w:t>建设举升平台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10台被取消，未及时更改此项绩效指标，故该项得分被扣；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3.因产出指标产出指标-数量指标党群服务中心建设部分未完成，故时效指标-</w:t>
      </w:r>
      <w:r>
        <w:rPr>
          <w:color w:val="000000"/>
          <w:spacing w:val="0"/>
          <w:w w:val="100"/>
          <w:position w:val="0"/>
          <w:sz w:val="22"/>
          <w:szCs w:val="22"/>
        </w:rPr>
        <w:t>按年度计划建设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及时建设，故该项得分2分；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4.项目产出与支出明细不符。由于项目管理结算审计等原因，导致项目产出与项目支出明细不符。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bookmarkStart w:id="7" w:name="bookmark9"/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  <w:bookmarkStart w:id="8" w:name="_GoBack"/>
      <w:bookmarkEnd w:id="8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四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7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1.财政支付时要按照年初预算的指标支付，不得串项；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2.提高绩效目标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绩效管理意识。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统一预算支出与绩效目标的统一，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以便加强预算执行分析，强化财务监控，强化预算刚性约束；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绩效指标变动时要及时更改，实施动态管理，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加强绩效考评基础信息档案管理；完善绩效考评制度，提高全员项目绩效考核意识，建立日常跟踪及考评机制，加强内部监督考评。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附件：2020年度小型修缮项目自评表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456" w:lineRule="exact"/>
        <w:ind w:left="0" w:right="0" w:firstLine="500"/>
        <w:jc w:val="both"/>
        <w:rPr>
          <w:color w:val="000000"/>
          <w:spacing w:val="0"/>
          <w:w w:val="100"/>
          <w:position w:val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1">
    <w:nsid w:val="53F1E54A"/>
    <w:multiLevelType w:val="singleLevel"/>
    <w:tmpl w:val="53F1E54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648AB"/>
    <w:rsid w:val="069B5C7B"/>
    <w:rsid w:val="085B1164"/>
    <w:rsid w:val="0B46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2021-05-28T03:32:00Z</dcterms:created>
  <dc:creator>志</dc:creator>
  <cp:lastModifiedBy>志</cp:lastModifiedBy>
  <dcterms:modified xsi:type="dcterms:W3CDTF">2021-06-02T06:33:56Z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1D1CF96ECD4D4106B3AE9909E27985A4</vt:lpwstr>
  </property>
</Properties>
</file>