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【第三方机构：武汉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正远</w:t>
      </w:r>
      <w:r>
        <w:rPr>
          <w:color w:val="000000"/>
          <w:spacing w:val="0"/>
          <w:w w:val="100"/>
          <w:position w:val="0"/>
        </w:rPr>
        <w:t>有限责任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会计师事务所</w:t>
      </w:r>
      <w:r>
        <w:rPr>
          <w:color w:val="000000"/>
          <w:spacing w:val="0"/>
          <w:w w:val="100"/>
          <w:position w:val="0"/>
        </w:rPr>
        <w:t>】</w:t>
      </w:r>
    </w:p>
    <w:p>
      <w:pPr>
        <w:pStyle w:val="5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1"/>
      <w:bookmarkStart w:id="1" w:name="bookmark2"/>
      <w:bookmarkStart w:id="2" w:name="bookmark0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辛安渡办事处2020年下属二级单位运转经费预算项目</w:t>
      </w:r>
      <w:r>
        <w:rPr>
          <w:color w:val="000000"/>
          <w:spacing w:val="0"/>
          <w:w w:val="100"/>
          <w:position w:val="0"/>
        </w:rPr>
        <w:br w:type="textWrapping"/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自评报告</w:t>
      </w:r>
      <w:bookmarkEnd w:id="0"/>
      <w:bookmarkEnd w:id="1"/>
      <w:bookmarkEnd w:id="2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700" w:line="240" w:lineRule="auto"/>
        <w:ind w:left="0" w:right="0" w:firstLine="0"/>
        <w:jc w:val="center"/>
        <w:rPr>
          <w:color w:val="000000"/>
          <w:spacing w:val="0"/>
          <w:w w:val="100"/>
          <w:position w:val="0"/>
        </w:rPr>
      </w:pPr>
      <w:r>
        <w:rPr>
          <w:color w:val="000000"/>
          <w:spacing w:val="0"/>
          <w:w w:val="100"/>
          <w:position w:val="0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摘要</w:t>
      </w:r>
      <w:r>
        <w:rPr>
          <w:color w:val="000000"/>
          <w:spacing w:val="0"/>
          <w:w w:val="100"/>
          <w:position w:val="0"/>
        </w:rPr>
        <w:t>版）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一、自评结论</w:t>
      </w:r>
      <w:bookmarkStart w:id="3" w:name="bookmark3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color w:val="000000"/>
          <w:spacing w:val="0"/>
          <w:w w:val="100"/>
          <w:position w:val="0"/>
          <w:sz w:val="22"/>
          <w:szCs w:val="22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eastAsia="zh-CN"/>
        </w:rPr>
        <w:t>（</w:t>
      </w:r>
      <w:r>
        <w:rPr>
          <w:color w:val="000000"/>
          <w:spacing w:val="0"/>
          <w:w w:val="100"/>
          <w:position w:val="0"/>
          <w:sz w:val="22"/>
          <w:szCs w:val="22"/>
        </w:rPr>
        <w:t>一</w:t>
      </w:r>
      <w:bookmarkEnd w:id="3"/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eastAsia="zh-CN"/>
        </w:rPr>
        <w:t>）</w:t>
      </w:r>
      <w:r>
        <w:rPr>
          <w:color w:val="000000"/>
          <w:spacing w:val="0"/>
          <w:w w:val="100"/>
          <w:position w:val="0"/>
          <w:sz w:val="22"/>
          <w:szCs w:val="22"/>
        </w:rPr>
        <w:t>、自评得分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  <w:sz w:val="22"/>
          <w:szCs w:val="22"/>
        </w:rPr>
        <w:t>项目绩效自评综合评分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93.27</w:t>
      </w:r>
      <w:r>
        <w:rPr>
          <w:color w:val="000000"/>
          <w:spacing w:val="0"/>
          <w:w w:val="100"/>
          <w:position w:val="0"/>
          <w:sz w:val="22"/>
          <w:szCs w:val="22"/>
        </w:rPr>
        <w:t>分</w:t>
      </w:r>
      <w:r>
        <w:rPr>
          <w:color w:val="000000"/>
          <w:spacing w:val="0"/>
          <w:w w:val="100"/>
          <w:position w:val="0"/>
        </w:rPr>
        <w:t>。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13.94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39.33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8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color w:val="000000"/>
                <w:spacing w:val="0"/>
                <w:w w:val="100"/>
                <w:position w:val="0"/>
                <w:sz w:val="19"/>
                <w:szCs w:val="19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  <w:t>93.27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480"/>
        <w:jc w:val="both"/>
      </w:pPr>
      <w:bookmarkStart w:id="4" w:name="bookmark4"/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二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4"/>
      <w:r>
        <w:rPr>
          <w:color w:val="000000"/>
          <w:spacing w:val="0"/>
          <w:w w:val="100"/>
          <w:position w:val="0"/>
        </w:rPr>
        <w:t>、绩效目标完成情况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0" w:right="0" w:firstLine="480"/>
        <w:jc w:val="both"/>
      </w:pPr>
      <w:bookmarkStart w:id="5" w:name="bookmark5"/>
      <w:bookmarkEnd w:id="5"/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sz w:val="24"/>
          <w:szCs w:val="24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该专项资金项目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主要用于下属二级单位运转经费</w:t>
      </w:r>
      <w:r>
        <w:rPr>
          <w:color w:val="000000"/>
          <w:spacing w:val="0"/>
          <w:w w:val="100"/>
          <w:position w:val="0"/>
          <w:sz w:val="22"/>
          <w:szCs w:val="22"/>
          <w:highlight w:val="none"/>
        </w:rPr>
        <w:t>项目</w:t>
      </w:r>
      <w:r>
        <w:rPr>
          <w:color w:val="000000"/>
          <w:spacing w:val="0"/>
          <w:w w:val="100"/>
          <w:position w:val="0"/>
          <w:sz w:val="22"/>
          <w:szCs w:val="22"/>
        </w:rPr>
        <w:t>。</w:t>
      </w:r>
      <w:r>
        <w:rPr>
          <w:color w:val="000000"/>
          <w:spacing w:val="0"/>
          <w:w w:val="100"/>
          <w:position w:val="0"/>
          <w:sz w:val="24"/>
          <w:szCs w:val="24"/>
        </w:rPr>
        <w:t>20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20</w:t>
      </w:r>
      <w:r>
        <w:rPr>
          <w:color w:val="000000"/>
          <w:spacing w:val="0"/>
          <w:w w:val="100"/>
          <w:position w:val="0"/>
          <w:sz w:val="22"/>
          <w:szCs w:val="22"/>
        </w:rPr>
        <w:t>年项目年初预算为</w:t>
      </w:r>
      <w:r>
        <w:rPr>
          <w:rFonts w:hint="eastAsia" w:ascii="宋体" w:hAnsi="宋体" w:eastAsia="宋体" w:cs="Times New Roman"/>
          <w:color w:val="000000"/>
          <w:sz w:val="20"/>
          <w:szCs w:val="20"/>
          <w:lang w:val="zh-CN" w:eastAsia="en-US" w:bidi="ar"/>
        </w:rPr>
        <w:t>2459.73</w:t>
      </w:r>
      <w:r>
        <w:rPr>
          <w:color w:val="000000"/>
          <w:spacing w:val="0"/>
          <w:w w:val="100"/>
          <w:position w:val="0"/>
          <w:sz w:val="22"/>
          <w:szCs w:val="22"/>
        </w:rPr>
        <w:t>万元， 实际支出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1714.29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69.69</w:t>
      </w:r>
      <w:r>
        <w:rPr>
          <w:color w:val="000000"/>
          <w:spacing w:val="0"/>
          <w:w w:val="100"/>
          <w:position w:val="0"/>
          <w:sz w:val="24"/>
          <w:szCs w:val="24"/>
          <w:lang w:val="en-US" w:eastAsia="en-US" w:bidi="en-US"/>
        </w:rPr>
        <w:t>%</w:t>
      </w:r>
      <w:r>
        <w:rPr>
          <w:color w:val="000000"/>
          <w:spacing w:val="0"/>
          <w:w w:val="100"/>
          <w:position w:val="0"/>
          <w:sz w:val="24"/>
          <w:szCs w:val="24"/>
          <w:vertAlign w:val="subscript"/>
          <w:lang w:val="en-US" w:eastAsia="en-US" w:bidi="en-US"/>
        </w:rPr>
        <w:t>o</w:t>
      </w:r>
    </w:p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0" w:right="0" w:firstLine="500"/>
        <w:jc w:val="both"/>
      </w:pPr>
      <w:bookmarkStart w:id="6" w:name="bookmark6"/>
      <w:bookmarkEnd w:id="6"/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2"/>
        <w:tblW w:w="4639" w:type="pct"/>
        <w:tblInd w:w="612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3"/>
        <w:gridCol w:w="1923"/>
        <w:gridCol w:w="1449"/>
        <w:gridCol w:w="1291"/>
        <w:gridCol w:w="132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  <w:lang w:val="en-US" w:eastAsia="zh-CN"/>
              </w:rPr>
            </w:pPr>
            <w:bookmarkStart w:id="7" w:name="bookmark7"/>
            <w:bookmarkEnd w:id="7"/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产出指标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szCs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环境整治覆盖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16" w:type="pct"/>
            <w:tcBorders>
              <w:top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全覆盖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全覆盖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产出指标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绿化及林业面积（6分）</w:t>
            </w:r>
          </w:p>
        </w:tc>
        <w:tc>
          <w:tcPr>
            <w:tcW w:w="916" w:type="pct"/>
            <w:tcBorders>
              <w:top w:val="single" w:color="auto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210万㎡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598.6万㎡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产出指标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szCs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脱贫户数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达到计划要求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达到计划要求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产出指标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szCs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村湾环境面貌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干净、整洁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干净、整洁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产出指标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szCs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经费拨付使用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合法、合规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合法、合规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产出指标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szCs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农业设施与公共设施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正常运转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正常运转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经济效益指标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szCs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农业经济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8分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促进农业经济发展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促进农业经济发展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社会效益指标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szCs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加强基层党组织建设、居民生活水平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8分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效果明显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效果明显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生态效益指标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szCs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环境卫生水平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7分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明显提高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明显提高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可持续影响指标</w:t>
            </w:r>
          </w:p>
        </w:tc>
        <w:tc>
          <w:tcPr>
            <w:tcW w:w="12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szCs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项目机制制度健全、资金有保障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7分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持续性较好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持续性较好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满意度指标</w:t>
            </w:r>
          </w:p>
        </w:tc>
        <w:tc>
          <w:tcPr>
            <w:tcW w:w="1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居民满意度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明显提高</w:t>
            </w:r>
          </w:p>
        </w:tc>
        <w:tc>
          <w:tcPr>
            <w:tcW w:w="8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</w:rPr>
              <w:t>明显提高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</w:tbl>
    <w:p>
      <w:pPr>
        <w:pStyle w:val="4"/>
        <w:keepNext w:val="0"/>
        <w:keepLines w:val="0"/>
        <w:widowControl w:val="0"/>
        <w:numPr>
          <w:ilvl w:val="0"/>
          <w:numId w:val="1"/>
        </w:numPr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未完成的绩效目标</w:t>
      </w:r>
    </w:p>
    <w:tbl>
      <w:tblPr>
        <w:tblStyle w:val="2"/>
        <w:tblW w:w="4637" w:type="pct"/>
        <w:tblInd w:w="629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1"/>
        <w:gridCol w:w="1972"/>
        <w:gridCol w:w="1433"/>
        <w:gridCol w:w="1280"/>
        <w:gridCol w:w="1349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bookmarkStart w:id="8" w:name="bookmark8"/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en-US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指标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8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产出指标</w:t>
            </w:r>
          </w:p>
        </w:tc>
        <w:tc>
          <w:tcPr>
            <w:tcW w:w="1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keepNext w:val="0"/>
              <w:keepLines w:val="0"/>
              <w:suppressLineNumbers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szCs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color w:val="000000"/>
                <w:sz w:val="20"/>
                <w:szCs w:val="20"/>
              </w:rPr>
              <w:t>经费拨付单位数量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val="en-US" w:eastAsia="zh-CN"/>
              </w:rPr>
              <w:t>6分</w:t>
            </w:r>
            <w:r>
              <w:rPr>
                <w:rFonts w:hint="eastAsia" w:ascii="宋体" w:hAnsi="宋体" w:eastAsia="宋体"/>
                <w:color w:val="00000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9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hd w:val="clear" w:color="auto" w:fill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27家</w:t>
            </w:r>
          </w:p>
        </w:tc>
        <w:tc>
          <w:tcPr>
            <w:tcW w:w="8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0"/>
                <w:u w:val="none"/>
                <w:shd w:val="clear" w:color="auto" w:fill="auto"/>
                <w:lang w:val="en-US" w:eastAsia="zh-CN" w:bidi="ar-SA"/>
              </w:rPr>
              <w:t>24家</w:t>
            </w:r>
          </w:p>
        </w:tc>
        <w:tc>
          <w:tcPr>
            <w:tcW w:w="8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5.33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三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8"/>
      <w:r>
        <w:rPr>
          <w:color w:val="000000"/>
          <w:spacing w:val="0"/>
          <w:w w:val="100"/>
          <w:position w:val="0"/>
        </w:rPr>
        <w:t>、存在的问题和原因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highlight w:val="none"/>
          <w:lang w:val="zh-TW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1.预算执行率未完成，其原因为年初预算较大和支付存在串项的现象。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highlight w:val="none"/>
          <w:lang w:val="zh-TW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2.</w:t>
      </w:r>
      <w:r>
        <w:rPr>
          <w:rFonts w:hint="default"/>
          <w:color w:val="000000"/>
          <w:spacing w:val="0"/>
          <w:w w:val="100"/>
          <w:position w:val="0"/>
          <w:highlight w:val="none"/>
          <w:lang w:val="zh-CN" w:eastAsia="zh-CN"/>
        </w:rPr>
        <w:t>经费拨付单位数量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年初设定标准值27家，实际完成值24家。原因是未</w:t>
      </w:r>
      <w:r>
        <w:rPr>
          <w:rFonts w:hint="default"/>
          <w:color w:val="000000"/>
          <w:spacing w:val="0"/>
          <w:w w:val="100"/>
          <w:position w:val="0"/>
          <w:highlight w:val="none"/>
          <w:lang w:val="zh-TW" w:eastAsia="zh-TW"/>
        </w:rPr>
        <w:t>根据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上年</w:t>
      </w:r>
      <w:r>
        <w:rPr>
          <w:rFonts w:hint="default"/>
          <w:color w:val="000000"/>
          <w:spacing w:val="0"/>
          <w:w w:val="100"/>
          <w:position w:val="0"/>
          <w:highlight w:val="none"/>
          <w:lang w:val="zh-TW" w:eastAsia="zh-TW"/>
        </w:rPr>
        <w:t>实际情况进行调整，使实际完成值与目标值差异较大</w:t>
      </w:r>
      <w:r>
        <w:rPr>
          <w:rFonts w:hint="eastAsia"/>
          <w:color w:val="000000"/>
          <w:spacing w:val="0"/>
          <w:w w:val="100"/>
          <w:position w:val="0"/>
          <w:highlight w:val="none"/>
          <w:lang w:val="zh-TW" w:eastAsia="zh-CN"/>
        </w:rPr>
        <w:t>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highlight w:val="none"/>
          <w:lang w:val="en-US" w:eastAsia="zh-CN"/>
        </w:rPr>
        <w:t>3.下属二级单位运转经费的财务核算主要由街道的核算中心负责。由于核算体系的原因，预算编制科目与会计核算口径不一致，故本次预算执行率只能依据支付系统来统计，这也造成预算执行率统计不准确。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leftChars="0" w:right="0" w:firstLine="180" w:firstLineChars="100"/>
        <w:jc w:val="both"/>
        <w:textAlignment w:val="auto"/>
        <w:rPr>
          <w:rFonts w:hint="default"/>
          <w:color w:val="000000"/>
          <w:spacing w:val="0"/>
          <w:w w:val="100"/>
          <w:position w:val="0"/>
          <w:highlight w:val="none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备注：因会计核算体系的原因，本次考核是依据财政支付体系的数据进行统计。</w:t>
      </w:r>
      <w:bookmarkStart w:id="10" w:name="_GoBack"/>
      <w:bookmarkEnd w:id="10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6" w:lineRule="exact"/>
        <w:ind w:left="0" w:right="0" w:firstLine="500"/>
        <w:jc w:val="both"/>
      </w:pPr>
      <w:bookmarkStart w:id="9" w:name="bookmark9"/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四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bookmarkEnd w:id="9"/>
      <w:r>
        <w:rPr>
          <w:color w:val="000000"/>
          <w:spacing w:val="0"/>
          <w:w w:val="100"/>
          <w:position w:val="0"/>
        </w:rPr>
        <w:t>、建议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1.规范预算编制，将基层单位的事权与财权紧密结合，强化预算编制的精细化。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lang w:val="zh-TW" w:eastAsia="zh-TW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2.</w:t>
      </w:r>
      <w:r>
        <w:rPr>
          <w:rFonts w:hint="default"/>
          <w:color w:val="000000"/>
          <w:spacing w:val="0"/>
          <w:w w:val="100"/>
          <w:position w:val="0"/>
          <w:lang w:val="zh-TW" w:eastAsia="zh-TW"/>
        </w:rPr>
        <w:t>建立健全绩效指标体系</w:t>
      </w:r>
      <w:r>
        <w:rPr>
          <w:rFonts w:hint="eastAsia"/>
          <w:color w:val="000000"/>
          <w:spacing w:val="0"/>
          <w:w w:val="100"/>
          <w:position w:val="0"/>
          <w:lang w:val="zh-TW" w:eastAsia="zh-CN"/>
        </w:rPr>
        <w:t>。</w:t>
      </w:r>
      <w:r>
        <w:rPr>
          <w:rFonts w:hint="default"/>
          <w:color w:val="000000"/>
          <w:spacing w:val="0"/>
          <w:w w:val="100"/>
          <w:position w:val="0"/>
          <w:lang w:val="zh-TW" w:eastAsia="zh-TW"/>
        </w:rPr>
        <w:t>根据自身项目特点，优先选择最能反映绩效管理要求的关键性指标。增设项目资金投放比重高的业务产出指标</w:t>
      </w:r>
      <w:r>
        <w:rPr>
          <w:rFonts w:hint="eastAsia"/>
          <w:color w:val="000000"/>
          <w:spacing w:val="0"/>
          <w:w w:val="100"/>
          <w:position w:val="0"/>
          <w:lang w:val="zh-TW" w:eastAsia="zh-CN"/>
        </w:rPr>
        <w:t>。</w:t>
      </w:r>
      <w:r>
        <w:rPr>
          <w:rFonts w:hint="default"/>
          <w:color w:val="000000"/>
          <w:spacing w:val="0"/>
          <w:w w:val="100"/>
          <w:position w:val="0"/>
          <w:lang w:val="zh-TW" w:eastAsia="zh-TW"/>
        </w:rPr>
        <w:t>拟减除不重要的</w:t>
      </w:r>
      <w:r>
        <w:rPr>
          <w:rFonts w:hint="default"/>
          <w:color w:val="000000"/>
          <w:spacing w:val="0"/>
          <w:w w:val="100"/>
          <w:position w:val="0"/>
          <w:lang w:val="zh-CN" w:eastAsia="zh-CN"/>
        </w:rPr>
        <w:t>“</w:t>
      </w:r>
      <w:r>
        <w:rPr>
          <w:rFonts w:hint="default"/>
          <w:color w:val="000000"/>
          <w:spacing w:val="0"/>
          <w:w w:val="100"/>
          <w:position w:val="0"/>
          <w:lang w:val="zh-TW" w:eastAsia="zh-TW"/>
        </w:rPr>
        <w:t>项目机制制度健全、资金有保障” 指标，增设项目资金投放比重高的业务产出指标，如：环境整治覆盖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的年初目标值设置为环卫负责清理区域数量。</w:t>
      </w:r>
      <w:r>
        <w:rPr>
          <w:rFonts w:hint="default"/>
          <w:color w:val="000000"/>
          <w:spacing w:val="0"/>
          <w:w w:val="100"/>
          <w:position w:val="0"/>
          <w:lang w:val="zh-TW" w:eastAsia="zh-TW"/>
        </w:rPr>
        <w:t>脱贫户数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应当设置为具体户数。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lang w:val="zh-TW" w:eastAsia="zh-TW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3.</w:t>
      </w:r>
      <w:r>
        <w:rPr>
          <w:rFonts w:hint="default"/>
          <w:color w:val="000000"/>
          <w:spacing w:val="0"/>
          <w:w w:val="100"/>
          <w:position w:val="0"/>
          <w:lang w:val="zh-TW" w:eastAsia="zh-TW"/>
        </w:rPr>
        <w:t>强化绩效目标管理，规范绩效目标编制。各部门编制预算时要结合单位职责、项目实施实际，分解细化工作要求，科学设置绩效目标和相关指标，规范绩效目标编制，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同时将绩效目标的考核纳入办事处年终考核的范围，</w:t>
      </w:r>
      <w:r>
        <w:rPr>
          <w:rFonts w:hint="default"/>
          <w:color w:val="000000"/>
          <w:spacing w:val="0"/>
          <w:w w:val="100"/>
          <w:position w:val="0"/>
          <w:lang w:val="zh-TW" w:eastAsia="zh-TW"/>
        </w:rPr>
        <w:t>加强绩效目标审核，提升绩效目标编制质量。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4.规范预算编制科目与会计核算科目口径一致，将财政所和核算中心核算口径一致，统一管理，以便加强预算执行分析，强化财务监管。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</w:p>
    <w:p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附件：2020年度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zh-CN" w:eastAsia="en-US" w:bidi="zh-TW"/>
        </w:rPr>
        <w:t>下属二级单位运转经费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项目自评表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37D9E"/>
    <w:rsid w:val="03D96E88"/>
    <w:rsid w:val="26A26F9C"/>
    <w:rsid w:val="2FC3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2021-05-28T03:16:00Z</dcterms:created>
  <dc:creator>志</dc:creator>
  <cp:lastModifiedBy>志</cp:lastModifiedBy>
  <dcterms:modified xsi:type="dcterms:W3CDTF">2021-06-02T06:32:46Z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C1301D5F13374E23B1980E8542F096B9</vt:lpwstr>
  </property>
</Properties>
</file>