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340" w:line="240" w:lineRule="auto"/>
        <w:ind w:left="0" w:right="0" w:firstLine="500" w:firstLineChars="0"/>
        <w:jc w:val="left"/>
      </w:pPr>
      <w:r>
        <w:rPr>
          <w:color w:val="000000"/>
          <w:spacing w:val="0"/>
          <w:w w:val="100"/>
          <w:position w:val="0"/>
        </w:rPr>
        <w:t>【第三方机构：武汉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正远</w:t>
      </w:r>
      <w:r>
        <w:rPr>
          <w:color w:val="000000"/>
          <w:spacing w:val="0"/>
          <w:w w:val="100"/>
          <w:position w:val="0"/>
        </w:rPr>
        <w:t>有限责任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会计师事务所</w:t>
      </w:r>
      <w:r>
        <w:rPr>
          <w:color w:val="000000"/>
          <w:spacing w:val="0"/>
          <w:w w:val="100"/>
          <w:position w:val="0"/>
        </w:rPr>
        <w:t>】</w:t>
      </w:r>
    </w:p>
    <w:p>
      <w:pPr>
        <w:pStyle w:val="5"/>
        <w:keepNext/>
        <w:keepLines/>
        <w:widowControl w:val="0"/>
        <w:shd w:val="clear" w:color="auto" w:fill="auto"/>
        <w:bidi w:val="0"/>
        <w:spacing w:before="0"/>
        <w:ind w:left="0" w:right="0" w:firstLine="0"/>
        <w:jc w:val="center"/>
      </w:pPr>
      <w:bookmarkStart w:id="0" w:name="bookmark2"/>
      <w:bookmarkStart w:id="1" w:name="bookmark0"/>
      <w:bookmarkStart w:id="2" w:name="bookmark1"/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辛安渡办事处2020年招商引资专项项目自评报告</w:t>
      </w:r>
      <w:bookmarkEnd w:id="0"/>
      <w:bookmarkEnd w:id="1"/>
      <w:bookmarkEnd w:id="2"/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70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摘要</w:t>
      </w:r>
      <w:r>
        <w:rPr>
          <w:color w:val="000000"/>
          <w:spacing w:val="0"/>
          <w:w w:val="100"/>
          <w:position w:val="0"/>
        </w:rPr>
        <w:t>版）</w:t>
      </w:r>
    </w:p>
    <w:p>
      <w:pPr>
        <w:pStyle w:val="4"/>
        <w:keepNext w:val="0"/>
        <w:keepLines w:val="0"/>
        <w:widowControl w:val="0"/>
        <w:numPr>
          <w:ilvl w:val="0"/>
          <w:numId w:val="1"/>
        </w:numPr>
        <w:shd w:val="clear" w:color="auto" w:fill="auto"/>
        <w:bidi w:val="0"/>
        <w:spacing w:before="0" w:after="180" w:line="240" w:lineRule="auto"/>
        <w:ind w:left="0" w:right="0" w:firstLine="480"/>
        <w:jc w:val="both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bookmarkStart w:id="3" w:name="bookmark3"/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自评结论</w:t>
      </w:r>
    </w:p>
    <w:p>
      <w:pPr>
        <w:pStyle w:val="4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left="480" w:leftChars="0" w:right="0" w:rightChars="0"/>
        <w:jc w:val="both"/>
      </w:pPr>
      <w:r>
        <w:rPr>
          <w:rFonts w:hint="eastAsia"/>
          <w:color w:val="000000"/>
          <w:spacing w:val="0"/>
          <w:w w:val="100"/>
          <w:position w:val="0"/>
          <w:lang w:eastAsia="zh-CN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一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）</w:t>
      </w:r>
      <w:bookmarkEnd w:id="3"/>
      <w:r>
        <w:rPr>
          <w:color w:val="000000"/>
          <w:spacing w:val="0"/>
          <w:w w:val="100"/>
          <w:position w:val="0"/>
        </w:rPr>
        <w:t>、自评得分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480"/>
        <w:jc w:val="both"/>
      </w:pPr>
      <w:r>
        <w:rPr>
          <w:color w:val="000000"/>
          <w:spacing w:val="0"/>
          <w:w w:val="100"/>
          <w:position w:val="0"/>
        </w:rPr>
        <w:t>项目绩效自评综合评分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89.10</w:t>
      </w:r>
      <w:r>
        <w:rPr>
          <w:color w:val="000000"/>
          <w:spacing w:val="0"/>
          <w:w w:val="100"/>
          <w:position w:val="0"/>
        </w:rPr>
        <w:t>分。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02"/>
        <w:gridCol w:w="1186"/>
        <w:gridCol w:w="1397"/>
        <w:gridCol w:w="138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9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评价项目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权重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评级分值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本项得分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预算执行情况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20%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20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11.66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项目产出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40%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40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40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项目效益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30%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30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27.44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项目满意度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lef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4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综合绩效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89.10</w:t>
            </w:r>
          </w:p>
        </w:tc>
      </w:tr>
    </w:tbl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480"/>
        <w:jc w:val="both"/>
      </w:pPr>
      <w:r>
        <w:rPr>
          <w:rFonts w:hint="eastAsia"/>
          <w:color w:val="000000"/>
          <w:spacing w:val="0"/>
          <w:w w:val="100"/>
          <w:position w:val="0"/>
          <w:lang w:eastAsia="zh-CN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二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）</w:t>
      </w:r>
      <w:r>
        <w:rPr>
          <w:color w:val="000000"/>
          <w:spacing w:val="0"/>
          <w:w w:val="100"/>
          <w:position w:val="0"/>
        </w:rPr>
        <w:t>、绩效目标完成情况</w:t>
      </w:r>
    </w:p>
    <w:p>
      <w:pPr>
        <w:pStyle w:val="4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819"/>
        </w:tabs>
        <w:bidi w:val="0"/>
        <w:spacing w:before="0" w:after="0" w:line="450" w:lineRule="exact"/>
        <w:ind w:left="0" w:right="0" w:firstLine="480"/>
        <w:jc w:val="both"/>
      </w:pPr>
      <w:bookmarkStart w:id="4" w:name="bookmark5"/>
      <w:bookmarkEnd w:id="4"/>
      <w:r>
        <w:rPr>
          <w:color w:val="000000"/>
          <w:spacing w:val="0"/>
          <w:w w:val="100"/>
          <w:position w:val="0"/>
        </w:rPr>
        <w:t>执行率情况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rFonts w:hint="default"/>
          <w:sz w:val="24"/>
          <w:szCs w:val="24"/>
          <w:lang w:val="en-US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该专项资金项目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主要用于</w:t>
      </w:r>
      <w:r>
        <w:rPr>
          <w:rFonts w:ascii="宋体" w:hAnsi="宋体" w:eastAsia="宋体"/>
          <w:color w:val="000000"/>
          <w:sz w:val="20"/>
        </w:rPr>
        <w:t>保障社会保险经办机构做好养老保险、失业保险、医疗保险、生育保险、工伤保险等社会保险的参保、征缴等工作</w:t>
      </w:r>
      <w:r>
        <w:rPr>
          <w:rFonts w:hint="eastAsia"/>
          <w:color w:val="000000"/>
          <w:sz w:val="20"/>
          <w:lang w:eastAsia="zh-CN"/>
        </w:rPr>
        <w:t>。</w:t>
      </w:r>
      <w:r>
        <w:rPr>
          <w:color w:val="000000"/>
          <w:spacing w:val="0"/>
          <w:w w:val="100"/>
          <w:position w:val="0"/>
          <w:sz w:val="24"/>
          <w:szCs w:val="24"/>
        </w:rPr>
        <w:t>20</w:t>
      </w:r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t>20</w:t>
      </w:r>
      <w:r>
        <w:rPr>
          <w:color w:val="000000"/>
          <w:spacing w:val="0"/>
          <w:w w:val="100"/>
          <w:position w:val="0"/>
          <w:sz w:val="22"/>
          <w:szCs w:val="22"/>
        </w:rPr>
        <w:t>年项目年初预算为</w:t>
      </w:r>
      <w:r>
        <w:rPr>
          <w:rFonts w:ascii="宋体" w:hAnsi="宋体" w:eastAsia="宋体"/>
          <w:color w:val="000000"/>
          <w:sz w:val="20"/>
        </w:rPr>
        <w:t>2874.43</w:t>
      </w:r>
      <w:r>
        <w:rPr>
          <w:color w:val="000000"/>
          <w:spacing w:val="0"/>
          <w:w w:val="100"/>
          <w:position w:val="0"/>
          <w:sz w:val="22"/>
          <w:szCs w:val="22"/>
        </w:rPr>
        <w:t>万元， 实际支出</w:t>
      </w:r>
      <w:r>
        <w:rPr>
          <w:rFonts w:hint="eastAsia" w:ascii="宋体" w:hAnsi="宋体" w:eastAsia="宋体"/>
          <w:color w:val="000000"/>
          <w:sz w:val="20"/>
        </w:rPr>
        <w:t>1675</w:t>
      </w:r>
      <w:r>
        <w:rPr>
          <w:rFonts w:hint="eastAsia"/>
          <w:color w:val="000000"/>
          <w:sz w:val="20"/>
          <w:lang w:val="en-US" w:eastAsia="zh-CN"/>
        </w:rPr>
        <w:t>.</w:t>
      </w:r>
      <w:r>
        <w:rPr>
          <w:rFonts w:hint="eastAsia" w:ascii="宋体" w:hAnsi="宋体" w:eastAsia="宋体"/>
          <w:color w:val="000000"/>
          <w:sz w:val="20"/>
        </w:rPr>
        <w:t>5</w:t>
      </w:r>
      <w:r>
        <w:rPr>
          <w:rFonts w:hint="eastAsia"/>
          <w:color w:val="000000"/>
          <w:sz w:val="20"/>
          <w:lang w:val="en-US" w:eastAsia="zh-CN"/>
        </w:rPr>
        <w:t>9</w:t>
      </w:r>
      <w:r>
        <w:rPr>
          <w:color w:val="000000"/>
          <w:spacing w:val="0"/>
          <w:w w:val="100"/>
          <w:position w:val="0"/>
          <w:sz w:val="22"/>
          <w:szCs w:val="22"/>
        </w:rPr>
        <w:t>万元，预算执行率为</w:t>
      </w:r>
      <w:r>
        <w:rPr>
          <w:rFonts w:hint="eastAsia"/>
          <w:lang w:val="en-US" w:eastAsia="zh-CN"/>
        </w:rPr>
        <w:t>58.29%。</w:t>
      </w:r>
    </w:p>
    <w:p>
      <w:pPr>
        <w:pStyle w:val="4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863"/>
        </w:tabs>
        <w:bidi w:val="0"/>
        <w:spacing w:before="0" w:after="0" w:line="456" w:lineRule="exact"/>
        <w:ind w:left="0" w:right="0" w:firstLine="500"/>
        <w:jc w:val="both"/>
      </w:pPr>
      <w:bookmarkStart w:id="5" w:name="bookmark6"/>
      <w:bookmarkEnd w:id="5"/>
      <w:r>
        <w:rPr>
          <w:color w:val="000000"/>
          <w:spacing w:val="0"/>
          <w:w w:val="100"/>
          <w:position w:val="0"/>
        </w:rPr>
        <w:t>完成的绩效目标</w:t>
      </w:r>
    </w:p>
    <w:tbl>
      <w:tblPr>
        <w:tblStyle w:val="2"/>
        <w:tblW w:w="5255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9"/>
        <w:gridCol w:w="2201"/>
        <w:gridCol w:w="1316"/>
        <w:gridCol w:w="1172"/>
        <w:gridCol w:w="2069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122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指标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115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bookmarkStart w:id="6" w:name="bookmark7"/>
            <w:bookmarkEnd w:id="6"/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12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参保率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(10分)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≥99%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zh-CN" w:bidi="en-US"/>
              </w:rPr>
              <w:t>100%</w:t>
            </w:r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12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提供就业岗位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(10分)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≥200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783</w:t>
            </w:r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12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农垦养老保险单位匹配情况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(6分)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≥99%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12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农垦养老保险个人缴费情况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(8分)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≥99%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</w:p>
        </w:tc>
        <w:tc>
          <w:tcPr>
            <w:tcW w:w="12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农垦养老保险参保时长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(6分)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≥12个月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12个月</w:t>
            </w:r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可持续影响指标</w:t>
            </w:r>
          </w:p>
        </w:tc>
        <w:tc>
          <w:tcPr>
            <w:tcW w:w="12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保障农垦职工社保单位匹配部分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(15分)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保障正常匹配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保障单位匹配正常</w:t>
            </w:r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12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农垦职工满意度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(10分)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≥99%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≥99%</w:t>
            </w:r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</w:tbl>
    <w:p>
      <w:pPr>
        <w:pStyle w:val="4"/>
        <w:keepNext w:val="0"/>
        <w:keepLines w:val="0"/>
        <w:widowControl w:val="0"/>
        <w:numPr>
          <w:ilvl w:val="0"/>
          <w:numId w:val="2"/>
        </w:numPr>
        <w:shd w:val="clear" w:color="auto" w:fill="auto"/>
        <w:bidi w:val="0"/>
        <w:spacing w:before="0" w:after="0" w:line="461" w:lineRule="exact"/>
        <w:ind w:left="0" w:right="0" w:firstLine="500"/>
        <w:jc w:val="both"/>
      </w:pPr>
      <w:r>
        <w:rPr>
          <w:color w:val="000000"/>
          <w:spacing w:val="0"/>
          <w:w w:val="100"/>
          <w:position w:val="0"/>
        </w:rPr>
        <w:t>未完成的绩效目标</w:t>
      </w:r>
    </w:p>
    <w:tbl>
      <w:tblPr>
        <w:tblStyle w:val="2"/>
        <w:tblW w:w="5255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9"/>
        <w:gridCol w:w="2201"/>
        <w:gridCol w:w="1316"/>
        <w:gridCol w:w="1172"/>
        <w:gridCol w:w="2069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122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指标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115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bookmarkStart w:id="7" w:name="bookmark8"/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122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en-US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带动就业增长率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(15分)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≥99%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both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zh-CN" w:bidi="en-US"/>
              </w:rPr>
              <w:t>82.95%</w:t>
            </w:r>
          </w:p>
        </w:tc>
        <w:tc>
          <w:tcPr>
            <w:tcW w:w="115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  <w:t>12.44</w:t>
            </w:r>
          </w:p>
        </w:tc>
      </w:tr>
    </w:tbl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right="0"/>
        <w:jc w:val="both"/>
        <w:rPr>
          <w:color w:val="000000"/>
          <w:spacing w:val="0"/>
          <w:w w:val="100"/>
          <w:position w:val="0"/>
        </w:rPr>
      </w:pPr>
    </w:p>
    <w:bookmarkEnd w:id="7"/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hd w:val="clear" w:color="auto" w:fill="auto"/>
        <w:spacing w:before="0" w:beforeAutospacing="0" w:after="0" w:afterAutospacing="0"/>
        <w:ind w:leftChars="0" w:right="0" w:rightChars="0"/>
        <w:jc w:val="left"/>
        <w:rPr>
          <w:rFonts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  <w:t>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三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  <w:t>）、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存在的问题和原因</w:t>
      </w:r>
    </w:p>
    <w:p>
      <w:pPr>
        <w:pStyle w:val="4"/>
        <w:keepNext w:val="0"/>
        <w:keepLines w:val="0"/>
        <w:widowControl w:val="0"/>
        <w:numPr>
          <w:ilvl w:val="0"/>
          <w:numId w:val="3"/>
        </w:numPr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rFonts w:hint="default"/>
          <w:color w:val="000000"/>
          <w:spacing w:val="0"/>
          <w:w w:val="100"/>
          <w:position w:val="0"/>
          <w:sz w:val="22"/>
          <w:szCs w:val="22"/>
          <w:lang w:val="zh-TW" w:eastAsia="zh-TW"/>
        </w:rPr>
      </w:pPr>
      <w:r>
        <w:rPr>
          <w:rFonts w:hint="default"/>
          <w:color w:val="000000"/>
          <w:spacing w:val="0"/>
          <w:w w:val="100"/>
          <w:position w:val="0"/>
          <w:sz w:val="22"/>
          <w:szCs w:val="22"/>
          <w:lang w:val="zh-TW" w:eastAsia="zh-TW"/>
        </w:rPr>
        <w:t>项目预算执行率较低。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由于疫情的原因，国家减税降负，减少了养老保险的缴费金额，造成项目执行率过低。同时存在，</w:t>
      </w:r>
      <w:r>
        <w:rPr>
          <w:rFonts w:hint="default"/>
          <w:color w:val="000000"/>
          <w:spacing w:val="0"/>
          <w:w w:val="100"/>
          <w:position w:val="0"/>
          <w:sz w:val="22"/>
          <w:szCs w:val="22"/>
          <w:lang w:val="zh-TW" w:eastAsia="zh-TW"/>
        </w:rPr>
        <w:t>未按照规定用途使用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项目</w:t>
      </w:r>
      <w:r>
        <w:rPr>
          <w:rFonts w:hint="default"/>
          <w:color w:val="000000"/>
          <w:spacing w:val="0"/>
          <w:w w:val="100"/>
          <w:position w:val="0"/>
          <w:sz w:val="22"/>
          <w:szCs w:val="22"/>
          <w:lang w:val="zh-TW" w:eastAsia="zh-TW"/>
        </w:rPr>
        <w:t>资金。部分基本支出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和其他项目</w:t>
      </w:r>
      <w:r>
        <w:rPr>
          <w:rFonts w:hint="default"/>
          <w:color w:val="000000"/>
          <w:spacing w:val="0"/>
          <w:w w:val="100"/>
          <w:position w:val="0"/>
          <w:sz w:val="22"/>
          <w:szCs w:val="22"/>
          <w:lang w:val="zh-TW" w:eastAsia="zh-TW"/>
        </w:rPr>
        <w:t>挤占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本</w:t>
      </w:r>
      <w:r>
        <w:rPr>
          <w:rFonts w:hint="default"/>
          <w:color w:val="000000"/>
          <w:spacing w:val="0"/>
          <w:w w:val="100"/>
          <w:position w:val="0"/>
          <w:sz w:val="22"/>
          <w:szCs w:val="22"/>
          <w:lang w:val="zh-TW" w:eastAsia="zh-TW"/>
        </w:rPr>
        <w:t>项目经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费</w:t>
      </w:r>
      <w:r>
        <w:rPr>
          <w:rFonts w:hint="default"/>
          <w:color w:val="000000"/>
          <w:spacing w:val="0"/>
          <w:w w:val="100"/>
          <w:position w:val="0"/>
          <w:sz w:val="22"/>
          <w:szCs w:val="22"/>
          <w:lang w:val="zh-TW" w:eastAsia="zh-TW"/>
        </w:rPr>
        <w:t>。</w:t>
      </w:r>
    </w:p>
    <w:p>
      <w:pPr>
        <w:pStyle w:val="4"/>
        <w:keepNext w:val="0"/>
        <w:keepLines w:val="0"/>
        <w:widowControl w:val="0"/>
        <w:numPr>
          <w:ilvl w:val="0"/>
          <w:numId w:val="3"/>
        </w:numPr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rFonts w:hint="default"/>
          <w:color w:val="000000"/>
          <w:spacing w:val="0"/>
          <w:w w:val="100"/>
          <w:position w:val="0"/>
          <w:sz w:val="22"/>
          <w:szCs w:val="22"/>
          <w:lang w:val="zh-TW" w:eastAsia="zh-TW"/>
        </w:rPr>
      </w:pPr>
      <w:r>
        <w:rPr>
          <w:rFonts w:hint="default"/>
          <w:color w:val="000000"/>
          <w:spacing w:val="0"/>
          <w:w w:val="100"/>
          <w:position w:val="0"/>
          <w:sz w:val="22"/>
          <w:szCs w:val="22"/>
          <w:lang w:val="zh-TW" w:eastAsia="zh-TW"/>
        </w:rPr>
        <w:t>社会效益指标带动就业增长率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未完成，主要为疫情的原因，企业未全面恢复生产产能，造成就业率下降</w:t>
      </w:r>
      <w:r>
        <w:rPr>
          <w:rFonts w:hint="eastAsia"/>
          <w:color w:val="000000"/>
          <w:sz w:val="20"/>
          <w:lang w:val="en-US" w:eastAsia="zh-CN"/>
        </w:rPr>
        <w:t>。</w:t>
      </w:r>
    </w:p>
    <w:p>
      <w:pPr>
        <w:pStyle w:val="4"/>
        <w:keepNext w:val="0"/>
        <w:keepLines w:val="0"/>
        <w:widowControl w:val="0"/>
        <w:numPr>
          <w:ilvl w:val="0"/>
          <w:numId w:val="3"/>
        </w:numPr>
        <w:shd w:val="clear" w:color="auto" w:fill="auto"/>
        <w:bidi w:val="0"/>
        <w:spacing w:before="0" w:after="0" w:line="450" w:lineRule="exact"/>
        <w:ind w:left="0" w:leftChars="0" w:right="0" w:firstLine="500" w:firstLineChars="0"/>
        <w:jc w:val="both"/>
        <w:rPr>
          <w:rFonts w:hint="eastAsia"/>
          <w:color w:val="000000"/>
          <w:spacing w:val="0"/>
          <w:w w:val="100"/>
          <w:position w:val="0"/>
          <w:sz w:val="22"/>
          <w:szCs w:val="22"/>
          <w:highlight w:val="none"/>
          <w:lang w:val="en-US" w:eastAsia="zh-CN"/>
        </w:rPr>
      </w:pPr>
      <w:r>
        <w:rPr>
          <w:rFonts w:hint="default"/>
          <w:color w:val="000000"/>
          <w:spacing w:val="0"/>
          <w:w w:val="100"/>
          <w:position w:val="0"/>
          <w:sz w:val="22"/>
          <w:szCs w:val="22"/>
          <w:lang w:val="zh-TW" w:eastAsia="zh-TW"/>
        </w:rPr>
        <w:t>项目绩效目标编制不规范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zh-TW" w:eastAsia="zh-CN"/>
        </w:rPr>
        <w:t>，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不合理</w:t>
      </w:r>
      <w:r>
        <w:rPr>
          <w:rFonts w:hint="default"/>
          <w:color w:val="000000"/>
          <w:spacing w:val="0"/>
          <w:w w:val="100"/>
          <w:position w:val="0"/>
          <w:sz w:val="22"/>
          <w:szCs w:val="22"/>
          <w:lang w:val="zh-TW" w:eastAsia="zh-TW"/>
        </w:rPr>
        <w:t>。在指导项目实施方面的可操作性不强，导致事后绩效评价缺少科学合理的衡量标准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highlight w:val="none"/>
          <w:lang w:val="zh-TW" w:eastAsia="zh-CN"/>
        </w:rPr>
        <w:t>。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highlight w:val="none"/>
          <w:lang w:val="en-US" w:eastAsia="zh-CN"/>
        </w:rPr>
        <w:t>如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highlight w:val="none"/>
          <w:lang w:val="zh-TW" w:eastAsia="zh-TW"/>
        </w:rPr>
        <w:t>保障农垦职工社保单位匹配部分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highlight w:val="none"/>
          <w:lang w:val="en-US" w:eastAsia="zh-CN"/>
        </w:rPr>
        <w:t>与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highlight w:val="none"/>
          <w:lang w:val="zh-TW" w:eastAsia="zh-TW"/>
        </w:rPr>
        <w:t>农垦养老保险单位匹配情况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highlight w:val="none"/>
          <w:lang w:val="en-US" w:eastAsia="zh-CN"/>
        </w:rPr>
        <w:t>存在重合情况。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leftChars="0" w:right="0" w:firstLine="180" w:firstLineChars="100"/>
        <w:jc w:val="both"/>
        <w:textAlignment w:val="auto"/>
        <w:rPr>
          <w:rFonts w:hint="eastAsia"/>
          <w:color w:val="000000"/>
          <w:spacing w:val="0"/>
          <w:w w:val="100"/>
          <w:position w:val="0"/>
          <w:sz w:val="22"/>
          <w:szCs w:val="22"/>
          <w:highlight w:val="none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sz w:val="18"/>
          <w:szCs w:val="18"/>
          <w:lang w:val="en-US" w:eastAsia="zh-CN"/>
        </w:rPr>
        <w:t>备注：因会计核算体系的原因，本次考核是依据财政支付体系的数据进行统计。</w:t>
      </w:r>
      <w:bookmarkStart w:id="8" w:name="_GoBack"/>
      <w:bookmarkEnd w:id="8"/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leftChars="0" w:right="0" w:firstLine="0" w:firstLineChars="0"/>
        <w:jc w:val="both"/>
        <w:rPr>
          <w:color w:val="000000"/>
          <w:spacing w:val="0"/>
          <w:w w:val="100"/>
          <w:position w:val="0"/>
        </w:rPr>
      </w:pPr>
      <w:r>
        <w:rPr>
          <w:rFonts w:hint="eastAsia"/>
          <w:color w:val="000000"/>
          <w:spacing w:val="0"/>
          <w:w w:val="100"/>
          <w:position w:val="0"/>
          <w:lang w:eastAsia="zh-CN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四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）、</w:t>
      </w:r>
      <w:r>
        <w:rPr>
          <w:color w:val="000000"/>
          <w:spacing w:val="0"/>
          <w:w w:val="100"/>
          <w:position w:val="0"/>
        </w:rPr>
        <w:t>建议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rFonts w:hint="default"/>
          <w:color w:val="000000"/>
          <w:spacing w:val="0"/>
          <w:w w:val="100"/>
          <w:position w:val="0"/>
          <w:sz w:val="22"/>
          <w:szCs w:val="22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1.</w:t>
      </w:r>
      <w:r>
        <w:rPr>
          <w:rFonts w:hint="default"/>
          <w:color w:val="000000"/>
          <w:spacing w:val="0"/>
          <w:w w:val="100"/>
          <w:position w:val="0"/>
          <w:sz w:val="22"/>
          <w:szCs w:val="22"/>
          <w:lang w:val="zh-TW" w:eastAsia="zh-TW"/>
        </w:rPr>
        <w:t>建立健全绩效指标体系。根据自身项目特点合理设定指标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zh-TW" w:eastAsia="zh-CN"/>
        </w:rPr>
        <w:t>，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类似指标在不同的口径重复设置。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rFonts w:hint="default"/>
          <w:color w:val="000000"/>
          <w:spacing w:val="0"/>
          <w:w w:val="100"/>
          <w:position w:val="0"/>
          <w:sz w:val="22"/>
          <w:szCs w:val="22"/>
          <w:lang w:val="zh-TW" w:eastAsia="zh-TW"/>
        </w:rPr>
      </w:pP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2.</w:t>
      </w:r>
      <w:r>
        <w:rPr>
          <w:rFonts w:hint="default"/>
          <w:color w:val="000000"/>
          <w:spacing w:val="0"/>
          <w:w w:val="100"/>
          <w:position w:val="0"/>
          <w:sz w:val="22"/>
          <w:szCs w:val="22"/>
          <w:lang w:val="zh-TW" w:eastAsia="zh-TW"/>
        </w:rPr>
        <w:t>提高预算绩效管理意识。统一预算编制与会计核算口径，以便加强预算执行分析，强化财务监控，强化预算刚性约束。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6" w:lineRule="exact"/>
        <w:ind w:left="0" w:right="0" w:firstLine="500"/>
        <w:jc w:val="both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3.积极采用国家的创业机制，扶持创业，带动就业。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leftChars="0" w:right="0" w:firstLine="0" w:firstLineChars="0"/>
        <w:jc w:val="both"/>
        <w:rPr>
          <w:rFonts w:hint="default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附件：</w:t>
      </w:r>
      <w:r>
        <w:rPr>
          <w:rFonts w:hint="eastAsia"/>
          <w:lang w:val="en-US" w:eastAsia="zh-CN"/>
        </w:rPr>
        <w:t>2020年度农垦养老保险项目自评表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9B4135"/>
    <w:multiLevelType w:val="singleLevel"/>
    <w:tmpl w:val="959B413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C7C4E98"/>
    <w:multiLevelType w:val="singleLevel"/>
    <w:tmpl w:val="BC7C4E98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rFonts w:ascii="宋体" w:hAnsi="宋体" w:eastAsia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C0C6C"/>
    <w:rsid w:val="11F96F20"/>
    <w:rsid w:val="246B6DD8"/>
    <w:rsid w:val="4E5C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5">
    <w:name w:val="Heading #1|1"/>
    <w:basedOn w:val="1"/>
    <w:qFormat/>
    <w:uiPriority w:val="0"/>
    <w:pPr>
      <w:widowControl w:val="0"/>
      <w:shd w:val="clear" w:color="auto" w:fill="auto"/>
      <w:spacing w:after="180" w:line="499" w:lineRule="exact"/>
      <w:jc w:val="center"/>
      <w:outlineLvl w:val="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7">
    <w:name w:val="正文2"/>
    <w:basedOn w:val="8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8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2021-05-28T02:54:00Z</dcterms:created>
  <dc:creator>志</dc:creator>
  <cp:lastModifiedBy>志</cp:lastModifiedBy>
  <dcterms:modified xsi:type="dcterms:W3CDTF">2021-06-02T06:28:13Z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847B0241249E498A9871BE87871C8636</vt:lpwstr>
  </property>
</Properties>
</file>