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2020年度长湖丽园项目自评表</w:t>
      </w:r>
    </w:p>
    <w:p>
      <w:pPr>
        <w:pStyle w:val="4"/>
        <w:widowControl/>
        <w:rPr>
          <w:lang w:val="en-US" w:bidi="ar"/>
        </w:rPr>
      </w:pPr>
      <w:r>
        <w:rPr>
          <w:lang w:eastAsia="zh-CN"/>
        </w:rPr>
        <w:t>单位名称</w:t>
      </w:r>
      <w:r>
        <w:rPr>
          <w:lang w:val="en-US"/>
        </w:rPr>
        <w:t xml:space="preserve">: </w:t>
      </w:r>
      <w:r>
        <w:rPr>
          <w:lang w:eastAsia="zh-CN"/>
        </w:rPr>
        <w:t>武汉市东西湖区人民政府辛安渡街道办事处</w:t>
      </w:r>
      <w:r>
        <w:rPr>
          <w:lang w:val="en-US" w:bidi="ar"/>
        </w:rPr>
        <w:t xml:space="preserve">                </w:t>
      </w:r>
      <w:r>
        <w:rPr>
          <w:lang w:eastAsia="zh-CN" w:bidi="ar"/>
        </w:rPr>
        <w:t>填报日期</w:t>
      </w:r>
      <w:r>
        <w:rPr>
          <w:lang w:val="en-US" w:bidi="ar"/>
        </w:rPr>
        <w:t>:</w:t>
      </w:r>
    </w:p>
    <w:tbl>
      <w:tblPr>
        <w:tblStyle w:val="2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105"/>
        <w:gridCol w:w="1224"/>
        <w:gridCol w:w="165"/>
        <w:gridCol w:w="684"/>
        <w:gridCol w:w="484"/>
        <w:gridCol w:w="749"/>
        <w:gridCol w:w="573"/>
        <w:gridCol w:w="193"/>
        <w:gridCol w:w="275"/>
        <w:gridCol w:w="926"/>
        <w:gridCol w:w="1653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3808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等线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等线"/>
                <w:color w:val="000000"/>
                <w:sz w:val="24"/>
                <w:szCs w:val="24"/>
                <w:lang w:val="en-US" w:eastAsia="zh-CN"/>
              </w:rPr>
              <w:t>长湖丽园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主管部门</w:t>
            </w:r>
          </w:p>
        </w:tc>
        <w:tc>
          <w:tcPr>
            <w:tcW w:w="114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4"/>
                <w:lang w:val="en-US" w:eastAsia="zh-CN" w:bidi="ar"/>
              </w:rPr>
              <w:t>武汉市东西湖区人民政府辛安渡街道办事处</w:t>
            </w:r>
          </w:p>
        </w:tc>
        <w:tc>
          <w:tcPr>
            <w:tcW w:w="10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项目实施单位</w:t>
            </w:r>
          </w:p>
        </w:tc>
        <w:tc>
          <w:tcPr>
            <w:tcW w:w="156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经济服务办公室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项目类别</w:t>
            </w:r>
          </w:p>
        </w:tc>
        <w:tc>
          <w:tcPr>
            <w:tcW w:w="3808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1、部门预算项目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 区直专项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项目属性</w:t>
            </w:r>
          </w:p>
        </w:tc>
        <w:tc>
          <w:tcPr>
            <w:tcW w:w="3808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1、持续性项目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2、新增性项目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项目类型</w:t>
            </w:r>
          </w:p>
        </w:tc>
        <w:tc>
          <w:tcPr>
            <w:tcW w:w="3808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1、常年性项目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2、延续性项目 ☐ 3、一次性项目 ☐   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9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（20分）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预算数（A）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执行数（B）</w:t>
            </w:r>
          </w:p>
        </w:tc>
        <w:tc>
          <w:tcPr>
            <w:tcW w:w="7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执行率（B/A）</w:t>
            </w: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9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支出总额</w:t>
            </w: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12155.81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10143.31</w:t>
            </w:r>
          </w:p>
        </w:tc>
        <w:tc>
          <w:tcPr>
            <w:tcW w:w="7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83.44%</w:t>
            </w: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16.69分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分)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7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8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产出指标</w:t>
            </w:r>
          </w:p>
        </w:tc>
        <w:tc>
          <w:tcPr>
            <w:tcW w:w="764" w:type="pct"/>
            <w:gridSpan w:val="2"/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/>
              </w:rPr>
              <w:t>项目总建筑面积130068.98平方米，建设主要内容有建设16栋10层至12层住宅楼，3栋1层配电房、1栋1层开闭所，配套建设给排水系统工程，供电、弱电、消防系统工程、道路及广场工程、绿化工程等。</w:t>
            </w:r>
            <w:r>
              <w:rPr>
                <w:rFonts w:hint="eastAsia" w:eastAsia="宋体"/>
                <w:lang w:val="en-US" w:eastAsia="zh-CN"/>
              </w:rPr>
              <w:t>(10分)</w:t>
            </w:r>
          </w:p>
        </w:tc>
        <w:tc>
          <w:tcPr>
            <w:tcW w:w="572" w:type="pct"/>
            <w:gridSpan w:val="3"/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1项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 w:color="auto" w:fill="auto"/>
              <w:bidi w:val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16栋10层至12层住宅楼，3栋1层配电房、1栋1层开闭所</w:t>
            </w:r>
            <w:r>
              <w:rPr>
                <w:rFonts w:hint="eastAsia" w:eastAsia="宋体"/>
                <w:lang w:val="en-US" w:eastAsia="zh-CN"/>
              </w:rPr>
              <w:t>已完成</w:t>
            </w: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7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按照国家建筑标准验收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≥99.5%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7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按照国家建筑标准完成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≤2年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2.7年</w:t>
            </w: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7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按照国家建筑标准控制成本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≤8%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6.44%</w:t>
            </w: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8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</w:p>
        </w:tc>
        <w:tc>
          <w:tcPr>
            <w:tcW w:w="7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社会</w:t>
            </w: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提升辖区内居民生产生活标准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7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可持续影响指标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提升辖区内居民生产生活标准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≥5年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≥5年</w:t>
            </w: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满意度指标</w:t>
            </w:r>
          </w:p>
        </w:tc>
        <w:tc>
          <w:tcPr>
            <w:tcW w:w="7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辖区居民满意度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≥90%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≥90%</w:t>
            </w: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总分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7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10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9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</w:p>
    <w:tbl>
      <w:tblPr>
        <w:tblStyle w:val="2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50" w:lineRule="exact"/>
              <w:ind w:left="0" w:right="0" w:firstLine="50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1.因疫情原因导致工程进度审核缓慢，导致本项目的执行率偏低。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50" w:lineRule="exact"/>
              <w:ind w:left="0" w:right="0" w:firstLine="50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2.财务支付存在串项事项。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leftChars="0" w:right="0" w:firstLine="180" w:firstLineChars="100"/>
              <w:jc w:val="both"/>
              <w:textAlignment w:val="auto"/>
              <w:rPr>
                <w:rFonts w:hint="eastAsia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备注：因会计核算体系的原因，本次考核是依据财政支付体系的数据进行统计。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bookmarkStart w:id="0" w:name="_GoBack"/>
            <w:bookmarkEnd w:id="0"/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56" w:lineRule="exact"/>
              <w:ind w:left="0" w:right="0" w:firstLine="520"/>
              <w:jc w:val="both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提高预算绩效管理意识。统一预算编制科目与会计核算，以便加强预算执行分析，强化财务监控，强化预算刚性约束。</w:t>
            </w:r>
            <w:r>
              <w:rPr>
                <w:color w:val="000000"/>
                <w:spacing w:val="0"/>
                <w:w w:val="100"/>
                <w:position w:val="0"/>
              </w:rPr>
              <w:t>加强绩效考评基础信息档案管理；完善绩效考评制度，提高全员项目绩效考核意识，建立日常跟踪及考评机制，加强内部监督考评。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410" w:right="0" w:hanging="4410" w:hangingChars="210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签名: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年     月     日</w:t>
            </w:r>
          </w:p>
        </w:tc>
      </w:tr>
    </w:tbl>
    <w:p>
      <w:pP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备注:</w:t>
      </w:r>
    </w:p>
    <w:p>
      <w:pPr>
        <w:ind w:firstLine="210" w:firstLineChars="100"/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1.预算执行情况口径:预算数为调整后财政资金总额(包括上年结余结转),执行数为资金</w:t>
      </w:r>
    </w:p>
    <w:p>
      <w:pPr>
        <w:rPr>
          <w:rFonts w:hint="eastAsia" w:ascii="宋体" w:hAnsi="宋体" w:eastAsia="宋体" w:cs="宋体"/>
          <w:i w:val="0"/>
          <w:iCs w:val="0"/>
          <w:color w:val="000000"/>
          <w:sz w:val="21"/>
          <w:szCs w:val="21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使用单位财政资金实际支出数。</w:t>
      </w:r>
    </w:p>
    <w:p>
      <w:pPr>
        <w:rPr>
          <w:rFonts w:hint="eastAsia" w:ascii="宋体" w:hAnsi="宋体" w:eastAsia="宋体" w:cs="宋体"/>
          <w:i w:val="0"/>
          <w:iCs w:val="0"/>
          <w:color w:val="000000"/>
          <w:sz w:val="21"/>
          <w:szCs w:val="21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2.定量指标完成数汇总原则: 绝对值直接累加计算,相对值按照资金额度加权平均计算。定量指标计分原则:正向指标(即目标值为≥x,得分=权重*B/A),反向指标(即目标值为≤X,得分=权重*A/B),得分不得突破权重总额。定量指标先汇总完成数,再计算得分。</w:t>
      </w:r>
    </w:p>
    <w:p>
      <w:pPr>
        <w:rPr>
          <w:rFonts w:hint="eastAsia" w:ascii="宋体" w:hAnsi="宋体" w:eastAsia="宋体" w:cs="宋体"/>
          <w:i w:val="0"/>
          <w:iCs w:val="0"/>
          <w:color w:val="000000"/>
          <w:sz w:val="21"/>
          <w:szCs w:val="21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3.定性指标计分原则:达成预期指标、部分达成预期指标并具有一定效果、未达成预期指标且效果较差三档,分别按照该指标对应分值区间100-80% (合80%)、80-50% (含50%)、50-0%</w:t>
      </w:r>
    </w:p>
    <w:p>
      <w:pPr>
        <w:rPr>
          <w:rFonts w:hint="eastAsia" w:ascii="宋体" w:hAnsi="宋体" w:eastAsia="宋体" w:cs="宋体"/>
          <w:i w:val="0"/>
          <w:iCs w:val="0"/>
          <w:color w:val="000000"/>
          <w:sz w:val="21"/>
          <w:szCs w:val="21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合理确定分值。汇总时,以资金额度为权重,对分值进行加权平均计算。</w:t>
      </w:r>
    </w:p>
    <w:p>
      <w:pPr>
        <w:rPr>
          <w:rFonts w:hint="default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4.基于经济性和必要性等因素考虑,满意度指标暂可不作为必评指标。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8E5F4C"/>
    <w:rsid w:val="34EC684F"/>
    <w:rsid w:val="4568531D"/>
    <w:rsid w:val="6E5C6A60"/>
    <w:rsid w:val="718E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5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7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2021-05-22T07:59:00Z</dcterms:created>
  <dc:creator>志</dc:creator>
  <cp:lastModifiedBy>志</cp:lastModifiedBy>
  <dcterms:modified xsi:type="dcterms:W3CDTF">2021-06-02T06:37:07Z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B68E5F8757174F07BF17BD825618E51B</vt:lpwstr>
  </property>
</Properties>
</file>