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440" w:lineRule="exact"/>
        <w:jc w:val="right"/>
        <w:textAlignment w:val="auto"/>
        <w:rPr>
          <w:rFonts w:hint="eastAsia" w:ascii="公文小标宋简" w:hAnsi="等线" w:eastAsia="公文小标宋简"/>
          <w:kern w:val="2"/>
          <w:sz w:val="28"/>
          <w:szCs w:val="28"/>
          <w:lang w:val="en-US" w:eastAsia="zh-CN"/>
        </w:rPr>
      </w:pPr>
      <w:r>
        <w:rPr>
          <w:rFonts w:hint="eastAsia" w:ascii="公文小标宋简" w:hAnsi="等线" w:eastAsia="公文小标宋简"/>
          <w:kern w:val="2"/>
          <w:sz w:val="28"/>
          <w:szCs w:val="28"/>
          <w:lang w:val="en-US" w:eastAsia="zh-CN"/>
        </w:rPr>
        <w:t>报告编号：DXH20210019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440" w:lineRule="exact"/>
        <w:jc w:val="right"/>
        <w:textAlignment w:val="auto"/>
        <w:rPr>
          <w:rFonts w:hint="default" w:ascii="公文小标宋简" w:hAnsi="等线" w:eastAsia="公文小标宋简"/>
          <w:kern w:val="2"/>
          <w:sz w:val="28"/>
          <w:szCs w:val="28"/>
          <w:lang w:val="en-US" w:eastAsia="zh-CN"/>
        </w:rPr>
      </w:pPr>
    </w:p>
    <w:p>
      <w:pPr>
        <w:widowControl w:val="0"/>
        <w:adjustRightInd/>
        <w:snapToGrid/>
        <w:spacing w:after="0" w:line="540" w:lineRule="exact"/>
        <w:jc w:val="center"/>
        <w:rPr>
          <w:rFonts w:ascii="公文小标宋简" w:hAnsi="等线" w:eastAsia="公文小标宋简"/>
          <w:kern w:val="2"/>
          <w:sz w:val="44"/>
          <w:szCs w:val="44"/>
        </w:rPr>
      </w:pPr>
      <w:r>
        <w:rPr>
          <w:rFonts w:hint="eastAsia" w:ascii="公文小标宋简" w:hAnsi="等线" w:eastAsia="公文小标宋简"/>
          <w:kern w:val="2"/>
          <w:sz w:val="44"/>
          <w:szCs w:val="44"/>
        </w:rPr>
        <w:t xml:space="preserve"> 2021年度小型修缮项目绩效自评结果</w:t>
      </w:r>
    </w:p>
    <w:p>
      <w:pPr>
        <w:widowControl w:val="0"/>
        <w:adjustRightInd/>
        <w:snapToGrid/>
        <w:spacing w:after="0" w:line="540" w:lineRule="exact"/>
        <w:jc w:val="center"/>
        <w:rPr>
          <w:rFonts w:ascii="楷体" w:hAnsi="楷体" w:eastAsia="楷体"/>
          <w:kern w:val="2"/>
          <w:sz w:val="32"/>
          <w:szCs w:val="32"/>
        </w:rPr>
      </w:pPr>
      <w:bookmarkStart w:id="1" w:name="_GoBack"/>
      <w:r>
        <w:rPr>
          <w:rFonts w:hint="eastAsia" w:ascii="楷体" w:hAnsi="楷体" w:eastAsia="楷体"/>
          <w:kern w:val="2"/>
          <w:sz w:val="32"/>
          <w:szCs w:val="32"/>
        </w:rPr>
        <w:t>（缩略版）</w:t>
      </w:r>
    </w:p>
    <w:bookmarkEnd w:id="1"/>
    <w:p>
      <w:pPr>
        <w:widowControl w:val="0"/>
        <w:adjustRightInd/>
        <w:snapToGrid/>
        <w:spacing w:after="0" w:line="560" w:lineRule="exact"/>
        <w:ind w:firstLine="640" w:firstLineChars="200"/>
        <w:jc w:val="both"/>
        <w:outlineLvl w:val="0"/>
        <w:rPr>
          <w:rFonts w:ascii="黑体" w:hAnsi="黑体" w:eastAsia="黑体"/>
          <w:kern w:val="2"/>
          <w:sz w:val="32"/>
          <w:szCs w:val="32"/>
        </w:rPr>
      </w:pPr>
      <w:r>
        <w:rPr>
          <w:rFonts w:hint="eastAsia" w:ascii="黑体" w:hAnsi="黑体" w:eastAsia="黑体"/>
          <w:kern w:val="2"/>
          <w:sz w:val="32"/>
          <w:szCs w:val="32"/>
        </w:rPr>
        <w:t xml:space="preserve"> 一、自评结论</w:t>
      </w:r>
    </w:p>
    <w:p>
      <w:pPr>
        <w:pStyle w:val="11"/>
        <w:spacing w:line="560" w:lineRule="exact"/>
        <w:ind w:firstLine="643" w:firstLineChars="200"/>
        <w:jc w:val="both"/>
        <w:outlineLvl w:val="1"/>
        <w:rPr>
          <w:rFonts w:ascii="仿宋_GB2312" w:hAnsi="黑体" w:eastAsia="仿宋_GB2312"/>
          <w:b/>
          <w:bCs/>
          <w:kern w:val="2"/>
          <w:sz w:val="32"/>
          <w:szCs w:val="32"/>
        </w:rPr>
      </w:pPr>
      <w:r>
        <w:rPr>
          <w:rFonts w:hint="eastAsia" w:ascii="仿宋_GB2312" w:hAnsi="黑体" w:eastAsia="仿宋_GB2312"/>
          <w:b/>
          <w:bCs/>
          <w:kern w:val="2"/>
          <w:sz w:val="32"/>
          <w:szCs w:val="32"/>
        </w:rPr>
        <w:t>（一）自评得分</w:t>
      </w:r>
    </w:p>
    <w:p>
      <w:pPr>
        <w:spacing w:line="560" w:lineRule="exact"/>
        <w:ind w:firstLine="640" w:firstLineChars="200"/>
        <w:jc w:val="both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项目完成情况自评综合评分94.60分。</w:t>
      </w:r>
    </w:p>
    <w:tbl>
      <w:tblPr>
        <w:tblStyle w:val="7"/>
        <w:tblW w:w="8834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36"/>
        <w:gridCol w:w="1674"/>
        <w:gridCol w:w="1674"/>
        <w:gridCol w:w="1675"/>
        <w:gridCol w:w="167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11"/>
              <w:spacing w:line="560" w:lineRule="exact"/>
              <w:jc w:val="center"/>
              <w:rPr>
                <w:rFonts w:ascii="仿宋_GB2312" w:hAnsi="黑体" w:eastAsia="仿宋_GB2312"/>
                <w:kern w:val="2"/>
                <w:sz w:val="32"/>
                <w:szCs w:val="32"/>
              </w:rPr>
            </w:pPr>
            <w:r>
              <w:rPr>
                <w:rFonts w:ascii="仿宋_GB2312" w:hAnsi="黑体" w:eastAsia="仿宋_GB2312"/>
                <w:kern w:val="2"/>
                <w:sz w:val="32"/>
                <w:szCs w:val="32"/>
              </w:rPr>
              <w:t>评价项目</w:t>
            </w:r>
          </w:p>
        </w:tc>
        <w:tc>
          <w:tcPr>
            <w:tcW w:w="16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11"/>
              <w:spacing w:line="560" w:lineRule="exact"/>
              <w:jc w:val="center"/>
              <w:rPr>
                <w:rFonts w:ascii="仿宋_GB2312" w:hAnsi="黑体" w:eastAsia="仿宋_GB2312"/>
                <w:kern w:val="2"/>
                <w:sz w:val="32"/>
                <w:szCs w:val="32"/>
              </w:rPr>
            </w:pPr>
            <w:r>
              <w:rPr>
                <w:rFonts w:ascii="仿宋_GB2312" w:hAnsi="黑体" w:eastAsia="仿宋_GB2312"/>
                <w:kern w:val="2"/>
                <w:sz w:val="32"/>
                <w:szCs w:val="32"/>
              </w:rPr>
              <w:t>权重</w:t>
            </w:r>
          </w:p>
        </w:tc>
        <w:tc>
          <w:tcPr>
            <w:tcW w:w="16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11"/>
              <w:spacing w:line="560" w:lineRule="exact"/>
              <w:jc w:val="center"/>
              <w:rPr>
                <w:rFonts w:ascii="仿宋_GB2312" w:hAnsi="黑体" w:eastAsia="仿宋_GB2312"/>
                <w:kern w:val="2"/>
                <w:sz w:val="32"/>
                <w:szCs w:val="32"/>
              </w:rPr>
            </w:pPr>
            <w:r>
              <w:rPr>
                <w:rFonts w:ascii="仿宋_GB2312" w:hAnsi="黑体" w:eastAsia="仿宋_GB2312"/>
                <w:kern w:val="2"/>
                <w:sz w:val="32"/>
                <w:szCs w:val="32"/>
              </w:rPr>
              <w:t>评级分值</w:t>
            </w:r>
          </w:p>
        </w:tc>
        <w:tc>
          <w:tcPr>
            <w:tcW w:w="16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11"/>
              <w:spacing w:line="560" w:lineRule="exact"/>
              <w:jc w:val="center"/>
              <w:rPr>
                <w:rFonts w:ascii="仿宋_GB2312" w:hAnsi="黑体" w:eastAsia="仿宋_GB2312"/>
                <w:kern w:val="2"/>
                <w:sz w:val="32"/>
                <w:szCs w:val="32"/>
              </w:rPr>
            </w:pPr>
            <w:r>
              <w:rPr>
                <w:rFonts w:ascii="仿宋_GB2312" w:hAnsi="黑体" w:eastAsia="仿宋_GB2312"/>
                <w:kern w:val="2"/>
                <w:sz w:val="32"/>
                <w:szCs w:val="32"/>
              </w:rPr>
              <w:t>本项得分</w:t>
            </w:r>
          </w:p>
        </w:tc>
        <w:tc>
          <w:tcPr>
            <w:tcW w:w="16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11"/>
              <w:spacing w:line="560" w:lineRule="exact"/>
              <w:jc w:val="center"/>
              <w:rPr>
                <w:rFonts w:ascii="仿宋_GB2312" w:hAnsi="黑体" w:eastAsia="仿宋_GB2312"/>
                <w:kern w:val="2"/>
                <w:sz w:val="32"/>
                <w:szCs w:val="32"/>
              </w:rPr>
            </w:pPr>
            <w:r>
              <w:rPr>
                <w:rFonts w:ascii="仿宋_GB2312" w:hAnsi="黑体" w:eastAsia="仿宋_GB2312"/>
                <w:kern w:val="2"/>
                <w:sz w:val="32"/>
                <w:szCs w:val="32"/>
              </w:rPr>
              <w:t>得分率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1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11"/>
              <w:spacing w:line="560" w:lineRule="exact"/>
              <w:jc w:val="center"/>
              <w:rPr>
                <w:rFonts w:ascii="仿宋_GB2312" w:hAnsi="黑体" w:eastAsia="仿宋_GB2312"/>
                <w:kern w:val="2"/>
                <w:sz w:val="32"/>
                <w:szCs w:val="32"/>
              </w:rPr>
            </w:pPr>
            <w:r>
              <w:rPr>
                <w:rFonts w:ascii="仿宋_GB2312" w:hAnsi="黑体" w:eastAsia="仿宋_GB2312"/>
                <w:kern w:val="2"/>
                <w:sz w:val="32"/>
                <w:szCs w:val="32"/>
              </w:rPr>
              <w:t>预算执行情况</w:t>
            </w:r>
          </w:p>
        </w:tc>
        <w:tc>
          <w:tcPr>
            <w:tcW w:w="16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11"/>
              <w:spacing w:line="560" w:lineRule="exact"/>
              <w:jc w:val="center"/>
              <w:rPr>
                <w:rFonts w:ascii="仿宋_GB2312" w:hAnsi="黑体" w:eastAsia="仿宋_GB2312"/>
                <w:kern w:val="2"/>
                <w:sz w:val="32"/>
                <w:szCs w:val="32"/>
              </w:rPr>
            </w:pPr>
            <w:r>
              <w:rPr>
                <w:rFonts w:ascii="仿宋_GB2312" w:hAnsi="黑体" w:eastAsia="仿宋_GB2312"/>
                <w:kern w:val="2"/>
                <w:sz w:val="32"/>
                <w:szCs w:val="32"/>
              </w:rPr>
              <w:t>20%</w:t>
            </w:r>
          </w:p>
        </w:tc>
        <w:tc>
          <w:tcPr>
            <w:tcW w:w="16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11"/>
              <w:spacing w:line="560" w:lineRule="exact"/>
              <w:jc w:val="center"/>
              <w:rPr>
                <w:rFonts w:ascii="仿宋_GB2312" w:hAnsi="黑体" w:eastAsia="仿宋_GB2312"/>
                <w:kern w:val="2"/>
                <w:sz w:val="32"/>
                <w:szCs w:val="32"/>
              </w:rPr>
            </w:pPr>
            <w:r>
              <w:rPr>
                <w:rFonts w:ascii="仿宋_GB2312" w:hAnsi="黑体" w:eastAsia="仿宋_GB2312"/>
                <w:kern w:val="2"/>
                <w:sz w:val="32"/>
                <w:szCs w:val="32"/>
              </w:rPr>
              <w:t>20.00</w:t>
            </w:r>
          </w:p>
        </w:tc>
        <w:tc>
          <w:tcPr>
            <w:tcW w:w="1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11"/>
              <w:spacing w:line="560" w:lineRule="exact"/>
              <w:jc w:val="center"/>
              <w:rPr>
                <w:rFonts w:ascii="仿宋_GB2312" w:hAnsi="黑体" w:eastAsia="仿宋_GB2312"/>
                <w:kern w:val="2"/>
                <w:sz w:val="32"/>
                <w:szCs w:val="32"/>
              </w:rPr>
            </w:pPr>
            <w:r>
              <w:rPr>
                <w:rFonts w:hint="eastAsia" w:ascii="仿宋_GB2312" w:hAnsi="黑体" w:eastAsia="仿宋_GB2312"/>
                <w:kern w:val="2"/>
                <w:sz w:val="32"/>
                <w:szCs w:val="32"/>
              </w:rPr>
              <w:t>20.00</w:t>
            </w:r>
          </w:p>
        </w:tc>
        <w:tc>
          <w:tcPr>
            <w:tcW w:w="1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11"/>
              <w:spacing w:line="560" w:lineRule="exact"/>
              <w:jc w:val="center"/>
              <w:rPr>
                <w:rFonts w:ascii="仿宋_GB2312" w:hAnsi="黑体" w:eastAsia="仿宋_GB2312"/>
                <w:kern w:val="2"/>
                <w:sz w:val="32"/>
                <w:szCs w:val="32"/>
              </w:rPr>
            </w:pPr>
            <w:r>
              <w:rPr>
                <w:rFonts w:hint="eastAsia" w:ascii="仿宋_GB2312" w:hAnsi="黑体" w:eastAsia="仿宋_GB2312"/>
                <w:kern w:val="2"/>
                <w:sz w:val="32"/>
                <w:szCs w:val="32"/>
              </w:rPr>
              <w:t>100.00%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1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11"/>
              <w:spacing w:line="560" w:lineRule="exact"/>
              <w:jc w:val="center"/>
              <w:rPr>
                <w:rFonts w:ascii="仿宋_GB2312" w:hAnsi="黑体" w:eastAsia="仿宋_GB2312"/>
                <w:kern w:val="2"/>
                <w:sz w:val="32"/>
                <w:szCs w:val="32"/>
              </w:rPr>
            </w:pPr>
            <w:r>
              <w:rPr>
                <w:rFonts w:ascii="仿宋_GB2312" w:hAnsi="黑体" w:eastAsia="仿宋_GB2312"/>
                <w:kern w:val="2"/>
                <w:sz w:val="32"/>
                <w:szCs w:val="32"/>
              </w:rPr>
              <w:t>项目产出</w:t>
            </w:r>
          </w:p>
        </w:tc>
        <w:tc>
          <w:tcPr>
            <w:tcW w:w="16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11"/>
              <w:spacing w:line="560" w:lineRule="exact"/>
              <w:jc w:val="center"/>
              <w:rPr>
                <w:rFonts w:ascii="仿宋_GB2312" w:hAnsi="黑体" w:eastAsia="仿宋_GB2312"/>
                <w:kern w:val="2"/>
                <w:sz w:val="32"/>
                <w:szCs w:val="32"/>
              </w:rPr>
            </w:pPr>
            <w:r>
              <w:rPr>
                <w:rFonts w:ascii="仿宋_GB2312" w:hAnsi="黑体" w:eastAsia="仿宋_GB2312"/>
                <w:kern w:val="2"/>
                <w:sz w:val="32"/>
                <w:szCs w:val="32"/>
              </w:rPr>
              <w:t>40%</w:t>
            </w:r>
          </w:p>
        </w:tc>
        <w:tc>
          <w:tcPr>
            <w:tcW w:w="16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11"/>
              <w:spacing w:line="560" w:lineRule="exact"/>
              <w:jc w:val="center"/>
              <w:rPr>
                <w:rFonts w:ascii="仿宋_GB2312" w:hAnsi="黑体" w:eastAsia="仿宋_GB2312"/>
                <w:kern w:val="2"/>
                <w:sz w:val="32"/>
                <w:szCs w:val="32"/>
              </w:rPr>
            </w:pPr>
            <w:r>
              <w:rPr>
                <w:rFonts w:ascii="仿宋_GB2312" w:hAnsi="黑体" w:eastAsia="仿宋_GB2312"/>
                <w:kern w:val="2"/>
                <w:sz w:val="32"/>
                <w:szCs w:val="32"/>
              </w:rPr>
              <w:t>40.00</w:t>
            </w:r>
          </w:p>
        </w:tc>
        <w:tc>
          <w:tcPr>
            <w:tcW w:w="1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11"/>
              <w:spacing w:line="560" w:lineRule="exact"/>
              <w:jc w:val="center"/>
              <w:rPr>
                <w:rFonts w:ascii="仿宋_GB2312" w:hAnsi="黑体" w:eastAsia="仿宋_GB2312"/>
                <w:kern w:val="2"/>
                <w:sz w:val="32"/>
                <w:szCs w:val="32"/>
              </w:rPr>
            </w:pPr>
            <w:r>
              <w:rPr>
                <w:rFonts w:hint="eastAsia" w:ascii="仿宋_GB2312" w:hAnsi="黑体" w:eastAsia="仿宋_GB2312"/>
                <w:kern w:val="2"/>
                <w:sz w:val="32"/>
                <w:szCs w:val="32"/>
              </w:rPr>
              <w:t>34.60</w:t>
            </w:r>
          </w:p>
        </w:tc>
        <w:tc>
          <w:tcPr>
            <w:tcW w:w="1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11"/>
              <w:spacing w:line="560" w:lineRule="exact"/>
              <w:jc w:val="center"/>
              <w:rPr>
                <w:rFonts w:ascii="仿宋_GB2312" w:hAnsi="黑体" w:eastAsia="仿宋_GB2312"/>
                <w:kern w:val="2"/>
                <w:sz w:val="32"/>
                <w:szCs w:val="32"/>
              </w:rPr>
            </w:pPr>
            <w:r>
              <w:rPr>
                <w:rFonts w:hint="eastAsia" w:ascii="仿宋_GB2312" w:hAnsi="黑体" w:eastAsia="仿宋_GB2312"/>
                <w:kern w:val="2"/>
                <w:sz w:val="32"/>
                <w:szCs w:val="32"/>
              </w:rPr>
              <w:t>86.50</w:t>
            </w:r>
            <w:r>
              <w:rPr>
                <w:rFonts w:ascii="仿宋_GB2312" w:hAnsi="黑体" w:eastAsia="仿宋_GB2312"/>
                <w:kern w:val="2"/>
                <w:sz w:val="32"/>
                <w:szCs w:val="32"/>
              </w:rPr>
              <w:t>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1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11"/>
              <w:spacing w:line="560" w:lineRule="exact"/>
              <w:jc w:val="center"/>
              <w:rPr>
                <w:rFonts w:ascii="仿宋_GB2312" w:hAnsi="黑体" w:eastAsia="仿宋_GB2312"/>
                <w:kern w:val="2"/>
                <w:sz w:val="32"/>
                <w:szCs w:val="32"/>
              </w:rPr>
            </w:pPr>
            <w:r>
              <w:rPr>
                <w:rFonts w:ascii="仿宋_GB2312" w:hAnsi="黑体" w:eastAsia="仿宋_GB2312"/>
                <w:kern w:val="2"/>
                <w:sz w:val="32"/>
                <w:szCs w:val="32"/>
              </w:rPr>
              <w:t>项目效益</w:t>
            </w:r>
          </w:p>
        </w:tc>
        <w:tc>
          <w:tcPr>
            <w:tcW w:w="16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11"/>
              <w:spacing w:line="560" w:lineRule="exact"/>
              <w:jc w:val="center"/>
              <w:rPr>
                <w:rFonts w:ascii="仿宋_GB2312" w:hAnsi="黑体" w:eastAsia="仿宋_GB2312"/>
                <w:kern w:val="2"/>
                <w:sz w:val="32"/>
                <w:szCs w:val="32"/>
              </w:rPr>
            </w:pPr>
            <w:r>
              <w:rPr>
                <w:rFonts w:ascii="仿宋_GB2312" w:hAnsi="黑体" w:eastAsia="仿宋_GB2312"/>
                <w:kern w:val="2"/>
                <w:sz w:val="32"/>
                <w:szCs w:val="32"/>
              </w:rPr>
              <w:t>30%</w:t>
            </w:r>
          </w:p>
        </w:tc>
        <w:tc>
          <w:tcPr>
            <w:tcW w:w="16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11"/>
              <w:spacing w:line="560" w:lineRule="exact"/>
              <w:jc w:val="center"/>
              <w:rPr>
                <w:rFonts w:ascii="仿宋_GB2312" w:hAnsi="黑体" w:eastAsia="仿宋_GB2312"/>
                <w:kern w:val="2"/>
                <w:sz w:val="32"/>
                <w:szCs w:val="32"/>
              </w:rPr>
            </w:pPr>
            <w:r>
              <w:rPr>
                <w:rFonts w:ascii="仿宋_GB2312" w:hAnsi="黑体" w:eastAsia="仿宋_GB2312"/>
                <w:kern w:val="2"/>
                <w:sz w:val="32"/>
                <w:szCs w:val="32"/>
              </w:rPr>
              <w:t>30.00</w:t>
            </w:r>
          </w:p>
        </w:tc>
        <w:tc>
          <w:tcPr>
            <w:tcW w:w="1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11"/>
              <w:spacing w:line="560" w:lineRule="exact"/>
              <w:jc w:val="center"/>
              <w:rPr>
                <w:rFonts w:ascii="仿宋_GB2312" w:hAnsi="黑体" w:eastAsia="仿宋_GB2312"/>
                <w:kern w:val="2"/>
                <w:sz w:val="32"/>
                <w:szCs w:val="32"/>
              </w:rPr>
            </w:pPr>
            <w:r>
              <w:rPr>
                <w:rFonts w:ascii="仿宋_GB2312" w:hAnsi="黑体" w:eastAsia="仿宋_GB2312"/>
                <w:kern w:val="2"/>
                <w:sz w:val="32"/>
                <w:szCs w:val="32"/>
              </w:rPr>
              <w:t>30</w:t>
            </w:r>
            <w:r>
              <w:rPr>
                <w:rFonts w:hint="eastAsia" w:ascii="仿宋_GB2312" w:hAnsi="黑体" w:eastAsia="仿宋_GB2312"/>
                <w:kern w:val="2"/>
                <w:sz w:val="32"/>
                <w:szCs w:val="32"/>
              </w:rPr>
              <w:t>.00</w:t>
            </w:r>
          </w:p>
        </w:tc>
        <w:tc>
          <w:tcPr>
            <w:tcW w:w="1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11"/>
              <w:spacing w:line="560" w:lineRule="exact"/>
              <w:jc w:val="center"/>
              <w:rPr>
                <w:rFonts w:ascii="仿宋_GB2312" w:hAnsi="黑体" w:eastAsia="仿宋_GB2312"/>
                <w:kern w:val="2"/>
                <w:sz w:val="32"/>
                <w:szCs w:val="32"/>
              </w:rPr>
            </w:pPr>
            <w:r>
              <w:rPr>
                <w:rFonts w:ascii="仿宋_GB2312" w:hAnsi="黑体" w:eastAsia="仿宋_GB2312"/>
                <w:kern w:val="2"/>
                <w:sz w:val="32"/>
                <w:szCs w:val="32"/>
              </w:rPr>
              <w:t>100.00%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1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11"/>
              <w:spacing w:line="560" w:lineRule="exact"/>
              <w:jc w:val="center"/>
              <w:rPr>
                <w:rFonts w:ascii="仿宋_GB2312" w:hAnsi="黑体" w:eastAsia="仿宋_GB2312"/>
                <w:kern w:val="2"/>
                <w:sz w:val="32"/>
                <w:szCs w:val="32"/>
              </w:rPr>
            </w:pPr>
            <w:r>
              <w:rPr>
                <w:rFonts w:ascii="仿宋_GB2312" w:hAnsi="黑体" w:eastAsia="仿宋_GB2312"/>
                <w:kern w:val="2"/>
                <w:sz w:val="32"/>
                <w:szCs w:val="32"/>
              </w:rPr>
              <w:t>项目满意度</w:t>
            </w:r>
          </w:p>
        </w:tc>
        <w:tc>
          <w:tcPr>
            <w:tcW w:w="16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11"/>
              <w:spacing w:line="560" w:lineRule="exact"/>
              <w:jc w:val="center"/>
              <w:rPr>
                <w:rFonts w:ascii="仿宋_GB2312" w:hAnsi="黑体" w:eastAsia="仿宋_GB2312"/>
                <w:kern w:val="2"/>
                <w:sz w:val="32"/>
                <w:szCs w:val="32"/>
              </w:rPr>
            </w:pPr>
            <w:r>
              <w:rPr>
                <w:rFonts w:ascii="仿宋_GB2312" w:hAnsi="黑体" w:eastAsia="仿宋_GB2312"/>
                <w:kern w:val="2"/>
                <w:sz w:val="32"/>
                <w:szCs w:val="32"/>
              </w:rPr>
              <w:t>10%</w:t>
            </w:r>
          </w:p>
        </w:tc>
        <w:tc>
          <w:tcPr>
            <w:tcW w:w="16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11"/>
              <w:spacing w:line="560" w:lineRule="exact"/>
              <w:jc w:val="center"/>
              <w:rPr>
                <w:rFonts w:ascii="仿宋_GB2312" w:hAnsi="黑体" w:eastAsia="仿宋_GB2312"/>
                <w:kern w:val="2"/>
                <w:sz w:val="32"/>
                <w:szCs w:val="32"/>
              </w:rPr>
            </w:pPr>
            <w:r>
              <w:rPr>
                <w:rFonts w:ascii="仿宋_GB2312" w:hAnsi="黑体" w:eastAsia="仿宋_GB2312"/>
                <w:kern w:val="2"/>
                <w:sz w:val="32"/>
                <w:szCs w:val="32"/>
              </w:rPr>
              <w:t>10.00</w:t>
            </w:r>
          </w:p>
        </w:tc>
        <w:tc>
          <w:tcPr>
            <w:tcW w:w="1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11"/>
              <w:spacing w:line="560" w:lineRule="exact"/>
              <w:jc w:val="center"/>
              <w:rPr>
                <w:rFonts w:ascii="仿宋_GB2312" w:hAnsi="黑体" w:eastAsia="仿宋_GB2312"/>
                <w:kern w:val="2"/>
                <w:sz w:val="32"/>
                <w:szCs w:val="32"/>
              </w:rPr>
            </w:pPr>
            <w:r>
              <w:rPr>
                <w:rFonts w:hint="eastAsia" w:ascii="仿宋_GB2312" w:hAnsi="黑体" w:eastAsia="仿宋_GB2312"/>
                <w:kern w:val="2"/>
                <w:sz w:val="32"/>
                <w:szCs w:val="32"/>
              </w:rPr>
              <w:t>1</w:t>
            </w:r>
            <w:r>
              <w:rPr>
                <w:rFonts w:ascii="仿宋_GB2312" w:hAnsi="黑体" w:eastAsia="仿宋_GB2312"/>
                <w:kern w:val="2"/>
                <w:sz w:val="32"/>
                <w:szCs w:val="32"/>
              </w:rPr>
              <w:t>0.00</w:t>
            </w:r>
          </w:p>
        </w:tc>
        <w:tc>
          <w:tcPr>
            <w:tcW w:w="1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11"/>
              <w:spacing w:line="560" w:lineRule="exact"/>
              <w:jc w:val="center"/>
              <w:rPr>
                <w:rFonts w:ascii="仿宋_GB2312" w:hAnsi="黑体" w:eastAsia="仿宋_GB2312"/>
                <w:kern w:val="2"/>
                <w:sz w:val="32"/>
                <w:szCs w:val="32"/>
              </w:rPr>
            </w:pPr>
            <w:r>
              <w:rPr>
                <w:rFonts w:hint="eastAsia" w:ascii="仿宋_GB2312" w:hAnsi="黑体" w:eastAsia="仿宋_GB2312"/>
                <w:kern w:val="2"/>
                <w:sz w:val="32"/>
                <w:szCs w:val="32"/>
              </w:rPr>
              <w:t>100.</w:t>
            </w:r>
            <w:r>
              <w:rPr>
                <w:rFonts w:ascii="仿宋_GB2312" w:hAnsi="黑体" w:eastAsia="仿宋_GB2312"/>
                <w:kern w:val="2"/>
                <w:sz w:val="32"/>
                <w:szCs w:val="32"/>
              </w:rPr>
              <w:t>00%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1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11"/>
              <w:spacing w:line="560" w:lineRule="exact"/>
              <w:jc w:val="center"/>
              <w:rPr>
                <w:rFonts w:ascii="仿宋_GB2312" w:hAnsi="黑体" w:eastAsia="仿宋_GB2312"/>
                <w:kern w:val="2"/>
                <w:sz w:val="32"/>
                <w:szCs w:val="32"/>
              </w:rPr>
            </w:pPr>
            <w:r>
              <w:rPr>
                <w:rFonts w:ascii="仿宋_GB2312" w:hAnsi="黑体" w:eastAsia="仿宋_GB2312"/>
                <w:kern w:val="2"/>
                <w:sz w:val="32"/>
                <w:szCs w:val="32"/>
              </w:rPr>
              <w:t>综合绩效</w:t>
            </w:r>
          </w:p>
        </w:tc>
        <w:tc>
          <w:tcPr>
            <w:tcW w:w="16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11"/>
              <w:spacing w:line="560" w:lineRule="exact"/>
              <w:jc w:val="center"/>
              <w:rPr>
                <w:rFonts w:ascii="仿宋_GB2312" w:hAnsi="黑体" w:eastAsia="仿宋_GB2312"/>
                <w:kern w:val="2"/>
                <w:sz w:val="32"/>
                <w:szCs w:val="32"/>
              </w:rPr>
            </w:pPr>
            <w:r>
              <w:rPr>
                <w:rFonts w:ascii="仿宋_GB2312" w:hAnsi="黑体" w:eastAsia="仿宋_GB2312"/>
                <w:kern w:val="2"/>
                <w:sz w:val="32"/>
                <w:szCs w:val="32"/>
              </w:rPr>
              <w:t>100%</w:t>
            </w:r>
          </w:p>
        </w:tc>
        <w:tc>
          <w:tcPr>
            <w:tcW w:w="16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11"/>
              <w:spacing w:line="560" w:lineRule="exact"/>
              <w:jc w:val="center"/>
              <w:rPr>
                <w:rFonts w:ascii="仿宋_GB2312" w:hAnsi="黑体" w:eastAsia="仿宋_GB2312"/>
                <w:kern w:val="2"/>
                <w:sz w:val="32"/>
                <w:szCs w:val="32"/>
              </w:rPr>
            </w:pPr>
            <w:r>
              <w:rPr>
                <w:rFonts w:ascii="仿宋_GB2312" w:hAnsi="黑体" w:eastAsia="仿宋_GB2312"/>
                <w:kern w:val="2"/>
                <w:sz w:val="32"/>
                <w:szCs w:val="32"/>
              </w:rPr>
              <w:t>100.00</w:t>
            </w:r>
          </w:p>
        </w:tc>
        <w:tc>
          <w:tcPr>
            <w:tcW w:w="1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11"/>
              <w:spacing w:line="560" w:lineRule="exact"/>
              <w:jc w:val="center"/>
              <w:rPr>
                <w:rFonts w:ascii="仿宋_GB2312" w:hAnsi="黑体" w:eastAsia="仿宋_GB2312"/>
                <w:kern w:val="2"/>
                <w:sz w:val="32"/>
                <w:szCs w:val="32"/>
              </w:rPr>
            </w:pPr>
            <w:r>
              <w:rPr>
                <w:rFonts w:hint="eastAsia" w:ascii="仿宋_GB2312" w:hAnsi="黑体" w:eastAsia="仿宋_GB2312"/>
                <w:kern w:val="2"/>
                <w:sz w:val="32"/>
                <w:szCs w:val="32"/>
              </w:rPr>
              <w:t>94.60</w:t>
            </w:r>
          </w:p>
        </w:tc>
        <w:tc>
          <w:tcPr>
            <w:tcW w:w="1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11"/>
              <w:spacing w:line="560" w:lineRule="exact"/>
              <w:jc w:val="center"/>
              <w:rPr>
                <w:rFonts w:ascii="仿宋_GB2312" w:hAnsi="黑体" w:eastAsia="仿宋_GB2312"/>
                <w:kern w:val="2"/>
                <w:sz w:val="32"/>
                <w:szCs w:val="32"/>
              </w:rPr>
            </w:pPr>
            <w:r>
              <w:rPr>
                <w:rFonts w:hint="eastAsia" w:ascii="仿宋_GB2312" w:hAnsi="黑体" w:eastAsia="仿宋_GB2312"/>
                <w:kern w:val="2"/>
                <w:sz w:val="32"/>
                <w:szCs w:val="32"/>
              </w:rPr>
              <w:t>94.60</w:t>
            </w:r>
            <w:r>
              <w:rPr>
                <w:rFonts w:ascii="仿宋_GB2312" w:hAnsi="黑体" w:eastAsia="仿宋_GB2312"/>
                <w:kern w:val="2"/>
                <w:sz w:val="32"/>
                <w:szCs w:val="32"/>
              </w:rPr>
              <w:t>%</w:t>
            </w:r>
          </w:p>
        </w:tc>
      </w:tr>
    </w:tbl>
    <w:p>
      <w:pPr>
        <w:pStyle w:val="11"/>
        <w:spacing w:line="560" w:lineRule="exact"/>
        <w:ind w:firstLine="643" w:firstLineChars="200"/>
        <w:jc w:val="both"/>
        <w:outlineLvl w:val="1"/>
        <w:rPr>
          <w:rFonts w:ascii="仿宋_GB2312" w:hAnsi="宋体" w:eastAsia="仿宋_GB2312"/>
          <w:b/>
          <w:bCs/>
          <w:sz w:val="32"/>
          <w:szCs w:val="32"/>
          <w:u w:val="single"/>
        </w:rPr>
      </w:pPr>
      <w:r>
        <w:rPr>
          <w:rFonts w:hint="eastAsia" w:ascii="仿宋_GB2312" w:hAnsi="宋体" w:eastAsia="仿宋_GB2312"/>
          <w:b/>
          <w:bCs/>
          <w:sz w:val="32"/>
          <w:szCs w:val="32"/>
        </w:rPr>
        <w:t>（二）绩效目标完成情况</w:t>
      </w:r>
    </w:p>
    <w:p>
      <w:pPr>
        <w:pStyle w:val="11"/>
        <w:spacing w:line="560" w:lineRule="exact"/>
        <w:ind w:firstLine="640" w:firstLineChars="200"/>
        <w:jc w:val="both"/>
        <w:outlineLvl w:val="2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1.执行率情况</w:t>
      </w:r>
    </w:p>
    <w:p>
      <w:pPr>
        <w:pStyle w:val="11"/>
        <w:spacing w:line="560" w:lineRule="exact"/>
        <w:ind w:firstLine="640" w:firstLineChars="200"/>
        <w:jc w:val="both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2021年度小型修缮项目年初预算1000万元，执行数1000万元，执行率100%。</w:t>
      </w:r>
    </w:p>
    <w:p>
      <w:pPr>
        <w:pStyle w:val="11"/>
        <w:spacing w:line="560" w:lineRule="exact"/>
        <w:ind w:firstLine="640" w:firstLineChars="200"/>
        <w:jc w:val="both"/>
        <w:outlineLvl w:val="2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2.完成的绩效目标</w:t>
      </w:r>
    </w:p>
    <w:p>
      <w:pPr>
        <w:pStyle w:val="11"/>
        <w:spacing w:line="560" w:lineRule="exact"/>
        <w:ind w:firstLine="640" w:firstLineChars="200"/>
        <w:jc w:val="both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该项目设置了15个绩效指标，已完成12个。</w:t>
      </w:r>
      <w:r>
        <w:rPr>
          <w:rFonts w:hint="eastAsia" w:ascii="仿宋_GB2312" w:hAnsi="仿宋" w:eastAsia="仿宋_GB2312"/>
          <w:sz w:val="32"/>
          <w:szCs w:val="32"/>
        </w:rPr>
        <w:t>分别为</w:t>
      </w:r>
      <w:r>
        <w:rPr>
          <w:rFonts w:hint="eastAsia" w:ascii="仿宋_GB2312" w:hAnsi="宋体" w:eastAsia="仿宋_GB2312"/>
          <w:sz w:val="32"/>
          <w:szCs w:val="32"/>
        </w:rPr>
        <w:t>修建电子智能化项目2项；修缮住房、办公用房类项目14项；小工程质量合格率100%；项目进度达标率100%；项目完工率100%。施工废弃物合理处置；营商环境改善；社区办公条件得到改善；道路修缮方便群众出行效果显著；工程事故零发生；一感一度满意率达100%；双评议满意率达100%。</w:t>
      </w:r>
    </w:p>
    <w:p>
      <w:pPr>
        <w:pStyle w:val="11"/>
        <w:spacing w:line="560" w:lineRule="exact"/>
        <w:ind w:firstLine="640" w:firstLineChars="200"/>
        <w:jc w:val="both"/>
        <w:outlineLvl w:val="2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3.未完成的绩效目标</w:t>
      </w:r>
    </w:p>
    <w:p>
      <w:pPr>
        <w:pStyle w:val="11"/>
        <w:spacing w:line="560" w:lineRule="exact"/>
        <w:ind w:firstLine="640" w:firstLineChars="200"/>
        <w:jc w:val="both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该项目设置了15个绩效指标</w:t>
      </w:r>
      <w:r>
        <w:rPr>
          <w:rFonts w:hint="eastAsia" w:ascii="仿宋_GB2312" w:hAnsi="仿宋" w:eastAsia="仿宋_GB2312"/>
          <w:sz w:val="32"/>
          <w:szCs w:val="32"/>
        </w:rPr>
        <w:t>，未完成3个。</w:t>
      </w:r>
      <w:r>
        <w:rPr>
          <w:rFonts w:hint="eastAsia" w:ascii="仿宋_GB2312" w:hAnsi="宋体" w:eastAsia="仿宋_GB2312"/>
          <w:sz w:val="32"/>
          <w:szCs w:val="32"/>
        </w:rPr>
        <w:t>分别为市政基础设施项目，年初目标值≥60个，实际完成40个；安装及水电气通信项目年初目标值≥10个，实际完成9个；成本控制率年初目标值为100%不超合同约定价格，实际仅96%结算价未超合同约定价格。</w:t>
      </w:r>
    </w:p>
    <w:p>
      <w:pPr>
        <w:pStyle w:val="11"/>
        <w:numPr>
          <w:ilvl w:val="0"/>
          <w:numId w:val="1"/>
        </w:numPr>
        <w:spacing w:line="560" w:lineRule="exact"/>
        <w:ind w:firstLine="643" w:firstLineChars="200"/>
        <w:jc w:val="both"/>
        <w:outlineLvl w:val="1"/>
        <w:rPr>
          <w:rFonts w:ascii="仿宋_GB2312" w:hAnsi="宋体" w:eastAsia="仿宋_GB2312"/>
          <w:b/>
          <w:bCs/>
          <w:sz w:val="32"/>
          <w:szCs w:val="32"/>
        </w:rPr>
      </w:pPr>
      <w:r>
        <w:rPr>
          <w:rFonts w:hint="eastAsia" w:ascii="仿宋_GB2312" w:hAnsi="宋体" w:eastAsia="仿宋_GB2312"/>
          <w:b/>
          <w:bCs/>
          <w:sz w:val="32"/>
          <w:szCs w:val="32"/>
        </w:rPr>
        <w:t>存在的问题和原因</w:t>
      </w:r>
    </w:p>
    <w:p>
      <w:pPr>
        <w:pStyle w:val="11"/>
        <w:spacing w:line="560" w:lineRule="exact"/>
        <w:ind w:firstLine="640" w:firstLineChars="200"/>
        <w:jc w:val="both"/>
        <w:outlineLvl w:val="2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1.部分绩效目标完成不理想</w:t>
      </w:r>
    </w:p>
    <w:p>
      <w:pPr>
        <w:pStyle w:val="11"/>
        <w:spacing w:line="560" w:lineRule="exact"/>
        <w:ind w:firstLine="640" w:firstLineChars="200"/>
        <w:jc w:val="both"/>
        <w:rPr>
          <w:rFonts w:ascii="仿宋_GB2312" w:hAnsi="宋体" w:eastAsia="仿宋_GB2312"/>
          <w:sz w:val="32"/>
          <w:szCs w:val="32"/>
        </w:rPr>
      </w:pPr>
      <w:r>
        <w:rPr>
          <w:rFonts w:ascii="仿宋_GB2312" w:hAnsi="宋体" w:eastAsia="仿宋_GB2312"/>
          <w:sz w:val="32"/>
          <w:szCs w:val="32"/>
        </w:rPr>
        <w:t>设置</w:t>
      </w:r>
      <w:r>
        <w:rPr>
          <w:rFonts w:hint="eastAsia" w:ascii="仿宋_GB2312" w:hAnsi="宋体" w:eastAsia="仿宋_GB2312"/>
          <w:sz w:val="32"/>
          <w:szCs w:val="32"/>
        </w:rPr>
        <w:t>15</w:t>
      </w:r>
      <w:r>
        <w:rPr>
          <w:rFonts w:ascii="仿宋_GB2312" w:hAnsi="宋体" w:eastAsia="仿宋_GB2312"/>
          <w:sz w:val="32"/>
          <w:szCs w:val="32"/>
        </w:rPr>
        <w:t>个绩效指标，</w:t>
      </w:r>
      <w:r>
        <w:rPr>
          <w:rFonts w:hint="eastAsia" w:ascii="仿宋_GB2312" w:hAnsi="宋体" w:eastAsia="仿宋_GB2312"/>
          <w:sz w:val="32"/>
          <w:szCs w:val="32"/>
        </w:rPr>
        <w:t>3</w:t>
      </w:r>
      <w:r>
        <w:rPr>
          <w:rFonts w:ascii="仿宋_GB2312" w:hAnsi="宋体" w:eastAsia="仿宋_GB2312"/>
          <w:sz w:val="32"/>
          <w:szCs w:val="32"/>
        </w:rPr>
        <w:t>个指标未完成，偏差率</w:t>
      </w:r>
      <w:r>
        <w:rPr>
          <w:rFonts w:hint="eastAsia" w:ascii="仿宋_GB2312" w:hAnsi="宋体" w:eastAsia="仿宋_GB2312"/>
          <w:sz w:val="32"/>
          <w:szCs w:val="32"/>
        </w:rPr>
        <w:t>20</w:t>
      </w:r>
      <w:r>
        <w:rPr>
          <w:rFonts w:ascii="仿宋_GB2312" w:hAnsi="宋体" w:eastAsia="仿宋_GB2312"/>
          <w:sz w:val="32"/>
          <w:szCs w:val="32"/>
        </w:rPr>
        <w:t>%。</w:t>
      </w:r>
      <w:r>
        <w:rPr>
          <w:rFonts w:hint="eastAsia" w:ascii="仿宋_GB2312" w:hAnsi="宋体" w:eastAsia="仿宋_GB2312"/>
          <w:sz w:val="32"/>
          <w:szCs w:val="32"/>
        </w:rPr>
        <w:t>主要是基础设施项目年初目标值≥60个实际完成40个；安装及水电气通信项目年初目标值≥10个实际完成9个；成本控制率年初目标值为100%不超合同约定价格，实际仅96%结算价未超合同约定价格；预算监控运行执行不到位，未制定考评机制，绩效管理水平有待提高。</w:t>
      </w:r>
    </w:p>
    <w:p>
      <w:pPr>
        <w:pStyle w:val="11"/>
        <w:spacing w:line="560" w:lineRule="exact"/>
        <w:ind w:firstLine="640" w:firstLineChars="200"/>
        <w:jc w:val="both"/>
        <w:outlineLvl w:val="2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2.资金使用未专款专用</w:t>
      </w:r>
    </w:p>
    <w:p>
      <w:pPr>
        <w:pStyle w:val="11"/>
        <w:spacing w:line="560" w:lineRule="exact"/>
        <w:ind w:firstLine="640" w:firstLineChars="200"/>
        <w:jc w:val="both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2021年年初预算1000万元，账面执行数1000万元，核定属于小型修缮项目资金使用范围支出 797.10万元，</w:t>
      </w:r>
      <w:r>
        <w:rPr>
          <w:rFonts w:hint="eastAsia" w:ascii="仿宋_GB2312" w:hAnsi="仿宋" w:eastAsia="仿宋_GB2312"/>
          <w:sz w:val="32"/>
          <w:szCs w:val="32"/>
        </w:rPr>
        <w:t>非专款使用支出202.90万元。</w:t>
      </w:r>
      <w:r>
        <w:rPr>
          <w:rFonts w:hint="eastAsia" w:ascii="仿宋_GB2312" w:hAnsi="宋体" w:eastAsia="仿宋_GB2312"/>
          <w:sz w:val="32"/>
          <w:szCs w:val="32"/>
        </w:rPr>
        <w:t>其主要原因是部分大型基建项目资金支出计入该项目。</w:t>
      </w:r>
    </w:p>
    <w:p>
      <w:pPr>
        <w:pStyle w:val="11"/>
        <w:numPr>
          <w:ilvl w:val="0"/>
          <w:numId w:val="1"/>
        </w:numPr>
        <w:spacing w:line="560" w:lineRule="exact"/>
        <w:ind w:firstLine="643" w:firstLineChars="200"/>
        <w:jc w:val="both"/>
        <w:outlineLvl w:val="1"/>
        <w:rPr>
          <w:rFonts w:ascii="仿宋_GB2312" w:hAnsi="宋体" w:eastAsia="仿宋_GB2312"/>
          <w:b/>
          <w:bCs/>
          <w:sz w:val="32"/>
          <w:szCs w:val="32"/>
        </w:rPr>
      </w:pPr>
      <w:r>
        <w:rPr>
          <w:rFonts w:hint="eastAsia" w:ascii="仿宋_GB2312" w:hAnsi="宋体" w:eastAsia="仿宋_GB2312"/>
          <w:b/>
          <w:bCs/>
          <w:sz w:val="32"/>
          <w:szCs w:val="32"/>
        </w:rPr>
        <w:t>下一步拟改进措施</w:t>
      </w:r>
    </w:p>
    <w:p>
      <w:pPr>
        <w:pStyle w:val="11"/>
        <w:spacing w:line="560" w:lineRule="exact"/>
        <w:ind w:firstLine="640" w:firstLineChars="200"/>
        <w:jc w:val="both"/>
        <w:outlineLvl w:val="2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1.下一步拟改进措施</w:t>
      </w:r>
    </w:p>
    <w:p>
      <w:pPr>
        <w:pStyle w:val="11"/>
        <w:spacing w:line="560" w:lineRule="exact"/>
        <w:ind w:firstLine="640" w:firstLineChars="200"/>
        <w:jc w:val="both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（1）建立健全绩效指标体系。根据自身项目特点，充分考虑相关因素，调整相关指标目标值，并在实际执行过程中不断修正避免偏差过大。</w:t>
      </w:r>
    </w:p>
    <w:p>
      <w:pPr>
        <w:spacing w:after="0" w:line="560" w:lineRule="exact"/>
        <w:ind w:firstLine="640" w:firstLineChars="200"/>
        <w:jc w:val="both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（2）加强资金预算管理，科学制定资金使用计划，并合理使用项目资金，充分发挥财政资金效益。</w:t>
      </w:r>
    </w:p>
    <w:p>
      <w:pPr>
        <w:pStyle w:val="11"/>
        <w:spacing w:line="560" w:lineRule="exact"/>
        <w:ind w:firstLine="640" w:firstLineChars="200"/>
        <w:jc w:val="both"/>
        <w:outlineLvl w:val="2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2.拟与预算安排相结合情况</w:t>
      </w:r>
    </w:p>
    <w:p>
      <w:pPr>
        <w:pStyle w:val="11"/>
        <w:spacing w:line="560" w:lineRule="exact"/>
        <w:ind w:firstLine="640" w:firstLineChars="200"/>
        <w:jc w:val="both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（1）对部门预算项目支出实行预算执行与绩效目标的“双监控”，确保预算执行进度和绩效目标落实情况始终处于受控状态中。加强各管理部门间的沟通协调，根据项目工作进度及时安排资金计划，及时核销项目各项支出，确保预算执行率达到与项目进度同步。对监控中发现的绩效目标偏离情况予以调整和纠正。</w:t>
      </w:r>
    </w:p>
    <w:p>
      <w:pPr>
        <w:pStyle w:val="11"/>
        <w:spacing w:line="560" w:lineRule="exact"/>
        <w:ind w:firstLine="640" w:firstLineChars="200"/>
        <w:jc w:val="both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（2）针对预算绩效评价工作中发现的问题，积极采取措施改进，并纳入下年度对部门工作目标责任制考核范畴，对无效或低效的项目责任人进行追责；增强财政资金使用的透明度，接受社会公众监督。</w:t>
      </w:r>
    </w:p>
    <w:p>
      <w:pPr>
        <w:pStyle w:val="11"/>
        <w:spacing w:line="560" w:lineRule="exact"/>
        <w:ind w:firstLine="640" w:firstLineChars="200"/>
        <w:jc w:val="both"/>
        <w:outlineLvl w:val="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附件：2021年度小型修缮项目自评表</w:t>
      </w:r>
    </w:p>
    <w:p>
      <w:pPr>
        <w:pStyle w:val="11"/>
        <w:spacing w:line="560" w:lineRule="exact"/>
        <w:ind w:firstLine="640" w:firstLineChars="200"/>
        <w:jc w:val="both"/>
        <w:outlineLvl w:val="0"/>
        <w:rPr>
          <w:rFonts w:ascii="黑体" w:hAnsi="黑体" w:eastAsia="黑体"/>
          <w:kern w:val="2"/>
          <w:sz w:val="32"/>
          <w:szCs w:val="32"/>
        </w:rPr>
      </w:pPr>
      <w:r>
        <w:rPr>
          <w:rFonts w:hint="eastAsia" w:ascii="黑体" w:hAnsi="黑体" w:eastAsia="黑体"/>
          <w:kern w:val="2"/>
          <w:sz w:val="32"/>
          <w:szCs w:val="32"/>
        </w:rPr>
        <w:t>二、佐证材料</w:t>
      </w:r>
    </w:p>
    <w:p>
      <w:pPr>
        <w:pStyle w:val="11"/>
        <w:spacing w:line="560" w:lineRule="exact"/>
        <w:ind w:firstLine="643" w:firstLineChars="200"/>
        <w:jc w:val="both"/>
        <w:outlineLvl w:val="1"/>
        <w:rPr>
          <w:rFonts w:ascii="仿宋_GB2312" w:hAnsi="宋体" w:eastAsia="仿宋_GB2312"/>
          <w:b/>
          <w:bCs/>
          <w:sz w:val="32"/>
          <w:szCs w:val="32"/>
        </w:rPr>
      </w:pPr>
      <w:r>
        <w:rPr>
          <w:rFonts w:hint="eastAsia" w:ascii="仿宋_GB2312" w:hAnsi="宋体" w:eastAsia="仿宋_GB2312"/>
          <w:b/>
          <w:bCs/>
          <w:sz w:val="32"/>
          <w:szCs w:val="32"/>
        </w:rPr>
        <w:t>（一）基本情况</w:t>
      </w:r>
    </w:p>
    <w:p>
      <w:pPr>
        <w:pStyle w:val="11"/>
        <w:spacing w:line="560" w:lineRule="exact"/>
        <w:ind w:firstLine="640" w:firstLineChars="200"/>
        <w:jc w:val="both"/>
        <w:outlineLvl w:val="2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1.项目立项目的和年度绩效目标</w:t>
      </w:r>
    </w:p>
    <w:p>
      <w:pPr>
        <w:pStyle w:val="11"/>
        <w:spacing w:line="560" w:lineRule="exact"/>
        <w:ind w:firstLine="640" w:firstLineChars="200"/>
        <w:jc w:val="both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（1）项目立项目的：辖区内的基础性维修</w:t>
      </w:r>
    </w:p>
    <w:p>
      <w:pPr>
        <w:pStyle w:val="11"/>
        <w:spacing w:line="560" w:lineRule="exact"/>
        <w:ind w:firstLine="640" w:firstLineChars="200"/>
        <w:jc w:val="both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（2）年度绩效目标：辖区内的道路维修、人行道维修、路灯维修、电子智能化和视频，机关以及二级单位办公场所基础维修。</w:t>
      </w:r>
    </w:p>
    <w:p>
      <w:pPr>
        <w:pStyle w:val="11"/>
        <w:spacing w:line="560" w:lineRule="exact"/>
        <w:ind w:firstLine="640" w:firstLineChars="200"/>
        <w:jc w:val="both"/>
        <w:outlineLvl w:val="2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2.项目资金情况</w:t>
      </w:r>
    </w:p>
    <w:p>
      <w:pPr>
        <w:pStyle w:val="11"/>
        <w:spacing w:line="560" w:lineRule="exact"/>
        <w:ind w:firstLine="664" w:firstLineChars="200"/>
        <w:jc w:val="both"/>
        <w:rPr>
          <w:rFonts w:ascii="仿宋_GB2312" w:hAnsi="宋体" w:eastAsia="仿宋_GB2312"/>
          <w:spacing w:val="6"/>
          <w:sz w:val="32"/>
          <w:szCs w:val="32"/>
        </w:rPr>
      </w:pPr>
      <w:r>
        <w:rPr>
          <w:rFonts w:hint="eastAsia" w:ascii="仿宋_GB2312" w:hAnsi="宋体" w:eastAsia="仿宋_GB2312"/>
          <w:spacing w:val="6"/>
          <w:sz w:val="32"/>
          <w:szCs w:val="32"/>
        </w:rPr>
        <w:t>项目资金全年收到财政拨款1000万元项目，支出1000</w:t>
      </w:r>
      <w:r>
        <w:rPr>
          <w:rFonts w:ascii="仿宋_GB2312" w:hAnsi="宋体" w:eastAsia="仿宋_GB2312"/>
          <w:spacing w:val="6"/>
          <w:sz w:val="32"/>
          <w:szCs w:val="32"/>
        </w:rPr>
        <w:t>万</w:t>
      </w:r>
      <w:r>
        <w:rPr>
          <w:rFonts w:hint="eastAsia" w:ascii="仿宋_GB2312" w:hAnsi="宋体" w:eastAsia="仿宋_GB2312"/>
          <w:spacing w:val="6"/>
          <w:sz w:val="32"/>
          <w:szCs w:val="32"/>
        </w:rPr>
        <w:t>元，明细为小型修缮 797.10万元，大型基建支出202.90万元。</w:t>
      </w:r>
    </w:p>
    <w:p>
      <w:pPr>
        <w:pStyle w:val="11"/>
        <w:spacing w:line="560" w:lineRule="exact"/>
        <w:ind w:firstLine="643" w:firstLineChars="200"/>
        <w:jc w:val="both"/>
        <w:outlineLvl w:val="1"/>
        <w:rPr>
          <w:rFonts w:ascii="仿宋_GB2312" w:hAnsi="宋体" w:eastAsia="仿宋_GB2312"/>
          <w:b/>
          <w:bCs/>
          <w:sz w:val="32"/>
          <w:szCs w:val="32"/>
        </w:rPr>
      </w:pPr>
      <w:r>
        <w:rPr>
          <w:rFonts w:hint="eastAsia" w:ascii="仿宋_GB2312" w:hAnsi="宋体" w:eastAsia="仿宋_GB2312"/>
          <w:b/>
          <w:bCs/>
          <w:sz w:val="32"/>
          <w:szCs w:val="32"/>
        </w:rPr>
        <w:t>（二）项目自评工作开展情况</w:t>
      </w:r>
    </w:p>
    <w:p>
      <w:pPr>
        <w:pStyle w:val="11"/>
        <w:spacing w:line="560" w:lineRule="exact"/>
        <w:ind w:firstLine="640" w:firstLineChars="200"/>
        <w:jc w:val="both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依据《区财政局关于开展2021年度预算绩效自评及结果应用工作的通知》（东财</w:t>
      </w:r>
      <w:r>
        <w:rPr>
          <w:rFonts w:hint="eastAsia" w:ascii="仿宋_GB2312" w:eastAsia="仿宋_GB2312"/>
          <w:sz w:val="32"/>
          <w:szCs w:val="32"/>
        </w:rPr>
        <w:t>【2022】</w:t>
      </w:r>
      <w:r>
        <w:rPr>
          <w:rFonts w:hint="eastAsia" w:ascii="仿宋_GB2312" w:hAnsi="宋体" w:eastAsia="仿宋_GB2312"/>
          <w:sz w:val="32"/>
          <w:szCs w:val="32"/>
        </w:rPr>
        <w:t>4号）文要求，城建办组织人员开展项目绩效自评工作并成立项目自评小组。评价小组收集项目年度完成成果资料，财务科室配合提供专项资金使用财务资料</w:t>
      </w:r>
      <w:bookmarkStart w:id="0" w:name="OLE_LINK1"/>
      <w:bookmarkEnd w:id="0"/>
      <w:r>
        <w:rPr>
          <w:rFonts w:hint="eastAsia" w:ascii="仿宋_GB2312" w:hAnsi="宋体" w:eastAsia="仿宋_GB2312"/>
          <w:sz w:val="32"/>
          <w:szCs w:val="32"/>
        </w:rPr>
        <w:t>。经整合项目预算执行和业务资料，对项目绩效指标完成情况自评评分并撰写自评报告。</w:t>
      </w:r>
    </w:p>
    <w:p>
      <w:pPr>
        <w:pStyle w:val="11"/>
        <w:spacing w:line="560" w:lineRule="exact"/>
        <w:ind w:firstLine="643" w:firstLineChars="200"/>
        <w:jc w:val="both"/>
        <w:outlineLvl w:val="1"/>
        <w:rPr>
          <w:rFonts w:ascii="仿宋_GB2312" w:hAnsi="宋体" w:eastAsia="仿宋_GB2312"/>
          <w:b/>
          <w:bCs/>
          <w:sz w:val="32"/>
          <w:szCs w:val="32"/>
        </w:rPr>
      </w:pPr>
      <w:r>
        <w:rPr>
          <w:rFonts w:hint="eastAsia" w:ascii="仿宋_GB2312" w:hAnsi="宋体" w:eastAsia="仿宋_GB2312"/>
          <w:b/>
          <w:bCs/>
          <w:sz w:val="32"/>
          <w:szCs w:val="32"/>
        </w:rPr>
        <w:t>（三）绩效目标完成情况分析</w:t>
      </w:r>
    </w:p>
    <w:p>
      <w:pPr>
        <w:pStyle w:val="11"/>
        <w:spacing w:line="560" w:lineRule="exact"/>
        <w:ind w:firstLine="640" w:firstLineChars="200"/>
        <w:jc w:val="both"/>
        <w:outlineLvl w:val="3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1.预算执行情况分析</w:t>
      </w:r>
    </w:p>
    <w:p>
      <w:pPr>
        <w:pStyle w:val="11"/>
        <w:spacing w:line="560" w:lineRule="exact"/>
        <w:ind w:firstLine="640" w:firstLineChars="200"/>
        <w:jc w:val="both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2021年度小型修缮项目年初预算1000万元，执行数1000万元，执行率100%。</w:t>
      </w:r>
    </w:p>
    <w:p>
      <w:pPr>
        <w:pStyle w:val="11"/>
        <w:tabs>
          <w:tab w:val="left" w:pos="6505"/>
        </w:tabs>
        <w:spacing w:line="560" w:lineRule="exact"/>
        <w:ind w:firstLine="640" w:firstLineChars="200"/>
        <w:jc w:val="both"/>
        <w:outlineLvl w:val="3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2.绩效目标完成情况分析</w:t>
      </w:r>
      <w:r>
        <w:rPr>
          <w:rFonts w:hint="eastAsia" w:ascii="仿宋_GB2312" w:hAnsi="宋体" w:eastAsia="仿宋_GB2312"/>
          <w:sz w:val="32"/>
          <w:szCs w:val="32"/>
        </w:rPr>
        <w:tab/>
      </w:r>
    </w:p>
    <w:p>
      <w:pPr>
        <w:pStyle w:val="11"/>
        <w:spacing w:line="560" w:lineRule="exact"/>
        <w:ind w:firstLine="640" w:firstLineChars="200"/>
        <w:jc w:val="both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（1）产出指标完成情况分析</w:t>
      </w:r>
    </w:p>
    <w:p>
      <w:pPr>
        <w:pStyle w:val="11"/>
        <w:spacing w:line="560" w:lineRule="exact"/>
        <w:ind w:firstLine="640" w:firstLineChars="200"/>
        <w:jc w:val="both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①数量指标：市政基础设施项目，年初目标值为≥60个。实际完成40项，此指标得0分。</w:t>
      </w:r>
    </w:p>
    <w:p>
      <w:pPr>
        <w:pStyle w:val="11"/>
        <w:spacing w:line="560" w:lineRule="exact"/>
        <w:ind w:firstLine="640" w:firstLineChars="200"/>
        <w:jc w:val="both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安装及水电气通信项目，年初目标值为</w:t>
      </w:r>
      <w:r>
        <w:rPr>
          <w:rFonts w:hint="eastAsia" w:ascii="仿宋_GB2312" w:hAnsi="宋体" w:eastAsia="仿宋_GB2312"/>
          <w:sz w:val="32"/>
          <w:szCs w:val="32"/>
        </w:rPr>
        <w:t>≥10个</w:t>
      </w:r>
      <w:r>
        <w:rPr>
          <w:rFonts w:hint="eastAsia" w:ascii="仿宋_GB2312" w:hAnsi="仿宋" w:eastAsia="仿宋_GB2312"/>
          <w:sz w:val="32"/>
          <w:szCs w:val="32"/>
        </w:rPr>
        <w:t>。实际完成9个，此指标得0分。</w:t>
      </w:r>
    </w:p>
    <w:p>
      <w:pPr>
        <w:pStyle w:val="11"/>
        <w:spacing w:line="560" w:lineRule="exact"/>
        <w:ind w:firstLine="640" w:firstLineChars="200"/>
        <w:jc w:val="both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修建电子智能化项目，年初目标值为≥2个。实际完成2</w:t>
      </w:r>
      <w:r>
        <w:rPr>
          <w:rFonts w:hint="eastAsia" w:ascii="仿宋_GB2312" w:hAnsi="仿宋" w:eastAsia="仿宋_GB2312"/>
          <w:sz w:val="32"/>
          <w:szCs w:val="32"/>
        </w:rPr>
        <w:t>个</w:t>
      </w:r>
      <w:r>
        <w:rPr>
          <w:rFonts w:hint="eastAsia" w:ascii="仿宋_GB2312" w:hAnsi="宋体" w:eastAsia="仿宋_GB2312"/>
          <w:sz w:val="32"/>
          <w:szCs w:val="32"/>
        </w:rPr>
        <w:t>，此指标得2分。</w:t>
      </w:r>
    </w:p>
    <w:p>
      <w:pPr>
        <w:pStyle w:val="11"/>
        <w:spacing w:line="560" w:lineRule="exact"/>
        <w:ind w:firstLine="640" w:firstLineChars="200"/>
        <w:jc w:val="both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完成修缮住房、办公用房类项目，年初目标值为≥10个。实际完成14</w:t>
      </w:r>
      <w:r>
        <w:rPr>
          <w:rFonts w:hint="eastAsia" w:ascii="仿宋_GB2312" w:hAnsi="仿宋" w:eastAsia="仿宋_GB2312"/>
          <w:sz w:val="32"/>
          <w:szCs w:val="32"/>
        </w:rPr>
        <w:t>个</w:t>
      </w:r>
      <w:r>
        <w:rPr>
          <w:rFonts w:hint="eastAsia" w:ascii="仿宋_GB2312" w:hAnsi="宋体" w:eastAsia="仿宋_GB2312"/>
          <w:sz w:val="32"/>
          <w:szCs w:val="32"/>
        </w:rPr>
        <w:t>，此指标得3分。</w:t>
      </w:r>
    </w:p>
    <w:p>
      <w:pPr>
        <w:pStyle w:val="11"/>
        <w:spacing w:line="560" w:lineRule="exact"/>
        <w:ind w:firstLine="640" w:firstLineChars="200"/>
        <w:jc w:val="both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②质量指标：工程质量合格率，年初目标值为≥99.5%。实际是工程质量经验收均合格，此指标得10分。</w:t>
      </w:r>
    </w:p>
    <w:p>
      <w:pPr>
        <w:pStyle w:val="11"/>
        <w:spacing w:line="560" w:lineRule="exact"/>
        <w:ind w:firstLine="640" w:firstLineChars="200"/>
        <w:jc w:val="both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③时效指标：项目进度达标率，年初目标值为</w:t>
      </w:r>
      <w:r>
        <w:rPr>
          <w:rFonts w:ascii="仿宋_GB2312" w:hAnsi="宋体" w:eastAsia="仿宋_GB2312"/>
          <w:sz w:val="32"/>
          <w:szCs w:val="32"/>
        </w:rPr>
        <w:t>100%</w:t>
      </w:r>
      <w:r>
        <w:rPr>
          <w:rFonts w:hint="eastAsia" w:ascii="仿宋_GB2312" w:hAnsi="宋体" w:eastAsia="仿宋_GB2312"/>
          <w:sz w:val="32"/>
          <w:szCs w:val="32"/>
        </w:rPr>
        <w:t>。本年度小型修缮工程均在限定时间内完成，项目进度达标率100%此指标得5分。</w:t>
      </w:r>
    </w:p>
    <w:p>
      <w:pPr>
        <w:pStyle w:val="11"/>
        <w:spacing w:line="560" w:lineRule="exact"/>
        <w:ind w:firstLine="640" w:firstLineChars="200"/>
        <w:jc w:val="both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项目完工率，年初目标值为100%。实际是修缮项目完工验收后立即交付使用，项目完工交付率达100%，此指标得5分。</w:t>
      </w:r>
    </w:p>
    <w:p>
      <w:pPr>
        <w:pStyle w:val="11"/>
        <w:spacing w:line="560" w:lineRule="exact"/>
        <w:ind w:firstLine="640" w:firstLineChars="200"/>
        <w:jc w:val="both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④成本指标：成本控制率，年初目标值为100%不超合同约定价格。实际是96%结算价未超合同约定价格，此指标得9.6分。</w:t>
      </w:r>
    </w:p>
    <w:p>
      <w:pPr>
        <w:pStyle w:val="11"/>
        <w:spacing w:line="560" w:lineRule="exact"/>
        <w:ind w:firstLine="640" w:firstLineChars="200"/>
        <w:jc w:val="both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（2）效益指标完成情况分析</w:t>
      </w:r>
    </w:p>
    <w:p>
      <w:pPr>
        <w:pStyle w:val="11"/>
        <w:spacing w:line="560" w:lineRule="exact"/>
        <w:ind w:firstLine="640" w:firstLineChars="200"/>
        <w:jc w:val="both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①管理效益指标：施工废弃物，年初目标值为合理处置。实际是预算资金含施工方处置废弃物费用，合理处置完毕后竣工验收，此指标得6分。</w:t>
      </w:r>
    </w:p>
    <w:p>
      <w:pPr>
        <w:pStyle w:val="11"/>
        <w:spacing w:line="560" w:lineRule="exact"/>
        <w:ind w:firstLine="640" w:firstLineChars="200"/>
        <w:jc w:val="both"/>
        <w:rPr>
          <w:rStyle w:val="9"/>
        </w:rPr>
      </w:pPr>
      <w:r>
        <w:rPr>
          <w:rFonts w:hint="eastAsia" w:ascii="仿宋_GB2312" w:hAnsi="仿宋" w:eastAsia="仿宋_GB2312"/>
          <w:sz w:val="32"/>
          <w:szCs w:val="32"/>
        </w:rPr>
        <w:t>②</w:t>
      </w:r>
      <w:r>
        <w:rPr>
          <w:rFonts w:hint="eastAsia" w:ascii="仿宋_GB2312" w:hAnsi="宋体" w:eastAsia="仿宋_GB2312"/>
          <w:sz w:val="32"/>
          <w:szCs w:val="32"/>
        </w:rPr>
        <w:t>经济效益指标：营商环境，年初目标值为改善。实际是</w:t>
      </w:r>
    </w:p>
    <w:p>
      <w:pPr>
        <w:pStyle w:val="11"/>
        <w:spacing w:line="560" w:lineRule="exact"/>
        <w:ind w:firstLine="200"/>
        <w:jc w:val="both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本年度完成金银湖一街（三江航天集团南门）至金银湖路新建人行道工程、金海工业园路灯安装工程、金海一路（金海工业园内）砂石路面维修工程、汉高公司门前土路改造工程等小型修缮工程，为辖区内企业单位提供良好营商工作环境，此指标得6分。</w:t>
      </w:r>
    </w:p>
    <w:p>
      <w:pPr>
        <w:pStyle w:val="11"/>
        <w:spacing w:line="560" w:lineRule="exact"/>
        <w:ind w:firstLine="640" w:firstLineChars="200"/>
        <w:jc w:val="both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 xml:space="preserve">③社会效益指标：社区办公条件，年初目标值为改善。实际是本年度完成金银湖街机关大楼屋面及外墙漏水维修工程、城管所墙面工程等，提升了社区办公环境。此指标得6分。 </w:t>
      </w:r>
    </w:p>
    <w:p>
      <w:pPr>
        <w:pStyle w:val="11"/>
        <w:spacing w:line="560" w:lineRule="exact"/>
        <w:ind w:firstLine="640" w:firstLineChars="200"/>
        <w:jc w:val="both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方便群众出行，年初目标值为效果显著。实际是本年度完成新建环湖三路两侧人行道工程、清水湾路破损人行道修复工程及修复多条人行道等，为群众出行提供方便，维修前后对比效果显著，此指标得6分。</w:t>
      </w:r>
    </w:p>
    <w:p>
      <w:pPr>
        <w:pStyle w:val="11"/>
        <w:spacing w:line="560" w:lineRule="exact"/>
        <w:ind w:firstLine="640" w:firstLineChars="200"/>
        <w:jc w:val="both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④可持续影响指标：工程施工事故发生率，年初目标值为零事故。实际是本</w:t>
      </w:r>
      <w:r>
        <w:rPr>
          <w:rFonts w:hint="eastAsia" w:ascii="仿宋_GB2312" w:hAnsi="宋体" w:eastAsia="仿宋_GB2312"/>
          <w:sz w:val="32"/>
          <w:szCs w:val="32"/>
        </w:rPr>
        <w:t>年度完成的小型修缮项目均未发生安全事故，</w:t>
      </w:r>
      <w:r>
        <w:rPr>
          <w:rFonts w:hint="eastAsia" w:ascii="仿宋_GB2312" w:hAnsi="仿宋" w:eastAsia="仿宋_GB2312"/>
          <w:sz w:val="32"/>
          <w:szCs w:val="32"/>
        </w:rPr>
        <w:t>此指标得6分。</w:t>
      </w:r>
    </w:p>
    <w:p>
      <w:pPr>
        <w:pStyle w:val="11"/>
        <w:spacing w:line="560" w:lineRule="exact"/>
        <w:ind w:firstLine="640" w:firstLineChars="200"/>
        <w:jc w:val="both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（3）满意度指标完成情况分析</w:t>
      </w:r>
    </w:p>
    <w:p>
      <w:pPr>
        <w:pStyle w:val="11"/>
        <w:spacing w:line="560" w:lineRule="exact"/>
        <w:ind w:firstLine="640" w:firstLineChars="200"/>
        <w:jc w:val="both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①服务对象满意度指标：一感一度满意率，</w:t>
      </w:r>
      <w:r>
        <w:rPr>
          <w:rFonts w:hint="eastAsia" w:ascii="仿宋_GB2312" w:hAnsi="仿宋" w:eastAsia="仿宋_GB2312"/>
          <w:sz w:val="32"/>
          <w:szCs w:val="32"/>
        </w:rPr>
        <w:t>年初目标值为</w:t>
      </w:r>
      <w:r>
        <w:rPr>
          <w:rFonts w:hint="eastAsia" w:ascii="仿宋_GB2312" w:hAnsi="宋体" w:eastAsia="仿宋_GB2312"/>
          <w:sz w:val="32"/>
          <w:szCs w:val="32"/>
        </w:rPr>
        <w:t>≥</w:t>
      </w:r>
      <w:r>
        <w:rPr>
          <w:rFonts w:hint="eastAsia" w:ascii="仿宋_GB2312" w:hAnsi="仿宋" w:eastAsia="仿宋_GB2312"/>
          <w:sz w:val="32"/>
          <w:szCs w:val="32"/>
        </w:rPr>
        <w:t>90%。实际满意度达100%，此指标得5分。</w:t>
      </w:r>
    </w:p>
    <w:p>
      <w:pPr>
        <w:pStyle w:val="11"/>
        <w:spacing w:line="560" w:lineRule="exact"/>
        <w:ind w:firstLine="640" w:firstLineChars="200"/>
        <w:jc w:val="both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②</w:t>
      </w:r>
      <w:r>
        <w:rPr>
          <w:rFonts w:hint="eastAsia" w:ascii="仿宋_GB2312" w:hAnsi="宋体" w:eastAsia="仿宋_GB2312"/>
          <w:sz w:val="32"/>
          <w:szCs w:val="32"/>
        </w:rPr>
        <w:t>双评议满意度，</w:t>
      </w:r>
      <w:r>
        <w:rPr>
          <w:rFonts w:hint="eastAsia" w:ascii="仿宋_GB2312" w:hAnsi="仿宋" w:eastAsia="仿宋_GB2312"/>
          <w:sz w:val="32"/>
          <w:szCs w:val="32"/>
        </w:rPr>
        <w:t>年初目标值为</w:t>
      </w:r>
      <w:r>
        <w:rPr>
          <w:rFonts w:hint="eastAsia" w:ascii="仿宋_GB2312" w:hAnsi="宋体" w:eastAsia="仿宋_GB2312"/>
          <w:sz w:val="32"/>
          <w:szCs w:val="32"/>
        </w:rPr>
        <w:t>≥</w:t>
      </w:r>
      <w:r>
        <w:rPr>
          <w:rFonts w:hint="eastAsia" w:ascii="仿宋_GB2312" w:hAnsi="仿宋" w:eastAsia="仿宋_GB2312"/>
          <w:sz w:val="32"/>
          <w:szCs w:val="32"/>
        </w:rPr>
        <w:t>90%。实际满意度达100%，此指标得5分。</w:t>
      </w:r>
    </w:p>
    <w:p>
      <w:pPr>
        <w:pStyle w:val="11"/>
        <w:spacing w:line="560" w:lineRule="exact"/>
        <w:ind w:firstLine="643" w:firstLineChars="200"/>
        <w:jc w:val="both"/>
        <w:outlineLvl w:val="1"/>
        <w:rPr>
          <w:rFonts w:ascii="仿宋_GB2312" w:hAnsi="宋体" w:eastAsia="仿宋_GB2312"/>
          <w:b/>
          <w:bCs/>
          <w:sz w:val="32"/>
          <w:szCs w:val="32"/>
        </w:rPr>
      </w:pPr>
      <w:r>
        <w:rPr>
          <w:rFonts w:hint="eastAsia" w:ascii="仿宋_GB2312" w:hAnsi="宋体" w:eastAsia="仿宋_GB2312"/>
          <w:b/>
          <w:bCs/>
          <w:sz w:val="32"/>
          <w:szCs w:val="32"/>
        </w:rPr>
        <w:t>（四）上年度项目自评结果应用情况</w:t>
      </w:r>
    </w:p>
    <w:p>
      <w:pPr>
        <w:pStyle w:val="11"/>
        <w:spacing w:line="560" w:lineRule="exact"/>
        <w:ind w:firstLine="640" w:firstLineChars="200"/>
        <w:jc w:val="both"/>
        <w:outlineLvl w:val="3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1.上年度自评结果</w:t>
      </w:r>
    </w:p>
    <w:p>
      <w:pPr>
        <w:pStyle w:val="11"/>
        <w:spacing w:line="560" w:lineRule="exact"/>
        <w:ind w:firstLine="640" w:firstLineChars="200"/>
        <w:jc w:val="both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2020年度一般行政管理事务项目绩效综合评价得分79.96分，其中预算执行情况20.00分，产出指标</w:t>
      </w:r>
      <w:r>
        <w:rPr>
          <w:rFonts w:ascii="仿宋_GB2312" w:hAnsi="黑体" w:eastAsia="仿宋_GB2312"/>
          <w:kern w:val="2"/>
          <w:sz w:val="32"/>
          <w:szCs w:val="32"/>
        </w:rPr>
        <w:t>29.96</w:t>
      </w:r>
      <w:r>
        <w:rPr>
          <w:rFonts w:hint="eastAsia" w:ascii="仿宋_GB2312" w:hAnsi="宋体" w:eastAsia="仿宋_GB2312"/>
          <w:sz w:val="32"/>
          <w:szCs w:val="32"/>
        </w:rPr>
        <w:t>分，效益指标</w:t>
      </w:r>
      <w:r>
        <w:rPr>
          <w:rFonts w:ascii="仿宋_GB2312" w:hAnsi="黑体" w:eastAsia="仿宋_GB2312"/>
          <w:kern w:val="2"/>
          <w:sz w:val="32"/>
          <w:szCs w:val="32"/>
        </w:rPr>
        <w:t>30</w:t>
      </w:r>
      <w:r>
        <w:rPr>
          <w:rFonts w:hint="eastAsia" w:ascii="仿宋_GB2312" w:hAnsi="黑体" w:eastAsia="仿宋_GB2312"/>
          <w:kern w:val="2"/>
          <w:sz w:val="32"/>
          <w:szCs w:val="32"/>
        </w:rPr>
        <w:t>.00</w:t>
      </w:r>
      <w:r>
        <w:rPr>
          <w:rFonts w:hint="eastAsia" w:ascii="仿宋_GB2312" w:hAnsi="宋体" w:eastAsia="仿宋_GB2312"/>
          <w:sz w:val="32"/>
          <w:szCs w:val="32"/>
        </w:rPr>
        <w:t>分，满意度指标0.00分。</w:t>
      </w:r>
    </w:p>
    <w:p>
      <w:pPr>
        <w:pStyle w:val="11"/>
        <w:spacing w:line="560" w:lineRule="exact"/>
        <w:ind w:firstLine="640" w:firstLineChars="200"/>
        <w:jc w:val="both"/>
        <w:outlineLvl w:val="3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2.上年度存在的问题</w:t>
      </w:r>
    </w:p>
    <w:p>
      <w:pPr>
        <w:pStyle w:val="11"/>
        <w:spacing w:line="560" w:lineRule="exact"/>
        <w:ind w:firstLine="200"/>
        <w:jc w:val="both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（1）未科学编制预算</w:t>
      </w:r>
    </w:p>
    <w:p>
      <w:pPr>
        <w:pStyle w:val="11"/>
        <w:spacing w:line="560" w:lineRule="exact"/>
        <w:ind w:firstLine="200"/>
        <w:jc w:val="both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（2）绩效目标完成不理想</w:t>
      </w:r>
    </w:p>
    <w:p>
      <w:pPr>
        <w:pStyle w:val="11"/>
        <w:spacing w:line="560" w:lineRule="exact"/>
        <w:ind w:firstLine="640" w:firstLineChars="200"/>
        <w:jc w:val="both"/>
        <w:outlineLvl w:val="3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3.上年度拟改进措施</w:t>
      </w:r>
    </w:p>
    <w:p>
      <w:pPr>
        <w:pStyle w:val="11"/>
        <w:spacing w:line="560" w:lineRule="exact"/>
        <w:ind w:firstLine="200"/>
        <w:jc w:val="both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（1）科学合理编制预算，加强预算绩效管理。</w:t>
      </w:r>
    </w:p>
    <w:p>
      <w:pPr>
        <w:pStyle w:val="11"/>
        <w:spacing w:line="560" w:lineRule="exact"/>
        <w:ind w:firstLine="640" w:firstLineChars="200"/>
        <w:jc w:val="both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（2）建立健全绩效指标体系，制定最能反映项目绩效管理要求的关键性指标，实际执行过程不</w:t>
      </w:r>
      <w:r>
        <w:rPr>
          <w:rFonts w:hint="eastAsia" w:ascii="仿宋_GB2312" w:hAnsi="微软雅黑" w:eastAsia="仿宋_GB2312" w:cs="微软雅黑"/>
          <w:sz w:val="32"/>
          <w:szCs w:val="32"/>
        </w:rPr>
        <w:t>断修正避免偏差过大。</w:t>
      </w:r>
    </w:p>
    <w:p>
      <w:pPr>
        <w:pStyle w:val="11"/>
        <w:spacing w:line="560" w:lineRule="exact"/>
        <w:ind w:firstLine="640" w:firstLineChars="200"/>
        <w:jc w:val="both"/>
        <w:outlineLvl w:val="3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4.上年度部门自评结果本年度应用情况</w:t>
      </w:r>
    </w:p>
    <w:p>
      <w:pPr>
        <w:pStyle w:val="11"/>
        <w:spacing w:line="560" w:lineRule="exact"/>
        <w:ind w:firstLine="640" w:firstLineChars="200"/>
        <w:jc w:val="both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金银湖街道办事处城建办上年度部门自评结果本年度应用情况较好，2021年科学合理编制预算，有效提高了资金执行率；部分结果应用有待加强，如绩效目标完成不理想，金银湖街道办事处应以以前年度绩效目标指标值为基础，进一步结合当年申报项目情况，合理设定目标，建立健全绩效指标体系。</w:t>
      </w:r>
    </w:p>
    <w:p>
      <w:pPr>
        <w:pStyle w:val="11"/>
        <w:spacing w:line="560" w:lineRule="exact"/>
        <w:ind w:firstLine="643" w:firstLineChars="200"/>
        <w:jc w:val="both"/>
        <w:outlineLvl w:val="1"/>
        <w:rPr>
          <w:rFonts w:ascii="仿宋_GB2312" w:hAnsi="宋体" w:eastAsia="仿宋_GB2312"/>
          <w:b/>
          <w:bCs/>
          <w:sz w:val="32"/>
          <w:szCs w:val="32"/>
        </w:rPr>
      </w:pPr>
      <w:r>
        <w:rPr>
          <w:rFonts w:hint="eastAsia" w:ascii="仿宋_GB2312" w:hAnsi="宋体" w:eastAsia="仿宋_GB2312"/>
          <w:b/>
          <w:bCs/>
          <w:sz w:val="32"/>
          <w:szCs w:val="32"/>
        </w:rPr>
        <w:t>（五）其他佐证材料</w:t>
      </w:r>
    </w:p>
    <w:p>
      <w:pPr>
        <w:pStyle w:val="11"/>
        <w:spacing w:line="560" w:lineRule="exact"/>
        <w:ind w:firstLine="640" w:firstLineChars="200"/>
        <w:jc w:val="both"/>
        <w:rPr>
          <w:rFonts w:ascii="仿宋_GB2312" w:hAnsi="宋体" w:eastAsia="仿宋_GB2312"/>
          <w:sz w:val="32"/>
          <w:szCs w:val="32"/>
        </w:rPr>
      </w:pPr>
      <w:r>
        <w:rPr>
          <w:rFonts w:ascii="仿宋_GB2312" w:hAnsi="宋体" w:eastAsia="仿宋_GB2312"/>
          <w:sz w:val="32"/>
          <w:szCs w:val="32"/>
        </w:rPr>
        <w:t>无</w:t>
      </w:r>
      <w:r>
        <w:rPr>
          <w:rFonts w:hint="eastAsia" w:ascii="仿宋_GB2312" w:hAnsi="宋体" w:eastAsia="仿宋_GB2312"/>
          <w:sz w:val="32"/>
          <w:szCs w:val="32"/>
        </w:rPr>
        <w:t>。</w:t>
      </w:r>
    </w:p>
    <w:p>
      <w:pPr>
        <w:pStyle w:val="11"/>
        <w:spacing w:line="540" w:lineRule="exact"/>
        <w:ind w:firstLine="585"/>
        <w:rPr>
          <w:rFonts w:ascii="仿宋_GB2312" w:hAnsi="宋体" w:eastAsia="仿宋_GB2312"/>
          <w:sz w:val="32"/>
          <w:szCs w:val="32"/>
        </w:rPr>
      </w:pPr>
    </w:p>
    <w:p>
      <w:pPr>
        <w:spacing w:line="540" w:lineRule="exact"/>
      </w:pPr>
    </w:p>
    <w:sectPr>
      <w:footerReference r:id="rId4" w:type="default"/>
      <w:pgSz w:w="11906" w:h="16838"/>
      <w:pgMar w:top="1474" w:right="1474" w:bottom="1474" w:left="1474" w:header="851" w:footer="992" w:gutter="34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公文小标宋简">
    <w:altName w:val="宋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right"/>
      <w:rPr>
        <w:rFonts w:ascii="Times New Roman" w:hAnsi="Times New Roman"/>
        <w:sz w:val="24"/>
      </w:rPr>
    </w:pPr>
    <w:r>
      <w:rPr>
        <w:sz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4"/>
                          </w:pPr>
                          <w:r>
                            <w:t xml:space="preserve">—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- 1 -</w:t>
                          </w:r>
                          <w:r>
                            <w:fldChar w:fldCharType="end"/>
                          </w:r>
                          <w: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</w:pPr>
                    <w:r>
                      <w:t xml:space="preserve">—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- 1 -</w:t>
                    </w:r>
                    <w:r>
                      <w:fldChar w:fldCharType="end"/>
                    </w:r>
                    <w: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366AB8D"/>
    <w:multiLevelType w:val="singleLevel"/>
    <w:tmpl w:val="D366AB8D"/>
    <w:lvl w:ilvl="0" w:tentative="0">
      <w:start w:val="3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ZhZWYwYjUyOTM5ODYwMTIyMGJlMzQ5NWYwYmFjZjQifQ=="/>
  </w:docVars>
  <w:rsids>
    <w:rsidRoot w:val="00DA70E0"/>
    <w:rsid w:val="00000152"/>
    <w:rsid w:val="00003DA1"/>
    <w:rsid w:val="000055BE"/>
    <w:rsid w:val="0001191A"/>
    <w:rsid w:val="0001484C"/>
    <w:rsid w:val="00023850"/>
    <w:rsid w:val="00024FF4"/>
    <w:rsid w:val="0002586C"/>
    <w:rsid w:val="00027D50"/>
    <w:rsid w:val="00033D23"/>
    <w:rsid w:val="00035ECA"/>
    <w:rsid w:val="00050B2E"/>
    <w:rsid w:val="00054510"/>
    <w:rsid w:val="000558BD"/>
    <w:rsid w:val="00071547"/>
    <w:rsid w:val="00072270"/>
    <w:rsid w:val="00074AAA"/>
    <w:rsid w:val="000A09C5"/>
    <w:rsid w:val="000A34E4"/>
    <w:rsid w:val="000A4221"/>
    <w:rsid w:val="000B0921"/>
    <w:rsid w:val="000B11F9"/>
    <w:rsid w:val="000C224A"/>
    <w:rsid w:val="000C742B"/>
    <w:rsid w:val="000D15E0"/>
    <w:rsid w:val="000E28FC"/>
    <w:rsid w:val="000E4185"/>
    <w:rsid w:val="00101B41"/>
    <w:rsid w:val="001030AA"/>
    <w:rsid w:val="001036AD"/>
    <w:rsid w:val="001043A9"/>
    <w:rsid w:val="00106056"/>
    <w:rsid w:val="001114AF"/>
    <w:rsid w:val="00111F6C"/>
    <w:rsid w:val="0012125F"/>
    <w:rsid w:val="00123B23"/>
    <w:rsid w:val="001314E8"/>
    <w:rsid w:val="001343A0"/>
    <w:rsid w:val="00134C6F"/>
    <w:rsid w:val="00144752"/>
    <w:rsid w:val="001860B9"/>
    <w:rsid w:val="001862C3"/>
    <w:rsid w:val="00197B43"/>
    <w:rsid w:val="001C47EF"/>
    <w:rsid w:val="001D09EF"/>
    <w:rsid w:val="001D0B6D"/>
    <w:rsid w:val="001D487C"/>
    <w:rsid w:val="001D4F86"/>
    <w:rsid w:val="001D53C9"/>
    <w:rsid w:val="001D7B00"/>
    <w:rsid w:val="001E072D"/>
    <w:rsid w:val="001E2C0D"/>
    <w:rsid w:val="001E42C4"/>
    <w:rsid w:val="001E78B6"/>
    <w:rsid w:val="001F05FC"/>
    <w:rsid w:val="001F172B"/>
    <w:rsid w:val="001F1B3A"/>
    <w:rsid w:val="001F4774"/>
    <w:rsid w:val="001F4A89"/>
    <w:rsid w:val="001F62E5"/>
    <w:rsid w:val="00202861"/>
    <w:rsid w:val="00203B24"/>
    <w:rsid w:val="0020559E"/>
    <w:rsid w:val="00207E9D"/>
    <w:rsid w:val="00212A1A"/>
    <w:rsid w:val="00227A3F"/>
    <w:rsid w:val="0023107A"/>
    <w:rsid w:val="00233934"/>
    <w:rsid w:val="002346AF"/>
    <w:rsid w:val="002415F9"/>
    <w:rsid w:val="00250CDD"/>
    <w:rsid w:val="002529AD"/>
    <w:rsid w:val="00257555"/>
    <w:rsid w:val="00260C4C"/>
    <w:rsid w:val="00271947"/>
    <w:rsid w:val="002725FA"/>
    <w:rsid w:val="0027454C"/>
    <w:rsid w:val="002937BC"/>
    <w:rsid w:val="00294692"/>
    <w:rsid w:val="002A2276"/>
    <w:rsid w:val="002B063E"/>
    <w:rsid w:val="002B6BF8"/>
    <w:rsid w:val="002C66D0"/>
    <w:rsid w:val="002D6915"/>
    <w:rsid w:val="002E4793"/>
    <w:rsid w:val="002F5D91"/>
    <w:rsid w:val="003037C6"/>
    <w:rsid w:val="0030401E"/>
    <w:rsid w:val="003121EC"/>
    <w:rsid w:val="00313C99"/>
    <w:rsid w:val="0032089C"/>
    <w:rsid w:val="0032199B"/>
    <w:rsid w:val="0033686E"/>
    <w:rsid w:val="00357D50"/>
    <w:rsid w:val="00365A01"/>
    <w:rsid w:val="003670FD"/>
    <w:rsid w:val="00381718"/>
    <w:rsid w:val="00382CC3"/>
    <w:rsid w:val="0038638A"/>
    <w:rsid w:val="00390209"/>
    <w:rsid w:val="00390F08"/>
    <w:rsid w:val="00397DD3"/>
    <w:rsid w:val="003A00C6"/>
    <w:rsid w:val="003A5BF4"/>
    <w:rsid w:val="003B7281"/>
    <w:rsid w:val="003C3BAF"/>
    <w:rsid w:val="003C4E99"/>
    <w:rsid w:val="003D51DF"/>
    <w:rsid w:val="003E6D34"/>
    <w:rsid w:val="003F2F51"/>
    <w:rsid w:val="00405263"/>
    <w:rsid w:val="00411BCE"/>
    <w:rsid w:val="00415369"/>
    <w:rsid w:val="0042231F"/>
    <w:rsid w:val="00423165"/>
    <w:rsid w:val="00433089"/>
    <w:rsid w:val="004401D7"/>
    <w:rsid w:val="004411DE"/>
    <w:rsid w:val="00452DF7"/>
    <w:rsid w:val="004556D6"/>
    <w:rsid w:val="00456970"/>
    <w:rsid w:val="00457B35"/>
    <w:rsid w:val="00462D5F"/>
    <w:rsid w:val="0047361D"/>
    <w:rsid w:val="00483A45"/>
    <w:rsid w:val="004924A7"/>
    <w:rsid w:val="00492E51"/>
    <w:rsid w:val="004A3B44"/>
    <w:rsid w:val="004C30BB"/>
    <w:rsid w:val="004E3F5C"/>
    <w:rsid w:val="004F2265"/>
    <w:rsid w:val="005053EC"/>
    <w:rsid w:val="005064AE"/>
    <w:rsid w:val="00513777"/>
    <w:rsid w:val="00513BB1"/>
    <w:rsid w:val="0051479E"/>
    <w:rsid w:val="005255E4"/>
    <w:rsid w:val="00535082"/>
    <w:rsid w:val="005472FB"/>
    <w:rsid w:val="005561C6"/>
    <w:rsid w:val="0056053D"/>
    <w:rsid w:val="0056054D"/>
    <w:rsid w:val="00576136"/>
    <w:rsid w:val="00582C0F"/>
    <w:rsid w:val="005A06BF"/>
    <w:rsid w:val="005A6DCB"/>
    <w:rsid w:val="005D15F9"/>
    <w:rsid w:val="005D3432"/>
    <w:rsid w:val="005D6C4C"/>
    <w:rsid w:val="005E223F"/>
    <w:rsid w:val="005E2CC6"/>
    <w:rsid w:val="005E584B"/>
    <w:rsid w:val="005E77CF"/>
    <w:rsid w:val="005F141F"/>
    <w:rsid w:val="005F4A3A"/>
    <w:rsid w:val="00600EBC"/>
    <w:rsid w:val="00601604"/>
    <w:rsid w:val="00622505"/>
    <w:rsid w:val="0064417B"/>
    <w:rsid w:val="0065441F"/>
    <w:rsid w:val="006566FC"/>
    <w:rsid w:val="006577F2"/>
    <w:rsid w:val="006704AB"/>
    <w:rsid w:val="00684F51"/>
    <w:rsid w:val="00685BE5"/>
    <w:rsid w:val="006919F0"/>
    <w:rsid w:val="00692E49"/>
    <w:rsid w:val="00695857"/>
    <w:rsid w:val="006A22D9"/>
    <w:rsid w:val="006A39C0"/>
    <w:rsid w:val="006A462D"/>
    <w:rsid w:val="006A5789"/>
    <w:rsid w:val="006A582F"/>
    <w:rsid w:val="006A59D0"/>
    <w:rsid w:val="006A7A1E"/>
    <w:rsid w:val="006D2346"/>
    <w:rsid w:val="006D58BF"/>
    <w:rsid w:val="006E0D10"/>
    <w:rsid w:val="006E1AC4"/>
    <w:rsid w:val="006E28D4"/>
    <w:rsid w:val="006E350A"/>
    <w:rsid w:val="006F539F"/>
    <w:rsid w:val="006F75D8"/>
    <w:rsid w:val="0070027E"/>
    <w:rsid w:val="00707597"/>
    <w:rsid w:val="00717AAA"/>
    <w:rsid w:val="00735A00"/>
    <w:rsid w:val="007402AD"/>
    <w:rsid w:val="00743A3C"/>
    <w:rsid w:val="00746255"/>
    <w:rsid w:val="00770A0B"/>
    <w:rsid w:val="007723FE"/>
    <w:rsid w:val="00774A05"/>
    <w:rsid w:val="0078032D"/>
    <w:rsid w:val="00790520"/>
    <w:rsid w:val="00793CEA"/>
    <w:rsid w:val="00794BCD"/>
    <w:rsid w:val="0079534C"/>
    <w:rsid w:val="007A04CF"/>
    <w:rsid w:val="007B649A"/>
    <w:rsid w:val="007D1BAC"/>
    <w:rsid w:val="007E15D7"/>
    <w:rsid w:val="007E5087"/>
    <w:rsid w:val="007F7035"/>
    <w:rsid w:val="00807CCA"/>
    <w:rsid w:val="008165CD"/>
    <w:rsid w:val="008227CB"/>
    <w:rsid w:val="00825C42"/>
    <w:rsid w:val="00833DDD"/>
    <w:rsid w:val="00835373"/>
    <w:rsid w:val="00835519"/>
    <w:rsid w:val="008372F6"/>
    <w:rsid w:val="00850B35"/>
    <w:rsid w:val="00870F5E"/>
    <w:rsid w:val="00871148"/>
    <w:rsid w:val="00871813"/>
    <w:rsid w:val="00880E40"/>
    <w:rsid w:val="00890297"/>
    <w:rsid w:val="00891841"/>
    <w:rsid w:val="0089735C"/>
    <w:rsid w:val="008B4843"/>
    <w:rsid w:val="008C508D"/>
    <w:rsid w:val="008C628C"/>
    <w:rsid w:val="008D18AD"/>
    <w:rsid w:val="008D4903"/>
    <w:rsid w:val="008F3B69"/>
    <w:rsid w:val="009018F3"/>
    <w:rsid w:val="00901BAE"/>
    <w:rsid w:val="0090672F"/>
    <w:rsid w:val="00921746"/>
    <w:rsid w:val="00927F78"/>
    <w:rsid w:val="00930DB1"/>
    <w:rsid w:val="00941FF5"/>
    <w:rsid w:val="009439AB"/>
    <w:rsid w:val="0094667D"/>
    <w:rsid w:val="00950087"/>
    <w:rsid w:val="0095301D"/>
    <w:rsid w:val="00953DB5"/>
    <w:rsid w:val="00961DF4"/>
    <w:rsid w:val="00964653"/>
    <w:rsid w:val="009746DB"/>
    <w:rsid w:val="00984CD9"/>
    <w:rsid w:val="009B1558"/>
    <w:rsid w:val="009C3320"/>
    <w:rsid w:val="009C5B93"/>
    <w:rsid w:val="009D454D"/>
    <w:rsid w:val="009D5EF0"/>
    <w:rsid w:val="009E06AE"/>
    <w:rsid w:val="009E31C4"/>
    <w:rsid w:val="009E3C8F"/>
    <w:rsid w:val="009F07FE"/>
    <w:rsid w:val="009F0DAE"/>
    <w:rsid w:val="009F2C08"/>
    <w:rsid w:val="00A025EC"/>
    <w:rsid w:val="00A04D49"/>
    <w:rsid w:val="00A302A6"/>
    <w:rsid w:val="00A40172"/>
    <w:rsid w:val="00A42582"/>
    <w:rsid w:val="00A502BA"/>
    <w:rsid w:val="00A50686"/>
    <w:rsid w:val="00A5085E"/>
    <w:rsid w:val="00A51676"/>
    <w:rsid w:val="00A6180E"/>
    <w:rsid w:val="00A65801"/>
    <w:rsid w:val="00A65820"/>
    <w:rsid w:val="00A66CDF"/>
    <w:rsid w:val="00A67CE1"/>
    <w:rsid w:val="00A913E6"/>
    <w:rsid w:val="00A91B37"/>
    <w:rsid w:val="00A93C87"/>
    <w:rsid w:val="00A93DB7"/>
    <w:rsid w:val="00A94B24"/>
    <w:rsid w:val="00AA38D7"/>
    <w:rsid w:val="00AA4820"/>
    <w:rsid w:val="00AB630E"/>
    <w:rsid w:val="00AC4191"/>
    <w:rsid w:val="00AC5472"/>
    <w:rsid w:val="00AC67FE"/>
    <w:rsid w:val="00AC7067"/>
    <w:rsid w:val="00AD5B8E"/>
    <w:rsid w:val="00AD5D82"/>
    <w:rsid w:val="00AD76D3"/>
    <w:rsid w:val="00AE3C89"/>
    <w:rsid w:val="00AF5CD7"/>
    <w:rsid w:val="00B01528"/>
    <w:rsid w:val="00B12906"/>
    <w:rsid w:val="00B24F6A"/>
    <w:rsid w:val="00B313D0"/>
    <w:rsid w:val="00B34172"/>
    <w:rsid w:val="00B3716B"/>
    <w:rsid w:val="00B45ED7"/>
    <w:rsid w:val="00B52976"/>
    <w:rsid w:val="00B53EC2"/>
    <w:rsid w:val="00B575E4"/>
    <w:rsid w:val="00B60A77"/>
    <w:rsid w:val="00B66BEB"/>
    <w:rsid w:val="00B70581"/>
    <w:rsid w:val="00B72CA7"/>
    <w:rsid w:val="00B77B26"/>
    <w:rsid w:val="00B80A6C"/>
    <w:rsid w:val="00BA28DC"/>
    <w:rsid w:val="00BB249F"/>
    <w:rsid w:val="00BB5F45"/>
    <w:rsid w:val="00BD09AE"/>
    <w:rsid w:val="00BE0D1C"/>
    <w:rsid w:val="00BE357E"/>
    <w:rsid w:val="00BE470B"/>
    <w:rsid w:val="00BF1562"/>
    <w:rsid w:val="00BF6924"/>
    <w:rsid w:val="00BF7A1B"/>
    <w:rsid w:val="00C05A57"/>
    <w:rsid w:val="00C07BFE"/>
    <w:rsid w:val="00C2068E"/>
    <w:rsid w:val="00C23062"/>
    <w:rsid w:val="00C42A5D"/>
    <w:rsid w:val="00C44945"/>
    <w:rsid w:val="00C473FA"/>
    <w:rsid w:val="00C504A0"/>
    <w:rsid w:val="00C5566F"/>
    <w:rsid w:val="00C70583"/>
    <w:rsid w:val="00C7341B"/>
    <w:rsid w:val="00C84273"/>
    <w:rsid w:val="00C84F98"/>
    <w:rsid w:val="00C909C3"/>
    <w:rsid w:val="00CA27BF"/>
    <w:rsid w:val="00CA3FE7"/>
    <w:rsid w:val="00CC4EE3"/>
    <w:rsid w:val="00CD0D2C"/>
    <w:rsid w:val="00CD24D4"/>
    <w:rsid w:val="00CE438E"/>
    <w:rsid w:val="00CE6B32"/>
    <w:rsid w:val="00CF4804"/>
    <w:rsid w:val="00D002DA"/>
    <w:rsid w:val="00D0242D"/>
    <w:rsid w:val="00D031FD"/>
    <w:rsid w:val="00D105A7"/>
    <w:rsid w:val="00D128AC"/>
    <w:rsid w:val="00D12F0B"/>
    <w:rsid w:val="00D2150D"/>
    <w:rsid w:val="00D30169"/>
    <w:rsid w:val="00D41222"/>
    <w:rsid w:val="00D454CE"/>
    <w:rsid w:val="00D45528"/>
    <w:rsid w:val="00D47DEA"/>
    <w:rsid w:val="00D5357C"/>
    <w:rsid w:val="00D63412"/>
    <w:rsid w:val="00D76EB7"/>
    <w:rsid w:val="00D972CF"/>
    <w:rsid w:val="00DA22D5"/>
    <w:rsid w:val="00DA64E7"/>
    <w:rsid w:val="00DA70E0"/>
    <w:rsid w:val="00DA76B7"/>
    <w:rsid w:val="00DB2F76"/>
    <w:rsid w:val="00DC3EB4"/>
    <w:rsid w:val="00DD279E"/>
    <w:rsid w:val="00DE01A7"/>
    <w:rsid w:val="00DE4ADF"/>
    <w:rsid w:val="00E0243D"/>
    <w:rsid w:val="00E23D74"/>
    <w:rsid w:val="00E23FFE"/>
    <w:rsid w:val="00E32890"/>
    <w:rsid w:val="00E3379E"/>
    <w:rsid w:val="00E35065"/>
    <w:rsid w:val="00E50724"/>
    <w:rsid w:val="00E53B05"/>
    <w:rsid w:val="00E65846"/>
    <w:rsid w:val="00E706D5"/>
    <w:rsid w:val="00E72AE2"/>
    <w:rsid w:val="00E84282"/>
    <w:rsid w:val="00E84D0D"/>
    <w:rsid w:val="00E91DC6"/>
    <w:rsid w:val="00E92513"/>
    <w:rsid w:val="00E97B98"/>
    <w:rsid w:val="00E97E2A"/>
    <w:rsid w:val="00EA1478"/>
    <w:rsid w:val="00EC5DF9"/>
    <w:rsid w:val="00ED207B"/>
    <w:rsid w:val="00EE41F2"/>
    <w:rsid w:val="00EE4D9A"/>
    <w:rsid w:val="00EF20EE"/>
    <w:rsid w:val="00EF33A4"/>
    <w:rsid w:val="00F00F57"/>
    <w:rsid w:val="00F07AC6"/>
    <w:rsid w:val="00F11CED"/>
    <w:rsid w:val="00F13062"/>
    <w:rsid w:val="00F136DE"/>
    <w:rsid w:val="00F140C5"/>
    <w:rsid w:val="00F149E4"/>
    <w:rsid w:val="00F3268A"/>
    <w:rsid w:val="00F3693F"/>
    <w:rsid w:val="00F61E1C"/>
    <w:rsid w:val="00F65EB0"/>
    <w:rsid w:val="00F71929"/>
    <w:rsid w:val="00F72E7C"/>
    <w:rsid w:val="00F86C42"/>
    <w:rsid w:val="00F96EBF"/>
    <w:rsid w:val="00FA0251"/>
    <w:rsid w:val="00FA44B8"/>
    <w:rsid w:val="00FB29CB"/>
    <w:rsid w:val="00FC31E5"/>
    <w:rsid w:val="00FD2653"/>
    <w:rsid w:val="00FD39CB"/>
    <w:rsid w:val="00FE45DF"/>
    <w:rsid w:val="00FE64BB"/>
    <w:rsid w:val="00FF5CBF"/>
    <w:rsid w:val="03505EE9"/>
    <w:rsid w:val="03A762C0"/>
    <w:rsid w:val="045B2C88"/>
    <w:rsid w:val="081F2868"/>
    <w:rsid w:val="0B2F1AE0"/>
    <w:rsid w:val="0D497A1D"/>
    <w:rsid w:val="10BF625D"/>
    <w:rsid w:val="119D51A7"/>
    <w:rsid w:val="143E4CE3"/>
    <w:rsid w:val="155671E5"/>
    <w:rsid w:val="17DF2075"/>
    <w:rsid w:val="18770500"/>
    <w:rsid w:val="18AA7551"/>
    <w:rsid w:val="1AE53C86"/>
    <w:rsid w:val="1B764853"/>
    <w:rsid w:val="1BBA6BAD"/>
    <w:rsid w:val="1C884FA5"/>
    <w:rsid w:val="1F022F5F"/>
    <w:rsid w:val="204607B7"/>
    <w:rsid w:val="2081478E"/>
    <w:rsid w:val="21B06830"/>
    <w:rsid w:val="22EF3CAF"/>
    <w:rsid w:val="29AA1DB7"/>
    <w:rsid w:val="2C3835D1"/>
    <w:rsid w:val="2D712DB8"/>
    <w:rsid w:val="2DC2659D"/>
    <w:rsid w:val="2E7C293D"/>
    <w:rsid w:val="2EFD49EF"/>
    <w:rsid w:val="2FD47B8E"/>
    <w:rsid w:val="3039067F"/>
    <w:rsid w:val="312319EE"/>
    <w:rsid w:val="3287538B"/>
    <w:rsid w:val="32C4792B"/>
    <w:rsid w:val="33667C0C"/>
    <w:rsid w:val="34E70363"/>
    <w:rsid w:val="3DE55269"/>
    <w:rsid w:val="40975FB2"/>
    <w:rsid w:val="42BA1F04"/>
    <w:rsid w:val="4337289D"/>
    <w:rsid w:val="45570E93"/>
    <w:rsid w:val="461A4BA6"/>
    <w:rsid w:val="476E5A44"/>
    <w:rsid w:val="4852301F"/>
    <w:rsid w:val="4AB12B4E"/>
    <w:rsid w:val="4C0911A5"/>
    <w:rsid w:val="4D8E2DC7"/>
    <w:rsid w:val="4F3855EC"/>
    <w:rsid w:val="4F544685"/>
    <w:rsid w:val="50B35645"/>
    <w:rsid w:val="52397F0C"/>
    <w:rsid w:val="52463E29"/>
    <w:rsid w:val="53511372"/>
    <w:rsid w:val="54FA484B"/>
    <w:rsid w:val="59CA59DA"/>
    <w:rsid w:val="5B424797"/>
    <w:rsid w:val="5CA77F23"/>
    <w:rsid w:val="5DCF5ECB"/>
    <w:rsid w:val="5E702917"/>
    <w:rsid w:val="5FFC0CC5"/>
    <w:rsid w:val="61F5736C"/>
    <w:rsid w:val="66DE618F"/>
    <w:rsid w:val="68F05053"/>
    <w:rsid w:val="6A331379"/>
    <w:rsid w:val="6B7721B5"/>
    <w:rsid w:val="6C3E5DED"/>
    <w:rsid w:val="6D4B0788"/>
    <w:rsid w:val="6DD16C99"/>
    <w:rsid w:val="6EF463D2"/>
    <w:rsid w:val="6F931192"/>
    <w:rsid w:val="72963252"/>
    <w:rsid w:val="73766A44"/>
    <w:rsid w:val="77FA32C7"/>
    <w:rsid w:val="780670E2"/>
    <w:rsid w:val="78664126"/>
    <w:rsid w:val="78782D79"/>
    <w:rsid w:val="79927E6B"/>
    <w:rsid w:val="79936024"/>
    <w:rsid w:val="7DDF15C1"/>
    <w:rsid w:val="7E374B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等线" w:hAnsi="等线" w:eastAsia="等线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="Times New Roman"/>
      <w:sz w:val="22"/>
      <w:szCs w:val="22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4"/>
    <w:semiHidden/>
    <w:unhideWhenUsed/>
    <w:qFormat/>
    <w:uiPriority w:val="99"/>
  </w:style>
  <w:style w:type="paragraph" w:styleId="3">
    <w:name w:val="Balloon Text"/>
    <w:basedOn w:val="1"/>
    <w:link w:val="13"/>
    <w:semiHidden/>
    <w:unhideWhenUsed/>
    <w:qFormat/>
    <w:uiPriority w:val="99"/>
    <w:pPr>
      <w:spacing w:after="0"/>
    </w:pPr>
    <w:rPr>
      <w:sz w:val="18"/>
      <w:szCs w:val="18"/>
    </w:rPr>
  </w:style>
  <w:style w:type="paragraph" w:styleId="4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</w:pPr>
    <w:rPr>
      <w:sz w:val="18"/>
    </w:rPr>
  </w:style>
  <w:style w:type="paragraph" w:styleId="5">
    <w:name w:val="header"/>
    <w:basedOn w:val="1"/>
    <w:link w:val="1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5"/>
    <w:semiHidden/>
    <w:unhideWhenUsed/>
    <w:qFormat/>
    <w:uiPriority w:val="99"/>
    <w:rPr>
      <w:b/>
      <w:bCs/>
    </w:rPr>
  </w:style>
  <w:style w:type="character" w:styleId="9">
    <w:name w:val="annotation reference"/>
    <w:basedOn w:val="8"/>
    <w:semiHidden/>
    <w:unhideWhenUsed/>
    <w:qFormat/>
    <w:uiPriority w:val="99"/>
    <w:rPr>
      <w:sz w:val="21"/>
      <w:szCs w:val="21"/>
    </w:rPr>
  </w:style>
  <w:style w:type="character" w:customStyle="1" w:styleId="10">
    <w:name w:val="页脚 字符"/>
    <w:basedOn w:val="8"/>
    <w:link w:val="4"/>
    <w:qFormat/>
    <w:uiPriority w:val="99"/>
    <w:rPr>
      <w:rFonts w:ascii="Tahoma" w:hAnsi="Tahoma" w:eastAsia="微软雅黑" w:cs="Times New Roman"/>
      <w:kern w:val="0"/>
      <w:sz w:val="18"/>
    </w:rPr>
  </w:style>
  <w:style w:type="paragraph" w:styleId="11">
    <w:name w:val="No Spacing"/>
    <w:qFormat/>
    <w:uiPriority w:val="1"/>
    <w:pPr>
      <w:adjustRightInd w:val="0"/>
      <w:snapToGrid w:val="0"/>
    </w:pPr>
    <w:rPr>
      <w:rFonts w:ascii="Tahoma" w:hAnsi="Tahoma" w:eastAsia="微软雅黑" w:cs="Times New Roman"/>
      <w:sz w:val="22"/>
      <w:szCs w:val="22"/>
      <w:lang w:val="en-US" w:eastAsia="zh-CN" w:bidi="ar-SA"/>
    </w:rPr>
  </w:style>
  <w:style w:type="character" w:customStyle="1" w:styleId="12">
    <w:name w:val="页眉 字符"/>
    <w:basedOn w:val="8"/>
    <w:link w:val="5"/>
    <w:qFormat/>
    <w:uiPriority w:val="99"/>
    <w:rPr>
      <w:rFonts w:ascii="Tahoma" w:hAnsi="Tahoma" w:eastAsia="微软雅黑" w:cs="Times New Roman"/>
      <w:kern w:val="0"/>
      <w:sz w:val="18"/>
      <w:szCs w:val="18"/>
    </w:rPr>
  </w:style>
  <w:style w:type="character" w:customStyle="1" w:styleId="13">
    <w:name w:val="批注框文本 字符"/>
    <w:basedOn w:val="8"/>
    <w:link w:val="3"/>
    <w:semiHidden/>
    <w:qFormat/>
    <w:uiPriority w:val="99"/>
    <w:rPr>
      <w:rFonts w:ascii="Tahoma" w:hAnsi="Tahoma" w:eastAsia="微软雅黑" w:cs="Times New Roman"/>
      <w:kern w:val="0"/>
      <w:sz w:val="18"/>
      <w:szCs w:val="18"/>
    </w:rPr>
  </w:style>
  <w:style w:type="character" w:customStyle="1" w:styleId="14">
    <w:name w:val="批注文字 字符"/>
    <w:basedOn w:val="8"/>
    <w:link w:val="2"/>
    <w:semiHidden/>
    <w:qFormat/>
    <w:uiPriority w:val="99"/>
    <w:rPr>
      <w:rFonts w:ascii="Tahoma" w:hAnsi="Tahoma"/>
      <w:sz w:val="22"/>
      <w:szCs w:val="22"/>
    </w:rPr>
  </w:style>
  <w:style w:type="character" w:customStyle="1" w:styleId="15">
    <w:name w:val="批注主题 字符"/>
    <w:basedOn w:val="14"/>
    <w:link w:val="6"/>
    <w:semiHidden/>
    <w:qFormat/>
    <w:uiPriority w:val="99"/>
    <w:rPr>
      <w:rFonts w:ascii="Tahoma" w:hAnsi="Tahoma"/>
      <w:b/>
      <w:bCs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2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C240E06-DB00-465B-925F-5AD51AC01B0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2668</Words>
  <Characters>2940</Characters>
  <Lines>21</Lines>
  <Paragraphs>6</Paragraphs>
  <TotalTime>1</TotalTime>
  <ScaleCrop>false</ScaleCrop>
  <LinksUpToDate>false</LinksUpToDate>
  <CharactersWithSpaces>2946</CharactersWithSpaces>
  <Application>WPS Office_11.1.0.11691_F1E327BC-269C-435d-A152-05C5408002CA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2021-05-30T09:04:00Z</dcterms:created>
  <dc:creator>564410557@qq.com</dc:creator>
  <cp:lastModifiedBy>Denstiny</cp:lastModifiedBy>
  <cp:lastPrinted>2021-06-17T02:46:00Z</cp:lastPrinted>
  <dcterms:modified xsi:type="dcterms:W3CDTF">2022-05-23T14:54:03Z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2052-11.1.0.11691</vt:lpwstr>
  </property>
  <property fmtid="{D5CDD505-2E9C-101B-9397-08002B2CF9AE}" pid="3" name="ICV">
    <vt:lpwstr>4C3E2C64DE61419A8C94ECD9904033E7</vt:lpwstr>
  </property>
  <property fmtid="{D5CDD505-2E9C-101B-9397-08002B2CF9AE}" pid="4" name="commondata">
    <vt:lpwstr>eyJoZGlkIjoiOTZhZWYwYjUyOTM5ODYwMTIyMGJlMzQ5NWYwYmFjZjQifQ==</vt:lpwstr>
  </property>
</Properties>
</file>