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keepNext/>
        <w:keepLines/>
        <w:rPr>
          <w:rFonts w:ascii="方正小标宋简体" w:hAnsi="方正小标宋简体" w:eastAsia="方正小标宋简体" w:cs="方正小标宋简体"/>
          <w:color w:val="000000" w:themeColor="text1"/>
          <w:spacing w:val="-11"/>
          <w:sz w:val="36"/>
          <w:szCs w:val="36"/>
          <w:lang w:val="en-US"/>
          <w14:textFill>
            <w14:solidFill>
              <w14:schemeClr w14:val="tx1"/>
            </w14:solidFill>
          </w14:textFill>
        </w:rPr>
      </w:pPr>
      <w:bookmarkStart w:id="0" w:name="bookmark1"/>
      <w:bookmarkStart w:id="1" w:name="bookmark2"/>
      <w:bookmarkStart w:id="2" w:name="bookmark0"/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2021年度街道职工社保项目</w:t>
      </w:r>
      <w:bookmarkEnd w:id="0"/>
      <w:bookmarkEnd w:id="1"/>
      <w:bookmarkEnd w:id="2"/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自评结果</w:t>
      </w:r>
    </w:p>
    <w:p>
      <w:pPr>
        <w:pStyle w:val="9"/>
        <w:spacing w:after="700" w:line="240" w:lineRule="auto"/>
        <w:ind w:firstLine="0"/>
        <w:jc w:val="center"/>
        <w:rPr>
          <w:rFonts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（缩略版）</w:t>
      </w:r>
    </w:p>
    <w:p>
      <w:pPr>
        <w:pStyle w:val="9"/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3" w:name="bookmark3"/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一、评价结论</w:t>
      </w:r>
    </w:p>
    <w:p>
      <w:pPr>
        <w:pStyle w:val="9"/>
        <w:spacing w:line="560" w:lineRule="exact"/>
        <w:ind w:firstLine="640" w:firstLineChars="200"/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bookmarkEnd w:id="3"/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评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价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得分</w:t>
      </w:r>
    </w:p>
    <w:p>
      <w:pPr>
        <w:pStyle w:val="9"/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4" w:name="bookmark4"/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项目绩效评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价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综合评分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99.87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分。</w:t>
      </w:r>
    </w:p>
    <w:tbl>
      <w:tblPr>
        <w:tblStyle w:val="6"/>
        <w:tblW w:w="5000" w:type="pct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75"/>
        <w:gridCol w:w="1762"/>
        <w:gridCol w:w="2076"/>
        <w:gridCol w:w="205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1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评价项目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权重</w:t>
            </w:r>
          </w:p>
        </w:tc>
        <w:tc>
          <w:tcPr>
            <w:tcW w:w="1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评级分值</w:t>
            </w: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本项得分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8" w:hRule="exact"/>
          <w:jc w:val="center"/>
        </w:trPr>
        <w:tc>
          <w:tcPr>
            <w:tcW w:w="1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预算执行情况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1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2" w:hRule="exact"/>
          <w:jc w:val="center"/>
        </w:trPr>
        <w:tc>
          <w:tcPr>
            <w:tcW w:w="1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项目产出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40%</w:t>
            </w:r>
          </w:p>
        </w:tc>
        <w:tc>
          <w:tcPr>
            <w:tcW w:w="1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仿宋" w:cs="仿宋"/>
                <w:color w:val="000000" w:themeColor="text1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39.87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8" w:hRule="exact"/>
          <w:jc w:val="center"/>
        </w:trPr>
        <w:tc>
          <w:tcPr>
            <w:tcW w:w="1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项目效益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  <w:tc>
          <w:tcPr>
            <w:tcW w:w="1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PMingLiU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" w:hAnsi="仿宋" w:eastAsia="PMingLiU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8" w:hRule="exact"/>
          <w:jc w:val="center"/>
        </w:trPr>
        <w:tc>
          <w:tcPr>
            <w:tcW w:w="1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项目满意度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1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7" w:hRule="exact"/>
          <w:jc w:val="center"/>
        </w:trPr>
        <w:tc>
          <w:tcPr>
            <w:tcW w:w="1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综合绩效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99.87</w:t>
            </w:r>
          </w:p>
        </w:tc>
      </w:tr>
    </w:tbl>
    <w:p>
      <w:pPr>
        <w:pStyle w:val="9"/>
        <w:spacing w:line="560" w:lineRule="exact"/>
        <w:ind w:firstLine="640" w:firstLineChars="200"/>
        <w:jc w:val="both"/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bookmarkEnd w:id="4"/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绩效目标完成情况</w:t>
      </w:r>
    </w:p>
    <w:p>
      <w:pPr>
        <w:pStyle w:val="9"/>
        <w:tabs>
          <w:tab w:val="left" w:pos="819"/>
        </w:tabs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bookmarkStart w:id="5" w:name="bookmark5"/>
      <w:bookmarkEnd w:id="5"/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执行率情况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9"/>
        <w:spacing w:line="560" w:lineRule="exact"/>
        <w:ind w:firstLine="500"/>
        <w:jc w:val="both"/>
        <w:rPr>
          <w:rFonts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该项目资金主要用于街道职工社保缴纳。20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年项目年初预算为</w:t>
      </w:r>
      <w:r>
        <w:rPr>
          <w:rFonts w:ascii="仿宋" w:hAnsi="仿宋" w:eastAsia="PMingLiU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1982.75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万元，实际支出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2048.44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%。</w:t>
      </w:r>
    </w:p>
    <w:p>
      <w:pPr>
        <w:pStyle w:val="9"/>
        <w:tabs>
          <w:tab w:val="left" w:pos="863"/>
        </w:tabs>
        <w:spacing w:line="560" w:lineRule="exact"/>
        <w:ind w:firstLine="640" w:firstLineChars="200"/>
        <w:jc w:val="both"/>
        <w:rPr>
          <w:rFonts w:ascii="楷体" w:hAnsi="楷体" w:eastAsia="PMingLiU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bookmarkStart w:id="6" w:name="bookmark6"/>
      <w:bookmarkEnd w:id="6"/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完成的绩效目标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448"/>
        <w:gridCol w:w="1814"/>
        <w:gridCol w:w="3090"/>
        <w:gridCol w:w="13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二级指标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三级指标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年初目标值</w:t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(A)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实际完成值</w:t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(B)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质量指标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保费缴纳标准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是否按规定标准纳缴足额缴纳保费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经查，社保参保人员的缴纳标准均按东西区规定的标准执行，足够缴纳，未发现有意降低保费标准和超标准缴纳的情况。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社保缴纳覆盖率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100%全覆盖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做到了应缴尽缴，100%全覆盖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时效指标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社保缴纳基数调整及时性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及时调整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根据每年人社局相关政策，及时调整在职人员社保缴费基数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保费缴纳的及时性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按月连续缴纳，期间不出现断档的情况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未出现断档的情况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社会效益指标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社会效益（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15分）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left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项目实施对社会发展所带来的直接或间接影响情况。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为广大职工提供了稳定可靠的基本生活保障，解决了退休后的后顾之忧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可持续影响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可持续影响（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15分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left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项目后续运行及成效发挥的可持续影响情况。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社保缴纳为持续性工作，也将给社会稳定带来持续性影响。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服务对象满意度指标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服务对象满意度（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10分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95%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95%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</w:tbl>
    <w:p>
      <w:pPr>
        <w:pStyle w:val="9"/>
        <w:tabs>
          <w:tab w:val="left" w:pos="863"/>
        </w:tabs>
        <w:spacing w:line="560" w:lineRule="exact"/>
        <w:ind w:firstLine="640" w:firstLineChars="200"/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3.未完成的绩效目标。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448"/>
        <w:gridCol w:w="1814"/>
        <w:gridCol w:w="3090"/>
        <w:gridCol w:w="13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二级指标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三级指标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年初目标值</w:t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(A)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实际完成值</w:t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(B)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数量指标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参保人数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年初申报参保人数为900人</w:t>
            </w:r>
          </w:p>
        </w:tc>
        <w:tc>
          <w:tcPr>
            <w:tcW w:w="1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截止12月份，实际参保人数为914人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7.87</w:t>
            </w:r>
          </w:p>
        </w:tc>
      </w:tr>
    </w:tbl>
    <w:p>
      <w:pPr>
        <w:pStyle w:val="9"/>
        <w:spacing w:line="560" w:lineRule="exact"/>
        <w:ind w:firstLine="640" w:firstLineChars="200"/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（三）存在的问题和原因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1.绩效目标申报过程中绩效目标的明确性上有待提升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年初编制预算时，未充分考虑到年中的参保人数可能出现变化问题，造成街道职工社保实际支出超过年初预算金额。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2.项目制度体系建设有待加强，项目管理水平有待进一步提升</w:t>
      </w:r>
    </w:p>
    <w:p>
      <w:pPr>
        <w:pStyle w:val="9"/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制定了财政预算管理方面的相关制度，但更多是财务管理制度，而缺少项目管理的业务管理制度，不利于对项目开展进行有效指导。</w:t>
      </w:r>
    </w:p>
    <w:p>
      <w:pPr>
        <w:pStyle w:val="9"/>
        <w:spacing w:line="560" w:lineRule="exact"/>
        <w:ind w:firstLine="640" w:firstLineChars="200"/>
        <w:rPr>
          <w:rFonts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建议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1.优化事前管理，进一步提高决策的规范性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在年初编制预算时，做好各个单位（部分）参保人数统计工作，对参保人数可能发生的变化做好充分的预计，尽量减少年中的调整变动，使预算编制更准确。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2.健全制度管理体系，进一步提升资金和项目管控水平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不仅要有财务管理制度，而且还要制定针对街道职工社保项目的业务管理制度、管理流程等，细化管理，明确管理职责，为项目资金的规范管理提供更进一步健全、科学的制度保障。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3.加强过程控制，确保费缴纳的及时性和连续性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lang w:eastAsia="zh-CN" w:bidi="zh-T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严格按照</w:t>
      </w:r>
      <w:r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</w:t>
      </w:r>
      <w:r>
        <w:fldChar w:fldCharType="begin"/>
      </w:r>
      <w:r>
        <w:instrText xml:space="preserve"> HYPERLINK "https://www.64365.com/baike/shbx/" \t "_blank" \o "社会保险" </w:instrText>
      </w:r>
      <w:r>
        <w:fldChar w:fldCharType="separate"/>
      </w:r>
      <w:r>
        <w:rPr>
          <w:rFonts w:ascii="仿宋" w:hAnsi="仿宋" w:eastAsia="仿宋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社会保险</w:t>
      </w:r>
      <w:r>
        <w:rPr>
          <w:rFonts w:ascii="仿宋" w:hAnsi="仿宋" w:eastAsia="仿宋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费申报缴纳管理规定》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的相关要求，</w:t>
      </w:r>
      <w:r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每月11日至当月最后一个工作日为对单位受理申报时间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，在此期间要督促和提醒有人单位进行及时申报，并按时足额代缴，确保社保费缴纳的及时性的连续性。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 w:bidi="zh-T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zh-TW"/>
          <w14:textFill>
            <w14:solidFill>
              <w14:schemeClr w14:val="tx1"/>
            </w14:solidFill>
          </w14:textFill>
        </w:rPr>
        <w:t>2021年度街道职工社保项目自评表</w:t>
      </w:r>
    </w:p>
    <w:p>
      <w:pPr>
        <w:spacing w:line="560" w:lineRule="exact"/>
        <w:ind w:firstLine="640" w:firstLineChars="200"/>
        <w:rPr>
          <w:rFonts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二、佐证材料</w:t>
      </w:r>
    </w:p>
    <w:p>
      <w:pPr>
        <w:spacing w:line="560" w:lineRule="exact"/>
        <w:ind w:firstLine="640" w:firstLineChars="200"/>
        <w:jc w:val="both"/>
        <w:rPr>
          <w:rFonts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（一)基本情况</w:t>
      </w:r>
    </w:p>
    <w:p>
      <w:pPr>
        <w:spacing w:line="560" w:lineRule="exact"/>
        <w:ind w:firstLine="640" w:firstLineChars="200"/>
        <w:jc w:val="both"/>
        <w:rPr>
          <w:rFonts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1.项目立项背景和年度绩效目标。</w:t>
      </w:r>
    </w:p>
    <w:p>
      <w:pPr>
        <w:spacing w:line="560" w:lineRule="exact"/>
        <w:ind w:firstLine="640" w:firstLineChars="200"/>
        <w:jc w:val="both"/>
        <w:rPr>
          <w:rFonts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（1）项目立项背景：</w:t>
      </w:r>
    </w:p>
    <w:p>
      <w:pPr>
        <w:widowControl/>
        <w:adjustRightInd w:val="0"/>
        <w:snapToGrid w:val="0"/>
        <w:spacing w:line="56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根据《中华人民共和国社会保险法》规定，用人单位应该履行缴纳</w:t>
      </w:r>
      <w:r>
        <w:fldChar w:fldCharType="begin"/>
      </w:r>
      <w:r>
        <w:instrText xml:space="preserve"> HYPERLINK "http://www.64365.com/baike/sb/" \t "http://www.64365.com/special/yrdwjnshbxdflyj/_blank" \o "社保" </w:instrText>
      </w:r>
      <w:r>
        <w:fldChar w:fldCharType="separate"/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社保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的义务。《</w:t>
      </w:r>
      <w:r>
        <w:fldChar w:fldCharType="begin"/>
      </w:r>
      <w:r>
        <w:instrText xml:space="preserve"> HYPERLINK "http://www.64365.com/baike/shbx/" \t "http://www.64365.com/special/yrdwjnshbxdflyj/_blank" \o "社会保险" </w:instrText>
      </w:r>
      <w:r>
        <w:fldChar w:fldCharType="separate"/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社会保险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费申报缴纳管理规定》中所称社会保险费,是指由用人单位及其职工依法参加社会保险并缴纳的职工基本</w:t>
      </w:r>
      <w:r>
        <w:fldChar w:fldCharType="begin"/>
      </w:r>
      <w:r>
        <w:instrText xml:space="preserve"> HYPERLINK "http://www.64365.com/baike/ylbx/" \t "http://www.64365.com/special/yrdwjnshbxdflyj/_blank" \o "养老保险" </w:instrText>
      </w:r>
      <w:r>
        <w:fldChar w:fldCharType="separate"/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养老保险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费、职工基本</w:t>
      </w:r>
      <w:r>
        <w:fldChar w:fldCharType="begin"/>
      </w:r>
      <w:r>
        <w:instrText xml:space="preserve"> HYPERLINK "http://www.64365.com/baike/ylbx1/" \t "http://www.64365.com/special/yrdwjnshbxdflyj/_blank" \o "医疗保险" </w:instrText>
      </w:r>
      <w:r>
        <w:fldChar w:fldCharType="separate"/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医疗保险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费、</w:t>
      </w:r>
      <w:r>
        <w:fldChar w:fldCharType="begin"/>
      </w:r>
      <w:r>
        <w:instrText xml:space="preserve"> HYPERLINK "http://www.64365.com/baike/gsbx/" \t "http://www.64365.com/special/yrdwjnshbxdflyj/_blank" \o "工伤保险" </w:instrText>
      </w:r>
      <w:r>
        <w:fldChar w:fldCharType="separate"/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工伤保险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费、</w:t>
      </w:r>
      <w:r>
        <w:fldChar w:fldCharType="begin"/>
      </w:r>
      <w:r>
        <w:instrText xml:space="preserve"> HYPERLINK "http://www.64365.com/baike/sybxa/" \t "http://www.64365.com/special/yrdwjnshbxdflyj/_blank" \o "失业保险" </w:instrText>
      </w:r>
      <w:r>
        <w:fldChar w:fldCharType="separate"/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失业保险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费和</w:t>
      </w:r>
      <w:r>
        <w:fldChar w:fldCharType="begin"/>
      </w:r>
      <w:r>
        <w:instrText xml:space="preserve"> HYPERLINK "http://www.64365.com/baike/sybx/" \t "http://www.64365.com/special/yrdwjnshbxdflyj/_blank" \o "生育保险" </w:instrText>
      </w:r>
      <w:r>
        <w:fldChar w:fldCharType="separate"/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生育保险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费。依据上述法律和规定，将军路街为纳入街道职工社保账户的职工依法缴纳社保费用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spacing w:line="560" w:lineRule="exact"/>
        <w:ind w:firstLine="640" w:firstLineChars="200"/>
        <w:jc w:val="both"/>
        <w:rPr>
          <w:rFonts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（2）年度绩效目标：</w:t>
      </w:r>
    </w:p>
    <w:p>
      <w:pPr>
        <w:pStyle w:val="12"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51"/>
          <w:tab w:val="left" w:pos="2749"/>
          <w:tab w:val="left" w:pos="3360"/>
          <w:tab w:val="left" w:pos="3780"/>
          <w:tab w:val="left" w:pos="4200"/>
          <w:tab w:val="left" w:pos="4620"/>
          <w:tab w:val="left" w:pos="5040"/>
          <w:tab w:val="left" w:pos="5460"/>
          <w:tab w:val="left" w:pos="5880"/>
        </w:tabs>
        <w:spacing w:line="560" w:lineRule="exact"/>
        <w:ind w:firstLine="640" w:firstLineChars="200"/>
        <w:jc w:val="left"/>
        <w:rPr>
          <w:rFonts w:ascii="仿宋" w:hAnsi="仿宋" w:eastAsia="仿宋" w:cs="仿宋"/>
          <w:color w:val="000000" w:themeColor="text1"/>
          <w:sz w:val="32"/>
          <w:szCs w:val="32"/>
          <w:lang w:val="zh-TW" w:bidi="zh-T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该项目进行了2021年度绩效目标申报，申报的绩效目标基本也实际工作内容相对应，能较好反映项目的实际情况，经与实施单位协商一致，本次绩效评价过程中，对少量指标进行了调整，重新制定了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1年将军路街 “街道职工社保”项目绩效目标，项目任务如下：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2157"/>
        <w:gridCol w:w="5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0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指标</w:t>
            </w:r>
          </w:p>
        </w:tc>
        <w:tc>
          <w:tcPr>
            <w:tcW w:w="1215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  <w:tc>
          <w:tcPr>
            <w:tcW w:w="2865" w:type="pct"/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产出</w:t>
            </w:r>
          </w:p>
        </w:tc>
        <w:tc>
          <w:tcPr>
            <w:tcW w:w="1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参保人数</w:t>
            </w:r>
          </w:p>
        </w:tc>
        <w:tc>
          <w:tcPr>
            <w:tcW w:w="2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年初申报参保人数为900人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产出质量</w:t>
            </w:r>
          </w:p>
        </w:tc>
        <w:tc>
          <w:tcPr>
            <w:tcW w:w="1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保费缴纳标准</w:t>
            </w:r>
          </w:p>
        </w:tc>
        <w:tc>
          <w:tcPr>
            <w:tcW w:w="2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是否按规定标准纳缴足额缴纳保费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社保缴纳覆盖率</w:t>
            </w:r>
          </w:p>
        </w:tc>
        <w:tc>
          <w:tcPr>
            <w:tcW w:w="2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100%全覆盖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产出时效</w:t>
            </w:r>
          </w:p>
        </w:tc>
        <w:tc>
          <w:tcPr>
            <w:tcW w:w="1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社保缴纳基数调整及时性</w:t>
            </w:r>
          </w:p>
        </w:tc>
        <w:tc>
          <w:tcPr>
            <w:tcW w:w="2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及时调整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保费缴纳的及时性</w:t>
            </w:r>
          </w:p>
        </w:tc>
        <w:tc>
          <w:tcPr>
            <w:tcW w:w="2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按月连续缴纳，期间不出现断档的情况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社会效益</w:t>
            </w:r>
          </w:p>
        </w:tc>
        <w:tc>
          <w:tcPr>
            <w:tcW w:w="1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社会效益</w:t>
            </w:r>
          </w:p>
        </w:tc>
        <w:tc>
          <w:tcPr>
            <w:tcW w:w="2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项目实施对社会发展所带来的直接或间接影响情况。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可持续影响</w:t>
            </w:r>
          </w:p>
        </w:tc>
        <w:tc>
          <w:tcPr>
            <w:tcW w:w="1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可持续影响</w:t>
            </w:r>
          </w:p>
        </w:tc>
        <w:tc>
          <w:tcPr>
            <w:tcW w:w="2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项目后续运行及成效发挥的可持续影响情况。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服务对象满意度</w:t>
            </w:r>
          </w:p>
        </w:tc>
        <w:tc>
          <w:tcPr>
            <w:tcW w:w="12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服务对象注意度</w:t>
            </w:r>
          </w:p>
        </w:tc>
        <w:tc>
          <w:tcPr>
            <w:tcW w:w="286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满意度不低于95%</w:t>
            </w:r>
          </w:p>
        </w:tc>
      </w:tr>
    </w:tbl>
    <w:p>
      <w:pPr>
        <w:spacing w:line="560" w:lineRule="exact"/>
        <w:ind w:firstLine="640" w:firstLineChars="200"/>
        <w:jc w:val="both"/>
        <w:rPr>
          <w:rFonts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2.项目资金情况</w:t>
      </w:r>
    </w:p>
    <w:p>
      <w:pPr>
        <w:spacing w:line="560" w:lineRule="exact"/>
        <w:ind w:firstLine="640" w:firstLineChars="200"/>
        <w:jc w:val="both"/>
        <w:rPr>
          <w:rFonts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02</w:t>
      </w:r>
      <w:r>
        <w:rPr>
          <w:rFonts w:hint="eastAsia" w:ascii="仿宋" w:hAnsi="仿宋" w:eastAsia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1年 “街道职工社保项目”预算金额为1982.75万元，实际支出2048.44万元。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具体如下表所示：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3"/>
        <w:gridCol w:w="7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pct"/>
            <w:vAlign w:val="center"/>
          </w:tcPr>
          <w:p>
            <w:pPr>
              <w:pStyle w:val="12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项目总预算</w:t>
            </w:r>
          </w:p>
        </w:tc>
        <w:tc>
          <w:tcPr>
            <w:tcW w:w="3867" w:type="pct"/>
            <w:vAlign w:val="center"/>
          </w:tcPr>
          <w:p>
            <w:pPr>
              <w:pStyle w:val="12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1982.75万元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pct"/>
            <w:vAlign w:val="center"/>
          </w:tcPr>
          <w:p>
            <w:pPr>
              <w:pStyle w:val="12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资金构成</w:t>
            </w:r>
          </w:p>
        </w:tc>
        <w:tc>
          <w:tcPr>
            <w:tcW w:w="3867" w:type="pct"/>
            <w:vAlign w:val="center"/>
          </w:tcPr>
          <w:p>
            <w:pPr>
              <w:pStyle w:val="12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pct"/>
            <w:vAlign w:val="center"/>
          </w:tcPr>
          <w:p>
            <w:pPr>
              <w:pStyle w:val="12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投向</w:t>
            </w:r>
          </w:p>
        </w:tc>
        <w:tc>
          <w:tcPr>
            <w:tcW w:w="3867" w:type="pct"/>
            <w:vAlign w:val="center"/>
          </w:tcPr>
          <w:p>
            <w:pPr>
              <w:pStyle w:val="12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街道职工社保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pct"/>
            <w:vAlign w:val="center"/>
          </w:tcPr>
          <w:p>
            <w:pPr>
              <w:pStyle w:val="12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用途</w:t>
            </w:r>
          </w:p>
        </w:tc>
        <w:tc>
          <w:tcPr>
            <w:tcW w:w="3867" w:type="pct"/>
            <w:vAlign w:val="center"/>
          </w:tcPr>
          <w:p>
            <w:pPr>
              <w:pStyle w:val="12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职工社保缴纳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pct"/>
            <w:vAlign w:val="center"/>
          </w:tcPr>
          <w:p>
            <w:pPr>
              <w:pStyle w:val="12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分配方式</w:t>
            </w:r>
          </w:p>
        </w:tc>
        <w:tc>
          <w:tcPr>
            <w:tcW w:w="3867" w:type="pct"/>
            <w:vAlign w:val="center"/>
          </w:tcPr>
          <w:p>
            <w:pPr>
              <w:pStyle w:val="12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按照实际发生费用拨付资金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pct"/>
            <w:vAlign w:val="center"/>
          </w:tcPr>
          <w:p>
            <w:pPr>
              <w:pStyle w:val="12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结果</w:t>
            </w:r>
          </w:p>
        </w:tc>
        <w:tc>
          <w:tcPr>
            <w:tcW w:w="3867" w:type="pct"/>
            <w:vAlign w:val="center"/>
          </w:tcPr>
          <w:p>
            <w:pPr>
              <w:pStyle w:val="12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年初预算资金1982.75万元，但由于年中参保人数发生变化，实际费用支出为2048.</w:t>
            </w: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44</w:t>
            </w: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万元。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pct"/>
            <w:vAlign w:val="center"/>
          </w:tcPr>
          <w:p>
            <w:pPr>
              <w:pStyle w:val="12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年度情况</w:t>
            </w:r>
          </w:p>
        </w:tc>
        <w:tc>
          <w:tcPr>
            <w:tcW w:w="3867" w:type="pct"/>
            <w:vAlign w:val="center"/>
          </w:tcPr>
          <w:p>
            <w:pPr>
              <w:pStyle w:val="12"/>
              <w:widowControl w:val="0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  <w:t>2021年度</w:t>
            </w:r>
          </w:p>
        </w:tc>
      </w:tr>
    </w:tbl>
    <w:p>
      <w:pPr>
        <w:pStyle w:val="9"/>
        <w:numPr>
          <w:ilvl w:val="0"/>
          <w:numId w:val="1"/>
        </w:numPr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rPr>
          <w:rFonts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部门自评工作开展情况</w:t>
      </w:r>
    </w:p>
    <w:p>
      <w:pPr>
        <w:pStyle w:val="9"/>
        <w:tabs>
          <w:tab w:val="left" w:pos="1418"/>
          <w:tab w:val="left" w:pos="7216"/>
          <w:tab w:val="left" w:pos="7302"/>
        </w:tabs>
        <w:spacing w:line="560" w:lineRule="exact"/>
        <w:ind w:left="480" w:leftChars="200" w:firstLine="320" w:firstLineChars="100"/>
        <w:rPr>
          <w:rFonts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1.前期准备阶段</w:t>
      </w:r>
    </w:p>
    <w:p>
      <w:pPr>
        <w:pStyle w:val="9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月，武汉市东西湖区人民政府将军路街道办事处按照区财政局《关于开展202</w:t>
      </w:r>
      <w:r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年度预算绩效评价及结果应用工作的通知》中开展财政支出绩效评价工作的要求，对项目资金和部门整体支出的预算资金作为本次自评的对象，在组建武汉市东西湖区人民政府将军路街道办事处202</w:t>
      </w:r>
      <w:r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绩效评价工作领导小组的基础上成立了本项目的自评小组，并与第三方进一步明确本项目绩效评价工作的目标、任务、评价方法和资料收集方法，确定了项目绩效评价工作开展的方向和重点，形成了本项目完整的绩效评价工作方案。</w:t>
      </w:r>
    </w:p>
    <w:p>
      <w:pPr>
        <w:pStyle w:val="9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rPr>
          <w:rFonts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2.具体组织过程</w:t>
      </w:r>
    </w:p>
    <w:p>
      <w:pPr>
        <w:pStyle w:val="9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根据项目绩效评价工作方案，自评小组从202</w:t>
      </w:r>
      <w:r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开始系统收集了本项目执行过程的资料。在系统收集项目相关资料的基础上，自评小组和第三方对所收集到的项目基础资料一一进行了核实。结合具体完成情况对这些指标进行了逐一分析，在此基础上完成了对本项目的综合分析评价。</w:t>
      </w:r>
    </w:p>
    <w:p>
      <w:pPr>
        <w:pStyle w:val="9"/>
        <w:spacing w:line="560" w:lineRule="exact"/>
        <w:ind w:firstLine="640" w:firstLineChars="200"/>
        <w:rPr>
          <w:rFonts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3.撰写项目绩效评价报告。</w:t>
      </w:r>
    </w:p>
    <w:p>
      <w:pPr>
        <w:pStyle w:val="9"/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根据整理分析基础上评分，形成综合评价结果。</w:t>
      </w:r>
    </w:p>
    <w:p>
      <w:pPr>
        <w:pStyle w:val="9"/>
        <w:spacing w:line="560" w:lineRule="exact"/>
        <w:ind w:firstLine="640" w:firstLineChars="200"/>
        <w:rPr>
          <w:rFonts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4.建立绩效评价工作档案。</w:t>
      </w:r>
    </w:p>
    <w:p>
      <w:pPr>
        <w:pStyle w:val="9"/>
        <w:spacing w:line="560" w:lineRule="exact"/>
        <w:ind w:firstLine="640" w:firstLineChars="200"/>
        <w:rPr>
          <w:rFonts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（三）绩效目标完成情况分析</w:t>
      </w:r>
    </w:p>
    <w:p>
      <w:pPr>
        <w:pStyle w:val="9"/>
        <w:spacing w:line="560" w:lineRule="exact"/>
        <w:ind w:firstLine="640" w:firstLineChars="200"/>
        <w:rPr>
          <w:rFonts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1.预算执行情况分析。</w:t>
      </w:r>
    </w:p>
    <w:p>
      <w:pPr>
        <w:pStyle w:val="9"/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该项目预算金额为</w:t>
      </w:r>
      <w:r>
        <w:rPr>
          <w:rFonts w:ascii="仿宋" w:hAnsi="仿宋" w:eastAsia="PMingLiU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1982.75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万元。实际使用金额为2048.44万元.资金使用率达到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100%</w:t>
      </w:r>
    </w:p>
    <w:p>
      <w:pPr>
        <w:pStyle w:val="9"/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2.绩效目标完成情况分析。</w:t>
      </w:r>
    </w:p>
    <w:p>
      <w:pPr>
        <w:pStyle w:val="9"/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（1）产出数量指标完成情况分析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①参保人数（</w:t>
      </w:r>
      <w:r>
        <w:rPr>
          <w:rFonts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经汇总分析，该指标设定年初申报参保人数为</w:t>
      </w:r>
      <w:r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900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人，截止</w:t>
      </w:r>
      <w:r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月份，实际参保人数为</w:t>
      </w:r>
      <w:r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914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人。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该指标设定分值8分，实得7</w:t>
      </w:r>
      <w:r>
        <w:rPr>
          <w:rFonts w:ascii="仿宋" w:hAnsi="仿宋" w:eastAsia="仿宋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仿宋" w:hAnsi="仿宋" w:eastAsia="仿宋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分，得分率</w:t>
      </w:r>
      <w:r>
        <w:rPr>
          <w:rFonts w:ascii="仿宋" w:hAnsi="仿宋" w:eastAsia="仿宋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98.40</w:t>
      </w:r>
      <w:r>
        <w:rPr>
          <w:rFonts w:hint="eastAsia" w:ascii="仿宋" w:hAnsi="仿宋" w:eastAsia="仿宋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）产出质量指标完成情况分析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①保费缴纳标准（8分）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经查，街道职工社保参保人员的缴纳标准均按东西区规定的标准执行，足额缴纳，未发现有意降低保费标准和超标准缴纳的情况。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该指标设定分值8分，实得8分，得分率100%。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②保费缴纳覆盖率（8分）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目标为100%全覆盖。实际完成情况为：做到了应缴尽缴，100%全覆盖。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该指标设定分值8分，实得8分，得分率100%。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）产出时效指标完成情况分析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①社保缴纳基数调整及时率（</w:t>
      </w:r>
      <w:r>
        <w:rPr>
          <w:rFonts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目标为及时调整。实际完成情况为：根据每年人社局相关政策，及时调整了在职人员社保缴费基数。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该指标设定分值8分，实得8分，得分率100%。</w:t>
      </w:r>
    </w:p>
    <w:p>
      <w:pPr>
        <w:adjustRightInd w:val="0"/>
        <w:snapToGrid w:val="0"/>
        <w:spacing w:line="560" w:lineRule="exact"/>
        <w:ind w:firstLine="643" w:firstLineChars="200"/>
        <w:rPr>
          <w:rFonts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②保费缴纳的及时性（</w:t>
      </w:r>
      <w:r>
        <w:rPr>
          <w:rFonts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分）</w:t>
      </w:r>
    </w:p>
    <w:p>
      <w:pPr>
        <w:widowControl/>
        <w:rPr>
          <w:rFonts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br w:type="page"/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目标为按月连续缴纳，期间不出现断档的情况。实际完成情况为：未出现断档情况。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该指标设定分值8分，实得8分，得分率100%。</w:t>
      </w:r>
    </w:p>
    <w:p>
      <w:pPr>
        <w:pStyle w:val="9"/>
        <w:spacing w:line="560" w:lineRule="exact"/>
        <w:ind w:left="640" w:firstLine="0"/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PMingLiU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）效益指标完成情况分析。</w:t>
      </w:r>
    </w:p>
    <w:p>
      <w:pPr>
        <w:pStyle w:val="9"/>
        <w:spacing w:line="560" w:lineRule="exact"/>
        <w:ind w:firstLine="643" w:firstLineChars="200"/>
        <w:rPr>
          <w:rFonts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社会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影响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分)。</w:t>
      </w:r>
    </w:p>
    <w:p>
      <w:pPr>
        <w:pStyle w:val="9"/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项目的实施为广大职工提供了稳定可靠的基本生活保障，解决了退休后的后顾之忧。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该项目得分</w:t>
      </w:r>
      <w:r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分。</w:t>
      </w:r>
    </w:p>
    <w:p>
      <w:pPr>
        <w:pStyle w:val="9"/>
        <w:spacing w:line="560" w:lineRule="exact"/>
        <w:ind w:firstLine="643" w:firstLineChars="200"/>
        <w:rPr>
          <w:rFonts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可持续影响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(</w:t>
      </w:r>
      <w:r>
        <w:rPr>
          <w:rFonts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分)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社保缴纳为持续性工作，也将给社会稳定带来持续性影响。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该项目得分</w:t>
      </w:r>
      <w:r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分。</w:t>
      </w:r>
    </w:p>
    <w:p>
      <w:pPr>
        <w:pStyle w:val="9"/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）满意度指标完成情况分析。</w:t>
      </w:r>
    </w:p>
    <w:p>
      <w:pPr>
        <w:pStyle w:val="9"/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①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服务对象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满意度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）。</w:t>
      </w:r>
    </w:p>
    <w:p>
      <w:pPr>
        <w:pStyle w:val="9"/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目标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服务对象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满意度为</w:t>
      </w:r>
      <w:r>
        <w:rPr>
          <w:rFonts w:ascii="仿宋" w:hAnsi="仿宋" w:eastAsia="PMingLiU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实际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服务对象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满意度为</w:t>
      </w:r>
      <w:r>
        <w:rPr>
          <w:rFonts w:ascii="仿宋" w:hAnsi="仿宋" w:eastAsia="PMingLiU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仿宋" w:hAnsi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完成率达到100%。该指标得分为10分。</w:t>
      </w:r>
    </w:p>
    <w:p>
      <w:pPr>
        <w:pStyle w:val="9"/>
        <w:spacing w:line="560" w:lineRule="exact"/>
        <w:ind w:firstLine="640" w:firstLineChars="200"/>
        <w:jc w:val="both"/>
        <w:rPr>
          <w:rFonts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（四)上年度部门评价报告应用情况</w:t>
      </w:r>
    </w:p>
    <w:p>
      <w:pPr>
        <w:pStyle w:val="9"/>
        <w:spacing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无。</w:t>
      </w:r>
    </w:p>
    <w:p>
      <w:pPr>
        <w:spacing w:line="560" w:lineRule="exact"/>
        <w:ind w:firstLine="640" w:firstLineChars="200"/>
        <w:jc w:val="both"/>
        <w:rPr>
          <w:rFonts w:ascii="楷体" w:hAnsi="楷体" w:eastAsia="楷体" w:cs="楷体"/>
          <w:color w:val="000000" w:themeColor="text1"/>
          <w:sz w:val="32"/>
          <w:szCs w:val="32"/>
          <w:lang w:eastAsia="zh-CN" w:bidi="zh-TW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 w:bidi="zh-TW"/>
          <w14:textFill>
            <w14:solidFill>
              <w14:schemeClr w14:val="tx1"/>
            </w14:solidFill>
          </w14:textFill>
        </w:rPr>
        <w:t>（五）其他佐证材料</w:t>
      </w:r>
    </w:p>
    <w:p>
      <w:pPr>
        <w:spacing w:line="560" w:lineRule="exact"/>
        <w:ind w:firstLine="2240" w:firstLineChars="700"/>
        <w:rPr>
          <w:rFonts w:ascii="仿宋" w:hAnsi="仿宋" w:eastAsia="仿宋" w:cs="仿宋"/>
          <w:color w:val="000000" w:themeColor="text1"/>
          <w:sz w:val="32"/>
          <w:szCs w:val="32"/>
          <w:lang w:eastAsia="zh-CN" w:bidi="zh-TW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2249" w:firstLineChars="700"/>
        <w:jc w:val="both"/>
        <w:rPr>
          <w:rFonts w:ascii="楷体" w:hAnsi="楷体" w:eastAsia="楷体" w:cs="楷体"/>
          <w:b/>
          <w:color w:val="000000" w:themeColor="text1"/>
          <w:sz w:val="32"/>
          <w:szCs w:val="32"/>
          <w:lang w:eastAsia="zh-CN" w:bidi="zh-TW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b/>
          <w:color w:val="000000" w:themeColor="text1"/>
          <w:sz w:val="32"/>
          <w:szCs w:val="32"/>
          <w:lang w:eastAsia="zh-CN" w:bidi="zh-TW"/>
          <w14:textFill>
            <w14:solidFill>
              <w14:schemeClr w14:val="tx1"/>
            </w14:solidFill>
          </w14:textFill>
        </w:rPr>
        <w:t>武汉市东西湖区人民政府将军路街道办事处</w:t>
      </w:r>
    </w:p>
    <w:p>
      <w:pPr>
        <w:rPr>
          <w:rFonts w:ascii="方正小标宋简体" w:hAnsi="方正小标宋简体" w:eastAsia="方正小标宋简体" w:cs="方正小标宋简体"/>
          <w:color w:val="000000" w:themeColor="text1"/>
          <w:spacing w:val="-1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1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br w:type="page"/>
      </w:r>
    </w:p>
    <w:p>
      <w:pPr>
        <w:pStyle w:val="10"/>
        <w:keepNext/>
        <w:keepLines/>
        <w:ind w:firstLine="2028" w:firstLineChars="600"/>
        <w:jc w:val="both"/>
        <w:rPr>
          <w:rFonts w:ascii="方正小标宋简体" w:hAnsi="方正小标宋简体" w:eastAsia="方正小标宋简体" w:cs="方正小标宋简体"/>
          <w:color w:val="000000" w:themeColor="text1"/>
          <w:spacing w:val="-11"/>
          <w:sz w:val="36"/>
          <w:szCs w:val="36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000000" w:themeColor="text1"/>
          <w:spacing w:val="-1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2021年度街道职工社保项目自评结果</w:t>
      </w:r>
    </w:p>
    <w:p>
      <w:pPr>
        <w:pStyle w:val="10"/>
        <w:keepNext/>
        <w:keepLines/>
        <w:ind w:firstLine="3520" w:firstLineChars="1100"/>
        <w:jc w:val="both"/>
        <w:rPr>
          <w:rFonts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（摘要版）</w:t>
      </w:r>
    </w:p>
    <w:p>
      <w:pPr>
        <w:pStyle w:val="9"/>
        <w:spacing w:line="560" w:lineRule="exact"/>
        <w:ind w:firstLine="640" w:firstLineChars="200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自评得分</w:t>
      </w:r>
    </w:p>
    <w:p>
      <w:pPr>
        <w:pStyle w:val="9"/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项目绩效自评综合评分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99.87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分。</w:t>
      </w:r>
    </w:p>
    <w:tbl>
      <w:tblPr>
        <w:tblStyle w:val="6"/>
        <w:tblW w:w="5000" w:type="pct"/>
        <w:jc w:val="center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975"/>
        <w:gridCol w:w="1762"/>
        <w:gridCol w:w="2076"/>
        <w:gridCol w:w="2052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9" w:hRule="exact"/>
          <w:jc w:val="center"/>
        </w:trPr>
        <w:tc>
          <w:tcPr>
            <w:tcW w:w="1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评价项目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权重</w:t>
            </w:r>
          </w:p>
        </w:tc>
        <w:tc>
          <w:tcPr>
            <w:tcW w:w="1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评级分值</w:t>
            </w: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本项得分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8" w:hRule="exact"/>
          <w:jc w:val="center"/>
        </w:trPr>
        <w:tc>
          <w:tcPr>
            <w:tcW w:w="1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预算执行情况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20%</w:t>
            </w:r>
          </w:p>
        </w:tc>
        <w:tc>
          <w:tcPr>
            <w:tcW w:w="1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12" w:hRule="exact"/>
          <w:jc w:val="center"/>
        </w:trPr>
        <w:tc>
          <w:tcPr>
            <w:tcW w:w="1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项目产出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40%</w:t>
            </w:r>
          </w:p>
        </w:tc>
        <w:tc>
          <w:tcPr>
            <w:tcW w:w="1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:lang w:val="en-US" w:eastAsia="zh-CN" w:bidi="en-US"/>
                <w14:textFill>
                  <w14:solidFill>
                    <w14:schemeClr w14:val="tx1"/>
                  </w14:solidFill>
                </w14:textFill>
              </w:rPr>
              <w:t>39.87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8" w:hRule="exact"/>
          <w:jc w:val="center"/>
        </w:trPr>
        <w:tc>
          <w:tcPr>
            <w:tcW w:w="1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项目效益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30%</w:t>
            </w:r>
          </w:p>
        </w:tc>
        <w:tc>
          <w:tcPr>
            <w:tcW w:w="1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8" w:hRule="exact"/>
          <w:jc w:val="center"/>
        </w:trPr>
        <w:tc>
          <w:tcPr>
            <w:tcW w:w="1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项目满意度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10%</w:t>
            </w:r>
          </w:p>
        </w:tc>
        <w:tc>
          <w:tcPr>
            <w:tcW w:w="1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7" w:hRule="exact"/>
          <w:jc w:val="center"/>
        </w:trPr>
        <w:tc>
          <w:tcPr>
            <w:tcW w:w="16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综合绩效</w:t>
            </w:r>
          </w:p>
        </w:tc>
        <w:tc>
          <w:tcPr>
            <w:tcW w:w="9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100%</w:t>
            </w:r>
          </w:p>
        </w:tc>
        <w:tc>
          <w:tcPr>
            <w:tcW w:w="11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100</w:t>
            </w:r>
          </w:p>
        </w:tc>
        <w:tc>
          <w:tcPr>
            <w:tcW w:w="11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pStyle w:val="11"/>
              <w:adjustRightInd w:val="0"/>
              <w:snapToGrid w:val="0"/>
              <w:spacing w:line="240" w:lineRule="auto"/>
              <w:ind w:firstLine="0"/>
              <w:jc w:val="center"/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" w:eastAsia="仿宋_GB2312" w:cs="仿宋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99.87</w:t>
            </w:r>
          </w:p>
        </w:tc>
      </w:tr>
    </w:tbl>
    <w:p>
      <w:pPr>
        <w:pStyle w:val="9"/>
        <w:spacing w:line="560" w:lineRule="exact"/>
        <w:ind w:firstLine="640" w:firstLineChars="200"/>
        <w:jc w:val="both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绩效目标完成情况</w:t>
      </w:r>
    </w:p>
    <w:p>
      <w:pPr>
        <w:pStyle w:val="9"/>
        <w:spacing w:line="560" w:lineRule="exact"/>
        <w:ind w:firstLine="640" w:firstLineChars="200"/>
        <w:jc w:val="both"/>
        <w:rPr>
          <w:rFonts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执行率情况</w:t>
      </w:r>
    </w:p>
    <w:p>
      <w:pPr>
        <w:pStyle w:val="9"/>
        <w:spacing w:line="560" w:lineRule="exact"/>
        <w:ind w:firstLine="500"/>
        <w:jc w:val="both"/>
        <w:rPr>
          <w:rFonts w:ascii="仿宋" w:hAnsi="仿宋" w:eastAsia="仿宋" w:cs="仿宋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该项目资金主要用于街道职工社保缴纳。20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年项目年初预算为</w:t>
      </w:r>
      <w:r>
        <w:rPr>
          <w:rFonts w:ascii="仿宋" w:hAnsi="仿宋" w:eastAsia="PMingLiU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1982.75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万元，实际支出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2048.44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%。</w:t>
      </w:r>
    </w:p>
    <w:p>
      <w:pPr>
        <w:pStyle w:val="9"/>
        <w:tabs>
          <w:tab w:val="left" w:pos="863"/>
        </w:tabs>
        <w:spacing w:line="560" w:lineRule="exact"/>
        <w:ind w:firstLine="640" w:firstLineChars="200"/>
        <w:jc w:val="both"/>
        <w:rPr>
          <w:rFonts w:ascii="楷体" w:hAnsi="楷体" w:eastAsia="PMingLiU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完成的绩效目标</w:t>
      </w:r>
      <w:bookmarkStart w:id="7" w:name="_GoBack"/>
      <w:bookmarkEnd w:id="7"/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448"/>
        <w:gridCol w:w="1814"/>
        <w:gridCol w:w="3090"/>
        <w:gridCol w:w="13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二级指标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三级指标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年初目标值</w:t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(A)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实际完成值</w:t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(B)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质量指标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保费缴纳标准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是否按规定标准纳缴足额缴纳保费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经查，社保参保人员的缴纳标准均按东西区规定的标准执行，足够缴纳，未发现有意降低保费标准和超标准缴纳的情况。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社保缴纳覆盖率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100%全覆盖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做到了应缴尽缴，100%全覆盖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时效指标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社保缴纳基数调整及时性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及时调整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根据每年人社局相关政策，及时调整在职人员社保缴费基数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保费缴纳的及时性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按月连续缴纳，期间不出现断档的情况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未出现断档的情况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社会效益指标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社会效益（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15分）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left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项目实施对社会发展所带来的直接或间接影响情况。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为广大职工提供了稳定可靠的基本生活保障，解决了退休后的后顾之忧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可持续影响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可持续影响（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15分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left"/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项目后续运行及成效发挥的可持续影响情况。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社保缴纳为持续性工作，也将给社会稳定带来持续性影响。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服务对象满意度指标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服务对象满意度（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lang w:val="en-US"/>
                <w14:textFill>
                  <w14:solidFill>
                    <w14:schemeClr w14:val="tx1"/>
                  </w14:solidFill>
                </w14:textFill>
              </w:rPr>
              <w:t>10分</w:t>
            </w: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95%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95%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</w:tbl>
    <w:p>
      <w:pPr>
        <w:pStyle w:val="9"/>
        <w:tabs>
          <w:tab w:val="left" w:pos="863"/>
        </w:tabs>
        <w:spacing w:line="560" w:lineRule="exact"/>
        <w:ind w:firstLine="640" w:firstLineChars="200"/>
        <w:rPr>
          <w:rFonts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楷体" w:hAnsi="楷体" w:eastAsia="楷体" w:cs="楷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未完成的绩效目标。</w:t>
      </w:r>
    </w:p>
    <w:tbl>
      <w:tblPr>
        <w:tblStyle w:val="6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1448"/>
        <w:gridCol w:w="1814"/>
        <w:gridCol w:w="3090"/>
        <w:gridCol w:w="13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二级指标</w:t>
            </w:r>
          </w:p>
        </w:tc>
        <w:tc>
          <w:tcPr>
            <w:tcW w:w="799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三级指标</w:t>
            </w:r>
          </w:p>
        </w:tc>
        <w:tc>
          <w:tcPr>
            <w:tcW w:w="1001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年初目标值</w:t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(A)</w:t>
            </w:r>
          </w:p>
        </w:tc>
        <w:tc>
          <w:tcPr>
            <w:tcW w:w="170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实际完成值</w:t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(B)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:lang w:bidi="ar"/>
                <w14:textFill>
                  <w14:solidFill>
                    <w14:schemeClr w14:val="tx1"/>
                  </w14:solidFill>
                </w14:textFill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2"/>
              <w:tabs>
                <w:tab w:val="left" w:pos="420"/>
                <w:tab w:val="left" w:pos="840"/>
                <w:tab w:val="left" w:pos="1260"/>
                <w:tab w:val="left" w:pos="1680"/>
                <w:tab w:val="left" w:pos="2100"/>
                <w:tab w:val="left" w:pos="2551"/>
                <w:tab w:val="left" w:pos="2749"/>
                <w:tab w:val="left" w:pos="3360"/>
                <w:tab w:val="left" w:pos="3780"/>
                <w:tab w:val="left" w:pos="4200"/>
                <w:tab w:val="left" w:pos="4620"/>
                <w:tab w:val="left" w:pos="5040"/>
                <w:tab w:val="left" w:pos="5460"/>
                <w:tab w:val="left" w:pos="5880"/>
              </w:tabs>
              <w:adjustRightInd w:val="0"/>
              <w:snapToGrid w:val="0"/>
              <w:jc w:val="center"/>
              <w:rPr>
                <w:rFonts w:hint="eastAsia" w:ascii="仿宋_GB2312" w:eastAsia="仿宋_GB2312" w:hAnsiTheme="minorEastAsia"/>
                <w:color w:val="000000" w:themeColor="text1"/>
                <w:sz w:val="20"/>
                <w:shd w:val="clear" w:color="auto" w:fill="800000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  <w:t>数量指标</w:t>
            </w:r>
          </w:p>
        </w:tc>
        <w:tc>
          <w:tcPr>
            <w:tcW w:w="7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参保人数</w:t>
            </w:r>
          </w:p>
        </w:tc>
        <w:tc>
          <w:tcPr>
            <w:tcW w:w="100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年初申报参保人数为900人</w:t>
            </w:r>
          </w:p>
        </w:tc>
        <w:tc>
          <w:tcPr>
            <w:tcW w:w="17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hAnsiTheme="minorEastAsia"/>
                <w:color w:val="000000" w:themeColor="text1"/>
                <w:sz w:val="20"/>
                <w:szCs w:val="20"/>
                <w:lang w:eastAsia="zh-CN"/>
                <w14:textFill>
                  <w14:solidFill>
                    <w14:schemeClr w14:val="tx1"/>
                  </w14:solidFill>
                </w14:textFill>
              </w:rPr>
              <w:t>截止12月份，实际参保人数为914人</w:t>
            </w:r>
          </w:p>
        </w:tc>
        <w:tc>
          <w:tcPr>
            <w:tcW w:w="735" w:type="pct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 w:cs="宋体" w:hAnsiTheme="minorEastAsia"/>
                <w:color w:val="000000" w:themeColor="text1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  <w:t>7.87</w:t>
            </w:r>
          </w:p>
        </w:tc>
      </w:tr>
    </w:tbl>
    <w:p>
      <w:pPr>
        <w:pStyle w:val="9"/>
        <w:spacing w:line="560" w:lineRule="exact"/>
        <w:ind w:firstLine="640" w:firstLineChars="200"/>
        <w:jc w:val="both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存在的问题和原因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1.绩效目标申报过程中绩效目标的明确性上有待提升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年初编制预算时，未充分考虑到年中的参保人数可能出现变化问题，造成街道职工社保实际支出超过年初预算金额。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2.项目制度体系建设有待加强，项目管理水平有待进一步提升</w:t>
      </w:r>
    </w:p>
    <w:p>
      <w:pPr>
        <w:pStyle w:val="9"/>
        <w:spacing w:line="560" w:lineRule="exact"/>
        <w:ind w:firstLine="640" w:firstLineChars="200"/>
        <w:rPr>
          <w:rFonts w:ascii="仿宋" w:hAnsi="仿宋" w:eastAsia="仿宋" w:cs="仿宋"/>
          <w:color w:val="000000" w:themeColor="text1"/>
          <w:sz w:val="32"/>
          <w:szCs w:val="32"/>
          <w:lang w:val="en-US" w:eastAsia="zh-CN" w:bidi="en-US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制定了财政预算管理方面的相关制度，但更多是财务管理制度，而缺少项目管理的业务管理制度，不利于对项目开展进行有效指导。</w:t>
      </w:r>
    </w:p>
    <w:p>
      <w:pPr>
        <w:pStyle w:val="9"/>
        <w:spacing w:line="560" w:lineRule="exact"/>
        <w:ind w:firstLine="640" w:firstLineChars="200"/>
        <w:rPr>
          <w:rFonts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建议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1.优化事前管理，进一步提高决策的规范性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在年初编制预算时，做好各个单位（部分）参保人数统计工作，对参保人数可能发生的变化做好充分的预计，尽量减少年中的调整变动，使预算编制更准确。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2.健全制度管理体系，进一步提升资金和项目管控水平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不仅要有财务管理制度，而且还要制定针对街道职工社保项目的业务管理制度、管理流程等，细化管理，明确管理职责，为项目资金的规范管理提供更进一步健全、科学的制度保障。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eastAsia="楷体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3.加强过程控制，确保费缴纳的及时性和连续性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严格按照</w:t>
      </w:r>
      <w:r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</w:t>
      </w:r>
      <w:r>
        <w:fldChar w:fldCharType="begin"/>
      </w:r>
      <w:r>
        <w:instrText xml:space="preserve"> HYPERLINK "https://www.64365.com/baike/shbx/" \t "_blank" \o "社会保险" </w:instrText>
      </w:r>
      <w:r>
        <w:fldChar w:fldCharType="separate"/>
      </w:r>
      <w:r>
        <w:rPr>
          <w:rFonts w:ascii="仿宋" w:hAnsi="仿宋" w:eastAsia="仿宋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社会保险</w:t>
      </w:r>
      <w:r>
        <w:rPr>
          <w:rFonts w:ascii="仿宋" w:hAnsi="仿宋" w:eastAsia="仿宋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费申报缴纳管理规定》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的相关要求，</w:t>
      </w:r>
      <w:r>
        <w:rPr>
          <w:rFonts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每月11日至当月最后一个工作日为对单位受理申报时间</w:t>
      </w:r>
      <w:r>
        <w:rPr>
          <w:rFonts w:hint="eastAsia" w:ascii="仿宋" w:hAnsi="仿宋" w:eastAsia="仿宋" w:cs="Arial"/>
          <w:bCs/>
          <w:cap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，在此期间要督促和提醒有人单位进行及时申报，并按时足额代缴，确保社保费缴纳的及时性的连续性。</w:t>
      </w:r>
    </w:p>
    <w:p>
      <w:pPr>
        <w:spacing w:line="560" w:lineRule="exact"/>
        <w:ind w:firstLine="640" w:firstLineChars="200"/>
        <w:jc w:val="both"/>
        <w:rPr>
          <w:rFonts w:ascii="仿宋" w:hAnsi="仿宋" w:eastAsia="仿宋" w:cs="仿宋"/>
          <w:color w:val="000000" w:themeColor="text1"/>
          <w:sz w:val="32"/>
          <w:szCs w:val="32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附件：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 w:bidi="zh-TW"/>
          <w14:textFill>
            <w14:solidFill>
              <w14:schemeClr w14:val="tx1"/>
            </w14:solidFill>
          </w14:textFill>
        </w:rPr>
        <w:t>2021年度街道职工社保项目自评表</w:t>
      </w:r>
    </w:p>
    <w:p>
      <w:pPr>
        <w:spacing w:line="560" w:lineRule="exact"/>
        <w:ind w:firstLine="320" w:firstLineChars="100"/>
        <w:rPr>
          <w:rFonts w:ascii="仿宋" w:hAnsi="仿宋" w:eastAsia="仿宋" w:cs="仿宋"/>
          <w:color w:val="000000" w:themeColor="text1"/>
          <w:sz w:val="32"/>
          <w:szCs w:val="32"/>
          <w:lang w:eastAsia="zh-CN" w:bidi="zh-TW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320" w:firstLineChars="100"/>
        <w:rPr>
          <w:rFonts w:ascii="仿宋" w:hAnsi="仿宋" w:eastAsia="仿宋" w:cs="仿宋"/>
          <w:color w:val="000000" w:themeColor="text1"/>
          <w:sz w:val="32"/>
          <w:szCs w:val="32"/>
          <w:lang w:eastAsia="zh-CN" w:bidi="zh-TW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ind w:firstLine="2570" w:firstLineChars="800"/>
        <w:rPr>
          <w:rFonts w:ascii="仿宋" w:hAnsi="仿宋" w:eastAsia="仿宋" w:cs="仿宋"/>
          <w:b/>
          <w:color w:val="000000" w:themeColor="text1"/>
          <w:sz w:val="32"/>
          <w:szCs w:val="32"/>
          <w:lang w:eastAsia="zh-CN" w:bidi="zh-TW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sz w:val="32"/>
          <w:szCs w:val="32"/>
          <w:lang w:eastAsia="zh-CN" w:bidi="zh-TW"/>
          <w14:textFill>
            <w14:solidFill>
              <w14:schemeClr w14:val="tx1"/>
            </w14:solidFill>
          </w14:textFill>
        </w:rPr>
        <w:t>武汉市东西湖区人民政府将军路街道办事处</w:t>
      </w:r>
    </w:p>
    <w:p>
      <w:pPr>
        <w:rPr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2098" w:right="1474" w:bottom="1984" w:left="1587" w:header="851" w:footer="992" w:gutter="0"/>
      <w:cols w:space="0" w:num="1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0E082E"/>
    <w:multiLevelType w:val="singleLevel"/>
    <w:tmpl w:val="010E082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6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YTlkMGZmMGE4ZDIyMmYxYWY0Yjk0NTJjMjM4ZGEifQ=="/>
  </w:docVars>
  <w:rsids>
    <w:rsidRoot w:val="00000000"/>
    <w:rsid w:val="1CF12661"/>
    <w:rsid w:val="45D70AEE"/>
    <w:rsid w:val="4F5B6C7A"/>
    <w:rsid w:val="565138F6"/>
    <w:rsid w:val="5E332EE9"/>
    <w:rsid w:val="5F1D4165"/>
    <w:rsid w:val="64665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2">
    <w:name w:val="heading 3"/>
    <w:basedOn w:val="1"/>
    <w:next w:val="1"/>
    <w:link w:val="15"/>
    <w:unhideWhenUsed/>
    <w:qFormat/>
    <w:uiPriority w:val="9"/>
    <w:pPr>
      <w:keepNext/>
      <w:keepLines/>
      <w:spacing w:line="360" w:lineRule="auto"/>
      <w:ind w:firstLine="200" w:firstLineChars="200"/>
      <w:jc w:val="both"/>
      <w:outlineLvl w:val="2"/>
    </w:pPr>
    <w:rPr>
      <w:rFonts w:eastAsia="仿宋"/>
      <w:b/>
      <w:bCs/>
      <w:color w:val="auto"/>
      <w:kern w:val="2"/>
      <w:sz w:val="32"/>
      <w:szCs w:val="32"/>
      <w:lang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footer"/>
    <w:basedOn w:val="1"/>
    <w:link w:val="16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color w:val="auto"/>
      <w:kern w:val="2"/>
      <w:sz w:val="18"/>
      <w:szCs w:val="18"/>
      <w:lang w:eastAsia="zh-CN" w:bidi="ar-SA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Body text|1"/>
    <w:basedOn w:val="1"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0">
    <w:name w:val="Heading #1|1"/>
    <w:basedOn w:val="1"/>
    <w:qFormat/>
    <w:uiPriority w:val="0"/>
    <w:pPr>
      <w:spacing w:after="180" w:line="499" w:lineRule="exact"/>
      <w:jc w:val="center"/>
      <w:outlineLvl w:val="0"/>
    </w:pPr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spacing w:line="437" w:lineRule="auto"/>
      <w:ind w:firstLine="400"/>
    </w:pPr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12">
    <w:name w:val="正文2"/>
    <w:basedOn w:val="13"/>
    <w:qFormat/>
    <w:uiPriority w:val="3"/>
    <w:pPr>
      <w:jc w:val="both"/>
    </w:pPr>
    <w:rPr>
      <w:rFonts w:ascii="Times New Roman" w:hAnsi="Times New Roman" w:eastAsia="Times New Roman"/>
      <w:sz w:val="21"/>
    </w:rPr>
  </w:style>
  <w:style w:type="paragraph" w:customStyle="1" w:styleId="13">
    <w:name w:val="[Normal]"/>
    <w:qFormat/>
    <w:uiPriority w:val="6"/>
    <w:rPr>
      <w:rFonts w:ascii="宋体" w:hAnsi="宋体" w:eastAsia="宋体" w:cstheme="minorBidi"/>
      <w:sz w:val="24"/>
      <w:lang w:val="zh-CN" w:eastAsia="zh-CN" w:bidi="ar-SA"/>
    </w:rPr>
  </w:style>
  <w:style w:type="character" w:customStyle="1" w:styleId="14">
    <w:name w:val="页眉 Char"/>
    <w:basedOn w:val="8"/>
    <w:link w:val="5"/>
    <w:qFormat/>
    <w:uiPriority w:val="99"/>
    <w:rPr>
      <w:kern w:val="2"/>
      <w:sz w:val="18"/>
      <w:szCs w:val="18"/>
    </w:rPr>
  </w:style>
  <w:style w:type="character" w:customStyle="1" w:styleId="15">
    <w:name w:val="标题 3 Char"/>
    <w:basedOn w:val="8"/>
    <w:link w:val="2"/>
    <w:qFormat/>
    <w:uiPriority w:val="9"/>
    <w:rPr>
      <w:rFonts w:eastAsia="仿宋"/>
      <w:b/>
      <w:bCs/>
      <w:kern w:val="2"/>
      <w:sz w:val="32"/>
      <w:szCs w:val="32"/>
    </w:rPr>
  </w:style>
  <w:style w:type="character" w:customStyle="1" w:styleId="16">
    <w:name w:val="页脚 Char"/>
    <w:basedOn w:val="8"/>
    <w:link w:val="4"/>
    <w:qFormat/>
    <w:uiPriority w:val="0"/>
    <w:rPr>
      <w:rFonts w:eastAsia="Times New Roman"/>
      <w:color w:val="000000"/>
      <w:sz w:val="18"/>
      <w:szCs w:val="18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3975</Words>
  <Characters>4300</Characters>
  <Lines>13</Lines>
  <Paragraphs>11</Paragraphs>
  <TotalTime>109</TotalTime>
  <ScaleCrop>false</ScaleCrop>
  <LinksUpToDate>false</LinksUpToDate>
  <CharactersWithSpaces>4302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2021-05-22T03:59:00Z</dcterms:created>
  <dc:creator>志</dc:creator>
  <cp:lastModifiedBy>lenovo</cp:lastModifiedBy>
  <dcterms:modified xsi:type="dcterms:W3CDTF">2022-05-19T01:27:24Z</dcterms:modified>
  <cp:revision>140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1587F1BC8FBF4F33A21A0C619D22F6D4</vt:lpwstr>
  </property>
</Properties>
</file>