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等线" w:hAnsi="等线" w:eastAsia="等线" w:cs="等线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  <w:t>附件1:</w:t>
      </w:r>
    </w:p>
    <w:p>
      <w:pPr>
        <w:jc w:val="center"/>
        <w:rPr>
          <w:rFonts w:ascii="等线" w:hAnsi="等线" w:eastAsia="等线" w:cs="等线"/>
          <w:b/>
          <w:color w:val="000000" w:themeColor="text1"/>
          <w:kern w:val="0"/>
          <w:sz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:lang w:bidi="ar"/>
          <w14:textFill>
            <w14:solidFill>
              <w14:schemeClr w14:val="tx1"/>
            </w14:solidFill>
          </w14:textFill>
        </w:rPr>
        <w:t>202</w:t>
      </w:r>
      <w:r>
        <w:rPr>
          <w:rFonts w:ascii="宋体" w:hAnsi="宋体" w:eastAsia="宋体" w:cs="宋体"/>
          <w:b/>
          <w:color w:val="000000" w:themeColor="text1"/>
          <w:kern w:val="0"/>
          <w:sz w:val="36"/>
          <w:szCs w:val="36"/>
          <w:lang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36"/>
          <w:szCs w:val="36"/>
          <w:lang w:bidi="ar"/>
          <w14:textFill>
            <w14:solidFill>
              <w14:schemeClr w14:val="tx1"/>
            </w14:solidFill>
          </w14:textFill>
        </w:rPr>
        <w:t>年度拆迁补偿项目自评表</w:t>
      </w:r>
    </w:p>
    <w:p>
      <w:pPr>
        <w:pStyle w:val="6"/>
        <w:widowControl/>
        <w:rPr>
          <w:rFonts w:hint="default"/>
          <w:color w:val="000000" w:themeColor="text1"/>
          <w:lang w:bidi="a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单位名称: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武汉市东西湖区人民政府将军路街道办事处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bidi="ar"/>
          <w14:textFill>
            <w14:solidFill>
              <w14:schemeClr w14:val="tx1"/>
            </w14:solidFill>
          </w14:textFill>
        </w:rPr>
        <w:t xml:space="preserve">      填报日期:</w:t>
      </w:r>
      <w:r>
        <w:rPr>
          <w:rFonts w:hint="default"/>
          <w:color w:val="000000" w:themeColor="text1"/>
          <w:lang w:bidi="ar"/>
          <w14:textFill>
            <w14:solidFill>
              <w14:schemeClr w14:val="tx1"/>
            </w14:solidFill>
          </w14:textFill>
        </w:rPr>
        <w:t>2022</w:t>
      </w:r>
      <w:r>
        <w:rPr>
          <w:color w:val="000000" w:themeColor="text1"/>
          <w:lang w:bidi="ar"/>
          <w14:textFill>
            <w14:solidFill>
              <w14:schemeClr w14:val="tx1"/>
            </w14:solidFill>
          </w14:textFill>
        </w:rPr>
        <w:t>年4月2</w:t>
      </w:r>
      <w:r>
        <w:rPr>
          <w:rFonts w:hint="default"/>
          <w:color w:val="000000" w:themeColor="text1"/>
          <w:lang w:bidi="ar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lang w:bidi="ar"/>
          <w14:textFill>
            <w14:solidFill>
              <w14:schemeClr w14:val="tx1"/>
            </w14:solidFill>
          </w14:textFill>
        </w:rPr>
        <w:t>日</w:t>
      </w:r>
    </w:p>
    <w:tbl>
      <w:tblPr>
        <w:tblStyle w:val="4"/>
        <w:tblW w:w="5421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1031"/>
        <w:gridCol w:w="185"/>
        <w:gridCol w:w="889"/>
        <w:gridCol w:w="765"/>
        <w:gridCol w:w="366"/>
        <w:gridCol w:w="1416"/>
        <w:gridCol w:w="551"/>
        <w:gridCol w:w="1863"/>
        <w:gridCol w:w="1040"/>
        <w:gridCol w:w="1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569" w:hRule="atLeast"/>
        </w:trPr>
        <w:tc>
          <w:tcPr>
            <w:tcW w:w="10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382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拆迁补偿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686" w:hRule="atLeast"/>
        </w:trPr>
        <w:tc>
          <w:tcPr>
            <w:tcW w:w="10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主管部门</w:t>
            </w:r>
          </w:p>
        </w:tc>
        <w:tc>
          <w:tcPr>
            <w:tcW w:w="99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武汉市东西湖区人民政府将军路街道办事处</w:t>
            </w:r>
          </w:p>
        </w:tc>
        <w:tc>
          <w:tcPr>
            <w:tcW w:w="12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项目实施单位</w:t>
            </w:r>
          </w:p>
        </w:tc>
        <w:tc>
          <w:tcPr>
            <w:tcW w:w="157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rPr>
                <w:rFonts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区域发展办（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征收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办）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10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项目类别</w:t>
            </w:r>
          </w:p>
        </w:tc>
        <w:tc>
          <w:tcPr>
            <w:tcW w:w="382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1、部门预算项目R  2、 区直专项 </w:t>
            </w:r>
            <w:r>
              <w:rPr>
                <w:rFonts w:hint="eastAsia" w:ascii="MS Mincho" w:hAnsi="MS Mincho" w:eastAsia="MS Mincho" w:cs="MS Mincho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10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项目属性</w:t>
            </w:r>
          </w:p>
        </w:tc>
        <w:tc>
          <w:tcPr>
            <w:tcW w:w="382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1、持续性项目 R    2、新增性项目 </w:t>
            </w:r>
            <w:r>
              <w:rPr>
                <w:rFonts w:hint="eastAsia" w:ascii="MS Mincho" w:hAnsi="MS Mincho" w:eastAsia="MS Mincho" w:cs="MS Mincho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10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382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1、常年性项目 R  2、延续性项目 </w:t>
            </w:r>
            <w:r>
              <w:rPr>
                <w:rFonts w:hint="eastAsia" w:ascii="MS Mincho" w:hAnsi="MS Mincho" w:eastAsia="MS Mincho" w:cs="MS Mincho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☐</w:t>
            </w: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3、一次性项目 </w:t>
            </w:r>
            <w:r>
              <w:rPr>
                <w:rFonts w:hint="eastAsia" w:ascii="MS Mincho" w:hAnsi="MS Mincho" w:eastAsia="MS Mincho" w:cs="MS Mincho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☐</w:t>
            </w:r>
            <w:r>
              <w:rPr>
                <w:rFonts w:hint="eastAsia"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753" w:hRule="atLeast"/>
        </w:trPr>
        <w:tc>
          <w:tcPr>
            <w:tcW w:w="10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预算执行情况</w:t>
            </w:r>
          </w:p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（20分）</w:t>
            </w: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预算数（A）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执行数（B）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执行率（B/A）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得分（20分*执行率）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337" w:hRule="atLeast"/>
        </w:trPr>
        <w:tc>
          <w:tcPr>
            <w:tcW w:w="10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 w:cs="等线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支出总额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25370.25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25370.25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等线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20分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101789427"/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年度绩效目标(80分)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一级指标</w:t>
            </w: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三级指标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年初目标值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(A)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实际完成值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(B)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27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产出指标（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40分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8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数量指标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八百工棚片区住户搬迁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（4分）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侯晓静、李荣全、张建华等7户完成搬迁协议的签订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按计划完成了片区7个住户的搬迁签约工作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八百工棚片区企业搬迁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（4分）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武汉发得利制刷有限公司完成搬迁协议签订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按计划完成了与发得利公司的搬迁补偿协议的签订。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将军路中学北片住房搬迁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（4分）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刘三民、徐峰等3户完成搬迁协议签订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按计划完成了所在片区3个住户搬迁补偿协议的签订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乳品厂片住户搬迁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（4分）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张振路、包大文等24户完成搬迁协议签订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按计划完成了所在片区24个住户搬迁补偿协议的签订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1186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团购商品房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（4分）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完成熊家墩片房屋搬迁项目团购商品房的确定，并支付相应费用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按搬迁补偿方案的要求以团购方式选定了产权置换房源，并支付了相应费用，保证了搬迁户能按期拿到安置房。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质量指标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搬迁补偿费核算准确率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（4分）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通过编制详细的补偿对象清册，严格核对户数和面积，按政府规定的补偿标准进行核算，确保了核算准确。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搬迁补偿费发放准确率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（4分）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认真核对单位（个人）名称、账户信息，确保资金及时、安全到账，金额无误，且要求经手人盖章或签名确认。确保发放准确无误。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时效指标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搬迁户签约后的及时腾退率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（3分）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部分住房、企业未能按补偿协议的约定时间腾退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搬迁补偿款及时支付率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（3分）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按搬迁补偿协议的约定及时支付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搬迁代理费、审计费等服务费的及时支付率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（3分）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存在延期支付的现象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成本指标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kern w:val="0"/>
                <w:sz w:val="20"/>
                <w:szCs w:val="20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kern w:val="0"/>
                <w:sz w:val="20"/>
                <w:szCs w:val="20"/>
                <w:lang w:val="zh-CN"/>
                <w14:textFill>
                  <w14:solidFill>
                    <w14:schemeClr w14:val="tx1"/>
                  </w14:solidFill>
                </w14:textFill>
              </w:rPr>
              <w:t>成本节约率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（3分）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left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严格按政府规定标准发放，不出现随意降低标准或超标准发放现象，不突破预算金额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严格按照补偿标准等规定的标准执行。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404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效益指标（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30分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经济效益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经济效益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项目实施对当地经济发展起到明显的推动作用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通过有计划的对企业和居户集中搬迁，极大优化了当地的土地资源利用结构，为招商引资提供了良好的基础，为集中连片开发提供了条件，有力促进了当地经济的发展和产业升级，也增加了当地的财税收入。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404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社会效益指标</w:t>
            </w:r>
          </w:p>
        </w:tc>
        <w:tc>
          <w:tcPr>
            <w:tcW w:w="6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社会效益（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10分）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left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项目实施能产生明显的社会效益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改善和优化了当地的产业结构，通过引进企业，为当地提供了更多的就业机会，为改善民生提高居民收入创造了条件。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可持续影响</w:t>
            </w:r>
          </w:p>
        </w:tc>
        <w:tc>
          <w:tcPr>
            <w:tcW w:w="6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可持续影响（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10分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left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项目后续运行及成效发挥的可持续影响情况。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项目实施对当地经济实力的提升、产业结构的调整升级将起到持续的推动作用，产生持续影响。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满意度指标（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10分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81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服务对象满意度指标</w:t>
            </w:r>
          </w:p>
        </w:tc>
        <w:tc>
          <w:tcPr>
            <w:tcW w:w="612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服务对象满意度（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10分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95%</w:t>
            </w:r>
          </w:p>
        </w:tc>
        <w:tc>
          <w:tcPr>
            <w:tcW w:w="130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95%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pct"/>
          <w:trHeight w:val="90" w:hRule="atLeast"/>
        </w:trPr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kern w:val="0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11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偏差大或目标</w:t>
            </w: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未完成原因分析</w:t>
            </w:r>
          </w:p>
        </w:tc>
        <w:tc>
          <w:tcPr>
            <w:tcW w:w="380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部分住房、企业未能按补偿协议的约定时间腾退，搬迁代理费、审计费等服务费存在延期支付的现象。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11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改进措施及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结果应用方案</w:t>
            </w:r>
          </w:p>
        </w:tc>
        <w:tc>
          <w:tcPr>
            <w:tcW w:w="380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搬迁补偿涉及的住房企业数量较多，在搬迁补偿协议签订后，应加强对搬迁户腾退进度的跟踪，保证按计划或协议约定的时间完成腾退工作，以便下一步工作的正常开展。另外对于第三方服务费的支付，应根据服务的进度、成果提交等情况，严格按合同或协议的约定支付相应款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11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分管领导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签批意见</w:t>
            </w:r>
          </w:p>
        </w:tc>
        <w:tc>
          <w:tcPr>
            <w:tcW w:w="380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ind w:left="4410" w:hanging="4410" w:hangingChars="2100"/>
              <w:jc w:val="left"/>
              <w:textAlignment w:val="bottom"/>
              <w:rPr>
                <w:rFonts w:ascii="仿宋_GB2312" w:hAnsi="宋体" w:eastAsia="仿宋_GB2312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签名: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年     月     日</w:t>
            </w:r>
          </w:p>
        </w:tc>
      </w:tr>
    </w:tbl>
    <w:p>
      <w:pPr>
        <w:rPr>
          <w:rFonts w:ascii="仿宋_GB2312" w:hAnsi="宋体" w:eastAsia="仿宋_GB2312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备注:</w:t>
      </w:r>
    </w:p>
    <w:p>
      <w:pPr>
        <w:ind w:firstLine="210" w:firstLineChars="100"/>
        <w:rPr>
          <w:rFonts w:ascii="仿宋_GB2312" w:hAnsi="宋体" w:eastAsia="仿宋_GB2312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 xml:space="preserve"> 1.预算执行情况口径:预算数为调整后财政资金总额(包括上年结余结转),执行数为资金</w:t>
      </w:r>
    </w:p>
    <w:p>
      <w:pPr>
        <w:rPr>
          <w:rFonts w:ascii="仿宋_GB2312" w:hAnsi="宋体" w:eastAsia="仿宋_GB2312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使用单位财政资金实际支出数。</w:t>
      </w:r>
    </w:p>
    <w:p>
      <w:pPr>
        <w:rPr>
          <w:rFonts w:ascii="仿宋_GB2312" w:hAnsi="宋体" w:eastAsia="仿宋_GB2312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rPr>
          <w:rFonts w:ascii="仿宋_GB2312" w:hAnsi="宋体" w:eastAsia="仿宋_GB2312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rPr>
          <w:rFonts w:ascii="仿宋_GB2312" w:hAnsi="宋体" w:eastAsia="仿宋_GB2312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合理确定分值。汇总时,以资金额度为权重,对分值进行加权平均计算。</w:t>
      </w:r>
    </w:p>
    <w:p>
      <w:pPr>
        <w:rPr>
          <w:rFonts w:ascii="仿宋_GB2312" w:hAnsi="宋体" w:eastAsia="仿宋_GB2312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 xml:space="preserve">   4.基于经济性和必要性等因素考虑,满意度指标暂可不作为必评指标。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lkMGZmMGE4ZDIyMmYxYWY0Yjk0NTJjMjM4ZGEifQ=="/>
  </w:docVars>
  <w:rsids>
    <w:rsidRoot w:val="00000000"/>
    <w:rsid w:val="446C0166"/>
    <w:rsid w:val="4F9C6966"/>
    <w:rsid w:val="5260100F"/>
    <w:rsid w:val="7CB4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spacing"/>
    <w:basedOn w:val="1"/>
    <w:qFormat/>
    <w:uiPriority w:val="0"/>
    <w:rPr>
      <w:rFonts w:hint="eastAsia" w:ascii="等线" w:hAnsi="等线" w:eastAsia="等线" w:cs="Times New Roman"/>
    </w:rPr>
  </w:style>
  <w:style w:type="paragraph" w:customStyle="1" w:styleId="7">
    <w:name w:val="正文2"/>
    <w:basedOn w:val="8"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sz w:val="24"/>
      <w:lang w:val="zh-CN" w:eastAsia="zh-CN" w:bidi="ar-SA"/>
    </w:rPr>
  </w:style>
  <w:style w:type="paragraph" w:customStyle="1" w:styleId="9">
    <w:name w:val="正文1"/>
    <w:basedOn w:val="8"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0">
    <w:name w:val="Body text|1"/>
    <w:basedOn w:val="1"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character" w:customStyle="1" w:styleId="11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1726</Words>
  <Characters>1834</Characters>
  <Lines>4</Lines>
  <Paragraphs>4</Paragraphs>
  <TotalTime>0</TotalTime>
  <ScaleCrop>false</ScaleCrop>
  <LinksUpToDate>false</LinksUpToDate>
  <CharactersWithSpaces>2023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2021-04-22T02:18:00Z</dcterms:created>
  <dc:creator>志</dc:creator>
  <cp:lastModifiedBy>lenovo</cp:lastModifiedBy>
  <cp:lastPrinted>2022-05-07T08:19:00Z</cp:lastPrinted>
  <dcterms:modified xsi:type="dcterms:W3CDTF">2022-05-10T01:39:58Z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E71A6CA8397E4D848BBD6A6E3CF8E163</vt:lpwstr>
  </property>
</Properties>
</file>