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等线" w:hAnsi="等线" w:eastAsia="等线" w:cs="等线"/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等线" w:hAnsi="等线" w:eastAsia="等线" w:cs="等线"/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t>附件1:</w:t>
      </w:r>
    </w:p>
    <w:p>
      <w:pPr>
        <w:jc w:val="center"/>
        <w:rPr>
          <w:rFonts w:ascii="等线" w:hAnsi="等线" w:eastAsia="等线" w:cs="等线"/>
          <w:b/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kern w:val="0"/>
          <w:sz w:val="36"/>
          <w:szCs w:val="36"/>
          <w:lang w:bidi="ar"/>
          <w14:textFill>
            <w14:solidFill>
              <w14:schemeClr w14:val="tx1"/>
            </w14:solidFill>
          </w14:textFill>
        </w:rPr>
        <w:t>202</w:t>
      </w:r>
      <w:r>
        <w:rPr>
          <w:rFonts w:ascii="宋体" w:hAnsi="宋体" w:eastAsia="宋体" w:cs="宋体"/>
          <w:b/>
          <w:color w:val="000000" w:themeColor="text1"/>
          <w:kern w:val="0"/>
          <w:sz w:val="36"/>
          <w:szCs w:val="36"/>
          <w:lang w:bidi="ar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b/>
          <w:color w:val="000000" w:themeColor="text1"/>
          <w:kern w:val="0"/>
          <w:sz w:val="36"/>
          <w:szCs w:val="36"/>
          <w:lang w:bidi="ar"/>
          <w14:textFill>
            <w14:solidFill>
              <w14:schemeClr w14:val="tx1"/>
            </w14:solidFill>
          </w14:textFill>
        </w:rPr>
        <w:t>年度工程项目自评表</w:t>
      </w:r>
    </w:p>
    <w:p>
      <w:pPr>
        <w:pStyle w:val="6"/>
        <w:widowControl/>
        <w:rPr>
          <w:rFonts w:hint="default"/>
          <w:color w:val="000000" w:themeColor="text1"/>
          <w:lang w:bidi="ar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单位名称: 武汉市东西湖区人民政府将军路街道办事处</w:t>
      </w:r>
      <w:r>
        <w:rPr>
          <w:color w:val="000000" w:themeColor="text1"/>
          <w:lang w:bidi="ar"/>
          <w14:textFill>
            <w14:solidFill>
              <w14:schemeClr w14:val="tx1"/>
            </w14:solidFill>
          </w14:textFill>
        </w:rPr>
        <w:t xml:space="preserve">       填报日期:</w:t>
      </w:r>
      <w:r>
        <w:rPr>
          <w:rFonts w:hint="default"/>
          <w:color w:val="000000" w:themeColor="text1"/>
          <w:lang w:bidi="ar"/>
          <w14:textFill>
            <w14:solidFill>
              <w14:schemeClr w14:val="tx1"/>
            </w14:solidFill>
          </w14:textFill>
        </w:rPr>
        <w:t>2022</w:t>
      </w:r>
      <w:r>
        <w:rPr>
          <w:color w:val="000000" w:themeColor="text1"/>
          <w:lang w:bidi="ar"/>
          <w14:textFill>
            <w14:solidFill>
              <w14:schemeClr w14:val="tx1"/>
            </w14:solidFill>
          </w14:textFill>
        </w:rPr>
        <w:t>年4月2</w:t>
      </w:r>
      <w:r>
        <w:rPr>
          <w:rFonts w:hint="default"/>
          <w:color w:val="000000" w:themeColor="text1"/>
          <w:lang w:bidi="ar"/>
          <w14:textFill>
            <w14:solidFill>
              <w14:schemeClr w14:val="tx1"/>
            </w14:solidFill>
          </w14:textFill>
        </w:rPr>
        <w:t>0</w:t>
      </w:r>
      <w:r>
        <w:rPr>
          <w:color w:val="000000" w:themeColor="text1"/>
          <w:lang w:bidi="ar"/>
          <w14:textFill>
            <w14:solidFill>
              <w14:schemeClr w14:val="tx1"/>
            </w14:solidFill>
          </w14:textFill>
        </w:rPr>
        <w:t>日</w:t>
      </w:r>
    </w:p>
    <w:tbl>
      <w:tblPr>
        <w:tblStyle w:val="4"/>
        <w:tblW w:w="5421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1041"/>
        <w:gridCol w:w="309"/>
        <w:gridCol w:w="752"/>
        <w:gridCol w:w="895"/>
        <w:gridCol w:w="366"/>
        <w:gridCol w:w="1416"/>
        <w:gridCol w:w="551"/>
        <w:gridCol w:w="2098"/>
        <w:gridCol w:w="96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" w:hRule="atLeast"/>
        </w:trPr>
        <w:tc>
          <w:tcPr>
            <w:tcW w:w="102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cs="等线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等线" w:hAnsiTheme="minorEastAsia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3977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cs="等线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工程项目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cs="等线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等线" w:hAnsiTheme="minorEastAsia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主管部门</w:t>
            </w:r>
          </w:p>
        </w:tc>
        <w:tc>
          <w:tcPr>
            <w:tcW w:w="105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cs="等线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武汉市东西湖区人民政府将军路街道办事处</w:t>
            </w:r>
          </w:p>
        </w:tc>
        <w:tc>
          <w:tcPr>
            <w:tcW w:w="126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cs="等线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等线" w:hAnsiTheme="minorEastAsia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项目实施单位</w:t>
            </w:r>
          </w:p>
        </w:tc>
        <w:tc>
          <w:tcPr>
            <w:tcW w:w="16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rPr>
                <w:rFonts w:ascii="仿宋_GB2312" w:eastAsia="仿宋_GB2312" w:hAnsiTheme="minorEastAsia"/>
                <w:color w:val="000000" w:themeColor="text1"/>
                <w:sz w:val="2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公共管理办（城建办）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cs="等线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等线" w:hAnsiTheme="minorEastAsia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项目类别</w:t>
            </w:r>
          </w:p>
        </w:tc>
        <w:tc>
          <w:tcPr>
            <w:tcW w:w="3977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cs="等线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等线" w:hAnsiTheme="minorEastAsia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1、部门预算项目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_GB2312" w:eastAsia="仿宋_GB2312" w:cs="等线" w:hAnsiTheme="minorEastAsia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2、 区直专项 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cs="等线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等线" w:hAnsiTheme="minorEastAsia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项目属性</w:t>
            </w:r>
          </w:p>
        </w:tc>
        <w:tc>
          <w:tcPr>
            <w:tcW w:w="3977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cs="等线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等线" w:hAnsiTheme="minorEastAsia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1、持续性项目 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仿宋_GB2312" w:eastAsia="仿宋_GB2312" w:cs="等线" w:hAnsiTheme="minorEastAsia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   2、新增性项目 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cs="等线" w:hAnsiTheme="minorEastAsia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等线" w:hAnsiTheme="minorEastAsia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项目类型</w:t>
            </w:r>
          </w:p>
        </w:tc>
        <w:tc>
          <w:tcPr>
            <w:tcW w:w="3977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cs="等线" w:hAnsiTheme="minorEastAsia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等线" w:hAnsiTheme="minorEastAsia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1、常年性项目 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仿宋_GB2312" w:eastAsia="仿宋_GB2312" w:cs="等线" w:hAnsiTheme="minorEastAsia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 2、延续性项目 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_GB2312" w:eastAsia="仿宋_GB2312" w:cs="等线" w:hAnsiTheme="minorEastAsia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3、一次性项目 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_GB2312" w:eastAsia="仿宋_GB2312" w:cs="等线" w:hAnsiTheme="minorEastAsia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1022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预算执行情况</w:t>
            </w:r>
          </w:p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（万元）</w:t>
            </w:r>
          </w:p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cs="等线" w:hAnsiTheme="minorEastAsia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（20分）</w:t>
            </w:r>
          </w:p>
        </w:tc>
        <w:tc>
          <w:tcPr>
            <w:tcW w:w="57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cs="等线" w:hAnsiTheme="minorEastAsia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预算数（A）</w:t>
            </w:r>
          </w:p>
        </w:tc>
        <w:tc>
          <w:tcPr>
            <w:tcW w:w="7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执行数（B）</w:t>
            </w:r>
          </w:p>
        </w:tc>
        <w:tc>
          <w:tcPr>
            <w:tcW w:w="143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执行率（B/A）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cs="宋体" w:hAnsiTheme="minorEastAsia"/>
                <w:color w:val="000000" w:themeColor="text1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得分（20分*执行率）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2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 w:cs="等线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项目</w:t>
            </w:r>
            <w:r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支出总额</w:t>
            </w:r>
          </w:p>
        </w:tc>
        <w:tc>
          <w:tcPr>
            <w:tcW w:w="68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1581.54</w:t>
            </w:r>
          </w:p>
        </w:tc>
        <w:tc>
          <w:tcPr>
            <w:tcW w:w="7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1581.54</w:t>
            </w:r>
          </w:p>
        </w:tc>
        <w:tc>
          <w:tcPr>
            <w:tcW w:w="143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 w:hAnsiTheme="minorEastAsia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100%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cs="等线" w:hAnsiTheme="minorEastAsia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 w:hAnsiTheme="minorEastAsia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20分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bookmarkStart w:id="0" w:name="_Hlk101789427"/>
            <w:r>
              <w:rPr>
                <w:rFonts w:hint="eastAsia" w:ascii="仿宋_GB2312" w:eastAsia="仿宋_GB2312" w:cs="宋体" w:hAnsiTheme="minorEastAsia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年度绩效目标(80分)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 w:hAnsiTheme="minorEastAsia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一级指标</w:t>
            </w:r>
          </w:p>
        </w:tc>
        <w:tc>
          <w:tcPr>
            <w:tcW w:w="57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 w:hAnsiTheme="minorEastAsia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二级指标</w:t>
            </w:r>
          </w:p>
        </w:tc>
        <w:tc>
          <w:tcPr>
            <w:tcW w:w="68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 w:hAnsiTheme="minorEastAsia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三级指标</w:t>
            </w:r>
          </w:p>
        </w:tc>
        <w:tc>
          <w:tcPr>
            <w:tcW w:w="7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 w:hAnsiTheme="minorEastAsia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年初目标值</w:t>
            </w:r>
            <w:r>
              <w:rPr>
                <w:rFonts w:hint="eastAsia" w:ascii="仿宋_GB2312" w:eastAsia="仿宋_GB2312" w:cs="宋体" w:hAnsiTheme="minorEastAsia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eastAsia="仿宋_GB2312" w:cs="宋体" w:hAnsiTheme="minorEastAsia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(A)</w:t>
            </w:r>
          </w:p>
        </w:tc>
        <w:tc>
          <w:tcPr>
            <w:tcW w:w="143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 w:hAnsiTheme="minorEastAsia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实际完成值</w:t>
            </w:r>
            <w:r>
              <w:rPr>
                <w:rFonts w:hint="eastAsia" w:ascii="仿宋_GB2312" w:eastAsia="仿宋_GB2312" w:cs="宋体" w:hAnsiTheme="minorEastAsia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eastAsia="仿宋_GB2312" w:cs="宋体" w:hAnsiTheme="minorEastAsia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(B)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 w:hAnsiTheme="minorEastAsia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3" w:type="pct"/>
            <w:vMerge w:val="restart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仿宋_GB2312" w:eastAsia="仿宋_GB2312" w:hAnsiTheme="minorEastAsia"/>
                <w:color w:val="000000" w:themeColor="text1"/>
                <w:sz w:val="20"/>
                <w:shd w:val="clear" w:color="auto" w:fill="80000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产出指标（</w:t>
            </w: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:lang w:val="en-US"/>
                <w14:textFill>
                  <w14:solidFill>
                    <w14:schemeClr w14:val="tx1"/>
                  </w14:solidFill>
                </w14:textFill>
              </w:rPr>
              <w:t>40分</w:t>
            </w: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574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仿宋_GB2312" w:eastAsia="仿宋_GB2312" w:hAnsiTheme="minorEastAsia"/>
                <w:color w:val="000000" w:themeColor="text1"/>
                <w:sz w:val="20"/>
                <w:shd w:val="clear" w:color="auto" w:fill="80000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数量指标</w:t>
            </w:r>
          </w:p>
        </w:tc>
        <w:tc>
          <w:tcPr>
            <w:tcW w:w="68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将军路街还建房（五期）专用供电设施</w:t>
            </w: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（5分）</w:t>
            </w:r>
          </w:p>
        </w:tc>
        <w:tc>
          <w:tcPr>
            <w:tcW w:w="7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hint="default" w:ascii="仿宋_GB2312" w:eastAsia="仿宋_GB2312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按合同约定如期开工建设，完成</w:t>
            </w:r>
            <w:r>
              <w:rPr>
                <w:rFonts w:hint="eastAsia" w:ascii="仿宋_GB2312" w:eastAsia="仿宋_GB2312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1348套还建房的建设。</w:t>
            </w:r>
          </w:p>
        </w:tc>
        <w:tc>
          <w:tcPr>
            <w:tcW w:w="143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已完成</w:t>
            </w:r>
            <w:r>
              <w:rPr>
                <w:rFonts w:hint="eastAsia" w:ascii="仿宋_GB2312" w:eastAsia="仿宋_GB2312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1348套还建房的建设。</w:t>
            </w:r>
            <w:r>
              <w:rPr>
                <w:rFonts w:hint="eastAsia"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工程量达到第一次付款进度要求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pct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花园中路道路工程</w:t>
            </w: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（5分）</w:t>
            </w:r>
          </w:p>
        </w:tc>
        <w:tc>
          <w:tcPr>
            <w:tcW w:w="7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hint="default" w:ascii="仿宋_GB2312" w:eastAsia="仿宋_GB2312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按合同约定如期开工建设，完成工程量</w:t>
            </w:r>
            <w:r>
              <w:rPr>
                <w:rFonts w:hint="eastAsia" w:ascii="仿宋_GB2312" w:eastAsia="仿宋_GB2312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221</w:t>
            </w:r>
            <w:r>
              <w:rPr>
                <w:rFonts w:hint="eastAsia" w:ascii="仿宋_GB2312" w:eastAsia="仿宋_GB2312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米</w:t>
            </w:r>
            <w:r>
              <w:rPr>
                <w:rFonts w:hint="eastAsia" w:ascii="仿宋_GB2312" w:eastAsia="仿宋_GB2312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143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已完成工程量</w:t>
            </w:r>
            <w:r>
              <w:rPr>
                <w:rFonts w:hint="eastAsia" w:ascii="仿宋_GB2312" w:eastAsia="仿宋_GB2312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221</w:t>
            </w:r>
            <w:r>
              <w:rPr>
                <w:rFonts w:hint="eastAsia" w:ascii="仿宋_GB2312" w:eastAsia="仿宋_GB2312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米，</w:t>
            </w:r>
            <w:r>
              <w:rPr>
                <w:rFonts w:hint="eastAsia"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达到施工合同约定的第三阶段付款进度要求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pct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中环东路道路工程</w:t>
            </w: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（5分）</w:t>
            </w:r>
          </w:p>
        </w:tc>
        <w:tc>
          <w:tcPr>
            <w:tcW w:w="7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hint="eastAsia" w:ascii="仿宋_GB2312" w:eastAsia="仿宋_GB2312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按合同约定如期开工建设，已完成工程量</w:t>
            </w:r>
            <w:r>
              <w:rPr>
                <w:rFonts w:hint="eastAsia" w:ascii="仿宋_GB2312" w:eastAsia="仿宋_GB2312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310米。</w:t>
            </w:r>
          </w:p>
        </w:tc>
        <w:tc>
          <w:tcPr>
            <w:tcW w:w="143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已完成工程量工程量</w:t>
            </w:r>
            <w:r>
              <w:rPr>
                <w:rFonts w:hint="eastAsia" w:ascii="仿宋_GB2312" w:eastAsia="仿宋_GB2312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310米，</w:t>
            </w:r>
            <w:r>
              <w:rPr>
                <w:rFonts w:hint="eastAsia"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达到施工合同约定的第二阶段付款进度要求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pct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将军路街还建楼五期视频监控及道路管理系统工程</w:t>
            </w: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（5分）</w:t>
            </w:r>
          </w:p>
        </w:tc>
        <w:tc>
          <w:tcPr>
            <w:tcW w:w="7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按合同约定如期开工建设，已完成工程量达标</w:t>
            </w:r>
          </w:p>
        </w:tc>
        <w:tc>
          <w:tcPr>
            <w:tcW w:w="143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已完成工程量达到施工合同约定的第一阶段付款进度要求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仿宋_GB2312" w:eastAsia="仿宋_GB2312" w:hAnsiTheme="minorEastAsia"/>
                <w:color w:val="000000" w:themeColor="text1"/>
                <w:sz w:val="20"/>
                <w:shd w:val="clear" w:color="auto" w:fill="80000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仿宋_GB2312" w:eastAsia="仿宋_GB2312" w:hAnsiTheme="minorEastAsia"/>
                <w:color w:val="000000" w:themeColor="text1"/>
                <w:sz w:val="20"/>
                <w:shd w:val="clear" w:color="auto" w:fill="80000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质量指标</w:t>
            </w:r>
          </w:p>
        </w:tc>
        <w:tc>
          <w:tcPr>
            <w:tcW w:w="68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施工进度完成率</w:t>
            </w: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（5分）</w:t>
            </w:r>
          </w:p>
        </w:tc>
        <w:tc>
          <w:tcPr>
            <w:tcW w:w="7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达到或超过合同约定的施工进度</w:t>
            </w:r>
          </w:p>
        </w:tc>
        <w:tc>
          <w:tcPr>
            <w:tcW w:w="143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严格按施工合同及施工方申报的结算报告核对施工进度，受疫情等因素影响，部分项目的施工进度有所滞后，未达到合同约定的施工进度要求。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2.5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仿宋_GB2312" w:eastAsia="仿宋_GB2312" w:hAnsiTheme="minorEastAsia"/>
                <w:color w:val="000000" w:themeColor="text1"/>
                <w:sz w:val="20"/>
                <w:shd w:val="clear" w:color="auto" w:fill="80000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pct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分阶段工程验收合格率</w:t>
            </w: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（5分）</w:t>
            </w:r>
          </w:p>
        </w:tc>
        <w:tc>
          <w:tcPr>
            <w:tcW w:w="7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仿宋_GB2312" w:eastAsia="仿宋_GB2312" w:hAnsiTheme="minorEastAsia"/>
                <w:color w:val="000000" w:themeColor="text1"/>
                <w:sz w:val="2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:lang w:val="en-US"/>
                <w14:textFill>
                  <w14:solidFill>
                    <w14:schemeClr w14:val="tx1"/>
                  </w14:solidFill>
                </w14:textFill>
              </w:rPr>
              <w:t>100%</w:t>
            </w:r>
          </w:p>
        </w:tc>
        <w:tc>
          <w:tcPr>
            <w:tcW w:w="143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在支付每一阶段工程款时，均会组织相关方对前期已完成工程的质量进行分阶段验收，根据资料反映，分阶段验收合格率为100%，达到合同约定的质量要求。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仿宋_GB2312" w:eastAsia="仿宋_GB2312" w:hAnsiTheme="minorEastAsia"/>
                <w:color w:val="000000" w:themeColor="text1"/>
                <w:sz w:val="20"/>
                <w:shd w:val="clear" w:color="auto" w:fill="80000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pct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仿宋_GB2312" w:eastAsia="仿宋_GB2312" w:hAnsiTheme="minorEastAsia"/>
                <w:color w:val="000000" w:themeColor="text1"/>
                <w:sz w:val="20"/>
                <w:shd w:val="clear" w:color="auto" w:fill="80000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时效指标</w:t>
            </w:r>
          </w:p>
        </w:tc>
        <w:tc>
          <w:tcPr>
            <w:tcW w:w="68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工程费用结算及时率</w:t>
            </w: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（5分）</w:t>
            </w:r>
          </w:p>
        </w:tc>
        <w:tc>
          <w:tcPr>
            <w:tcW w:w="7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仿宋_GB2312" w:eastAsia="仿宋_GB2312" w:hAnsiTheme="minorEastAsia"/>
                <w:color w:val="000000" w:themeColor="text1"/>
                <w:sz w:val="2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:lang w:val="en-US"/>
                <w14:textFill>
                  <w14:solidFill>
                    <w14:schemeClr w14:val="tx1"/>
                  </w14:solidFill>
                </w14:textFill>
              </w:rPr>
              <w:t>100%</w:t>
            </w:r>
          </w:p>
        </w:tc>
        <w:tc>
          <w:tcPr>
            <w:tcW w:w="143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在达到结算条件的情况下，一般能及时支付，但存在部分款项延后支付现象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2.5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3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仿宋_GB2312" w:eastAsia="仿宋_GB2312" w:hAnsiTheme="minorEastAsia"/>
                <w:color w:val="000000" w:themeColor="text1"/>
                <w:sz w:val="20"/>
                <w:shd w:val="clear" w:color="auto" w:fill="80000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仿宋_GB2312" w:eastAsia="仿宋_GB2312" w:hAnsiTheme="minorEastAsia"/>
                <w:color w:val="000000" w:themeColor="text1"/>
                <w:sz w:val="20"/>
                <w:shd w:val="clear" w:color="auto" w:fill="80000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成本指标</w:t>
            </w:r>
          </w:p>
        </w:tc>
        <w:tc>
          <w:tcPr>
            <w:tcW w:w="68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成本节约率</w:t>
            </w: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（5分）</w:t>
            </w:r>
          </w:p>
        </w:tc>
        <w:tc>
          <w:tcPr>
            <w:tcW w:w="7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不突破合同约定的进度款支付比例</w:t>
            </w:r>
          </w:p>
        </w:tc>
        <w:tc>
          <w:tcPr>
            <w:tcW w:w="143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严格按施工合同约定的进度款支付比例进行支付，且保证最后的结算金额不突破预算。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3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仿宋_GB2312" w:eastAsia="仿宋_GB2312" w:hAnsiTheme="minorEastAsia"/>
                <w:color w:val="000000" w:themeColor="text1"/>
                <w:sz w:val="20"/>
                <w:shd w:val="clear" w:color="auto" w:fill="80000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效益指标（</w:t>
            </w: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:lang w:val="en-US"/>
                <w14:textFill>
                  <w14:solidFill>
                    <w14:schemeClr w14:val="tx1"/>
                  </w14:solidFill>
                </w14:textFill>
              </w:rPr>
              <w:t>30分</w:t>
            </w: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57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经济效益</w:t>
            </w:r>
          </w:p>
        </w:tc>
        <w:tc>
          <w:tcPr>
            <w:tcW w:w="68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经济效益</w:t>
            </w: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（10分）</w:t>
            </w:r>
          </w:p>
        </w:tc>
        <w:tc>
          <w:tcPr>
            <w:tcW w:w="7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项目实施对当地经济发展起到明显的推动作用</w:t>
            </w:r>
          </w:p>
        </w:tc>
        <w:tc>
          <w:tcPr>
            <w:tcW w:w="143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adjustRightInd w:val="0"/>
              <w:snapToGrid w:val="0"/>
              <w:rPr>
                <w:rFonts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通过加大基础设施建设投资，改善了当地的基础调入配套条件，有力促进了当地经济的发展和招商引资吸引力，对当地社会经济的发展具有较好的促进作用。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5" w:hRule="atLeast"/>
        </w:trPr>
        <w:tc>
          <w:tcPr>
            <w:tcW w:w="45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3" w:type="pct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社会效益指标</w:t>
            </w:r>
          </w:p>
        </w:tc>
        <w:tc>
          <w:tcPr>
            <w:tcW w:w="68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社会效益（</w:t>
            </w: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:lang w:val="en-US"/>
                <w14:textFill>
                  <w14:solidFill>
                    <w14:schemeClr w14:val="tx1"/>
                  </w14:solidFill>
                </w14:textFill>
              </w:rPr>
              <w:t>10分）</w:t>
            </w:r>
          </w:p>
        </w:tc>
        <w:tc>
          <w:tcPr>
            <w:tcW w:w="7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left"/>
              <w:rPr>
                <w:rFonts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项目实施能产生明显的社会效益</w:t>
            </w:r>
          </w:p>
        </w:tc>
        <w:tc>
          <w:tcPr>
            <w:tcW w:w="143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adjustRightInd w:val="0"/>
              <w:snapToGrid w:val="0"/>
              <w:rPr>
                <w:rFonts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改善了搬迁居民的生活条件，进一步提高了民用用电保障和用电安全，改善了民居的出行条件，通过建设监控视频系统和道路管理系统，为居民提供了安全的生活环境。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3" w:type="pct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仿宋_GB2312" w:eastAsia="仿宋_GB2312" w:hAnsiTheme="minorEastAsia"/>
                <w:color w:val="000000" w:themeColor="text1"/>
                <w:sz w:val="20"/>
                <w:shd w:val="clear" w:color="auto" w:fill="80000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pct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可持续影响</w:t>
            </w:r>
          </w:p>
        </w:tc>
        <w:tc>
          <w:tcPr>
            <w:tcW w:w="68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可持续影响（</w:t>
            </w: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:lang w:val="en-US"/>
                <w14:textFill>
                  <w14:solidFill>
                    <w14:schemeClr w14:val="tx1"/>
                  </w14:solidFill>
                </w14:textFill>
              </w:rPr>
              <w:t>10分</w:t>
            </w: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766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left"/>
              <w:rPr>
                <w:rFonts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项目后续运行及成效发挥的可持续影响情况。</w:t>
            </w:r>
          </w:p>
        </w:tc>
        <w:tc>
          <w:tcPr>
            <w:tcW w:w="143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adjustRightInd w:val="0"/>
              <w:snapToGrid w:val="0"/>
              <w:rPr>
                <w:rFonts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项目实施对当地经济实力的提升、生活环境等的提升将起到持续的推动作用，产生持续影响。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3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仿宋_GB2312" w:eastAsia="仿宋_GB2312" w:hAnsiTheme="minorEastAsia"/>
                <w:color w:val="000000" w:themeColor="text1"/>
                <w:sz w:val="20"/>
                <w:shd w:val="clear" w:color="auto" w:fill="80000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满意度指标（</w:t>
            </w: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:lang w:val="en-US"/>
                <w14:textFill>
                  <w14:solidFill>
                    <w14:schemeClr w14:val="tx1"/>
                  </w14:solidFill>
                </w14:textFill>
              </w:rPr>
              <w:t>10分</w:t>
            </w: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574" w:type="pct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仿宋_GB2312" w:eastAsia="仿宋_GB2312" w:hAnsiTheme="minorEastAsia"/>
                <w:color w:val="000000" w:themeColor="text1"/>
                <w:sz w:val="20"/>
                <w:shd w:val="clear" w:color="auto" w:fill="80000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服务对象满意度指标</w:t>
            </w:r>
          </w:p>
        </w:tc>
        <w:tc>
          <w:tcPr>
            <w:tcW w:w="682" w:type="pct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仿宋_GB2312" w:eastAsia="仿宋_GB2312" w:hAnsiTheme="minorEastAsia"/>
                <w:color w:val="000000" w:themeColor="text1"/>
                <w:sz w:val="20"/>
                <w:shd w:val="clear" w:color="auto" w:fill="80000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服务对象满意度（</w:t>
            </w: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:lang w:val="en-US"/>
                <w14:textFill>
                  <w14:solidFill>
                    <w14:schemeClr w14:val="tx1"/>
                  </w14:solidFill>
                </w14:textFill>
              </w:rPr>
              <w:t>10分</w:t>
            </w: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7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仿宋_GB2312" w:eastAsia="仿宋_GB2312" w:hAnsiTheme="minorEastAsia"/>
                <w:color w:val="000000" w:themeColor="text1"/>
                <w:sz w:val="20"/>
                <w:shd w:val="clear" w:color="auto" w:fill="80000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95%</w:t>
            </w:r>
          </w:p>
        </w:tc>
        <w:tc>
          <w:tcPr>
            <w:tcW w:w="143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95%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</w:tr>
      <w:bookmarkEnd w:id="0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 w:hAnsiTheme="minorEastAsia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总分</w:t>
            </w:r>
          </w:p>
        </w:tc>
        <w:tc>
          <w:tcPr>
            <w:tcW w:w="5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仿宋_GB2312" w:eastAsia="仿宋_GB2312" w:hAnsiTheme="minorEastAsia"/>
                <w:color w:val="000000" w:themeColor="text1"/>
                <w:sz w:val="20"/>
                <w:shd w:val="clear" w:color="auto" w:fill="80000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118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偏差大或目标</w:t>
            </w:r>
          </w:p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未完成原因分析</w:t>
            </w:r>
          </w:p>
        </w:tc>
        <w:tc>
          <w:tcPr>
            <w:tcW w:w="3810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疫情等因素影响，部分项目施工进度未达到合同约定的施工进度要求。另一方面在工程进度款的结算上，部分项目存在延迟支付现象。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18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改进措施及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结果应用方案</w:t>
            </w:r>
          </w:p>
        </w:tc>
        <w:tc>
          <w:tcPr>
            <w:tcW w:w="3810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产出质量、产出时效控制上有待进一步提升。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8" w:hRule="atLeast"/>
        </w:trPr>
        <w:tc>
          <w:tcPr>
            <w:tcW w:w="118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单位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主要负责人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签批意见</w:t>
            </w:r>
          </w:p>
        </w:tc>
        <w:tc>
          <w:tcPr>
            <w:tcW w:w="3810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widowControl/>
              <w:ind w:left="4410" w:hanging="4410" w:hangingChars="2100"/>
              <w:jc w:val="left"/>
              <w:textAlignment w:val="bottom"/>
              <w:rPr>
                <w:rFonts w:ascii="仿宋_GB2312" w:hAnsi="宋体" w:eastAsia="仿宋_GB2312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                         </w:t>
            </w:r>
            <w:bookmarkStart w:id="1" w:name="_GoBack"/>
            <w:bookmarkEnd w:id="1"/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签名:  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                         年     月     日</w:t>
            </w:r>
          </w:p>
        </w:tc>
      </w:tr>
    </w:tbl>
    <w:p>
      <w:pPr>
        <w:rPr>
          <w:rFonts w:ascii="宋体" w:hAnsi="宋体" w:eastAsia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备注:</w:t>
      </w:r>
    </w:p>
    <w:p>
      <w:pPr>
        <w:ind w:firstLine="210" w:firstLineChars="100"/>
        <w:rPr>
          <w:rFonts w:ascii="宋体" w:hAnsi="宋体" w:eastAsia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 xml:space="preserve"> 1.预算执行情况口径:预算数为调整后财政资金总额(包括上年结余结转),执行数为资金</w:t>
      </w:r>
    </w:p>
    <w:p>
      <w:pPr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使用单位财政资金实际支出数。</w:t>
      </w:r>
    </w:p>
    <w:p>
      <w:pPr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 xml:space="preserve">   2.定量指标完成数汇总原则: 绝对值直接累加计算,相对值按照资金额度加权平均计算。定量指标计分原则:正向指标(即目标值为≥x,得分=权重*B/A),反向指标(即目标值为≤X,得分=权重*A/B),得分不得突破权重总额。定量指标先汇总完成数,再计算得分。</w:t>
      </w:r>
    </w:p>
    <w:p>
      <w:pPr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 xml:space="preserve">   3.定性指标计分原则:达成预期指标、部分达成预期指标并具有一定效果、未达成预期指标且效果较差三档,分别按照该指标对应分值区间100-80% (合80%)、80-50% (含50%)、50-0%</w:t>
      </w:r>
    </w:p>
    <w:p>
      <w:pPr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合理确定分值。汇总时,以资金额度为权重,对分值进行加权平均计算。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 xml:space="preserve">   4.基于经济性和必要性等因素考虑,满意度指标暂可不作为必评指标。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I4YTlkMGZmMGE4ZDIyMmYxYWY0Yjk0NTJjMjM4ZGEifQ=="/>
  </w:docVars>
  <w:rsids>
    <w:rsidRoot w:val="00000000"/>
    <w:rsid w:val="427F2B3F"/>
    <w:rsid w:val="428C66E7"/>
    <w:rsid w:val="46EC504C"/>
    <w:rsid w:val="49375994"/>
    <w:rsid w:val="5A9E1C4F"/>
    <w:rsid w:val="640A3854"/>
    <w:rsid w:val="7ED63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msonospacing"/>
    <w:basedOn w:val="1"/>
    <w:qFormat/>
    <w:uiPriority w:val="0"/>
    <w:rPr>
      <w:rFonts w:hint="eastAsia" w:ascii="等线" w:hAnsi="等线" w:eastAsia="等线" w:cs="Times New Roman"/>
    </w:rPr>
  </w:style>
  <w:style w:type="paragraph" w:customStyle="1" w:styleId="7">
    <w:name w:val="正文2"/>
    <w:basedOn w:val="8"/>
    <w:qFormat/>
    <w:uiPriority w:val="3"/>
    <w:pPr>
      <w:jc w:val="both"/>
    </w:pPr>
    <w:rPr>
      <w:rFonts w:ascii="Times New Roman" w:hAnsi="Times New Roman" w:eastAsia="Times New Roman"/>
      <w:sz w:val="21"/>
    </w:rPr>
  </w:style>
  <w:style w:type="paragraph" w:customStyle="1" w:styleId="8">
    <w:name w:val="[Normal]"/>
    <w:qFormat/>
    <w:uiPriority w:val="6"/>
    <w:rPr>
      <w:rFonts w:ascii="宋体" w:hAnsi="宋体" w:eastAsia="宋体" w:cstheme="minorBidi"/>
      <w:sz w:val="24"/>
      <w:lang w:val="zh-CN" w:eastAsia="zh-CN" w:bidi="ar-SA"/>
    </w:rPr>
  </w:style>
  <w:style w:type="paragraph" w:customStyle="1" w:styleId="9">
    <w:name w:val="正文1"/>
    <w:basedOn w:val="8"/>
    <w:qFormat/>
    <w:uiPriority w:val="3"/>
    <w:pPr>
      <w:jc w:val="both"/>
    </w:pPr>
    <w:rPr>
      <w:rFonts w:ascii="Times New Roman" w:hAnsi="Times New Roman" w:eastAsia="Times New Roman"/>
      <w:sz w:val="21"/>
    </w:rPr>
  </w:style>
  <w:style w:type="paragraph" w:customStyle="1" w:styleId="10">
    <w:name w:val="Body text|1"/>
    <w:basedOn w:val="1"/>
    <w:qFormat/>
    <w:uiPriority w:val="0"/>
    <w:pPr>
      <w:spacing w:line="437" w:lineRule="auto"/>
      <w:ind w:firstLine="400"/>
    </w:pPr>
    <w:rPr>
      <w:rFonts w:ascii="宋体" w:hAnsi="宋体" w:eastAsia="宋体" w:cs="宋体"/>
      <w:sz w:val="22"/>
      <w:szCs w:val="22"/>
      <w:lang w:val="zh-TW" w:eastAsia="zh-TW" w:bidi="zh-TW"/>
    </w:rPr>
  </w:style>
  <w:style w:type="character" w:customStyle="1" w:styleId="11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1576</Words>
  <Characters>1692</Characters>
  <Lines>3</Lines>
  <Paragraphs>4</Paragraphs>
  <TotalTime>6</TotalTime>
  <ScaleCrop>false</ScaleCrop>
  <LinksUpToDate>false</LinksUpToDate>
  <CharactersWithSpaces>1881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2021-04-22T02:18:00Z</dcterms:created>
  <dc:creator>志</dc:creator>
  <cp:lastModifiedBy>lenovo</cp:lastModifiedBy>
  <cp:lastPrinted>2022-05-10T08:44:00Z</cp:lastPrinted>
  <dcterms:modified xsi:type="dcterms:W3CDTF">2022-05-11T06:40:10Z</dcterms:modified>
  <cp:revision>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EA963F5A4691439687EDEF67F9CB13F0</vt:lpwstr>
  </property>
</Properties>
</file>