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widowControl w:val="0"/>
        <w:shd w:val="clear" w:color="auto" w:fill="auto"/>
        <w:bidi w:val="0"/>
        <w:spacing w:before="0" w:after="200" w:line="511" w:lineRule="exact"/>
        <w:ind w:left="0" w:right="0" w:firstLine="0"/>
        <w:jc w:val="left"/>
        <w:rPr>
          <w:highlight w:val="none"/>
        </w:rPr>
      </w:pPr>
    </w:p>
    <w:p>
      <w:pPr>
        <w:pStyle w:val="11"/>
        <w:keepNext/>
        <w:keepLines/>
        <w:pageBreakBefore w:val="0"/>
        <w:widowControl w:val="0"/>
        <w:shd w:val="clear" w:color="auto" w:fill="auto"/>
        <w:kinsoku/>
        <w:wordWrap/>
        <w:overflowPunct/>
        <w:topLinePunct w:val="0"/>
        <w:autoSpaceDE/>
        <w:autoSpaceDN/>
        <w:bidi w:val="0"/>
        <w:adjustRightInd/>
        <w:snapToGrid/>
        <w:spacing w:before="0" w:after="280" w:line="560" w:lineRule="exact"/>
        <w:ind w:right="0"/>
        <w:jc w:val="center"/>
        <w:textAlignment w:val="auto"/>
        <w:rPr>
          <w:rFonts w:hint="eastAsia" w:ascii="Times New Roman" w:hAnsi="Times New Roman" w:eastAsia="方正小标宋简体" w:cs="Times New Roman"/>
          <w:b/>
          <w:bCs/>
          <w:color w:val="000000"/>
          <w:spacing w:val="0"/>
          <w:w w:val="100"/>
          <w:position w:val="0"/>
          <w:sz w:val="36"/>
          <w:szCs w:val="36"/>
          <w:highlight w:val="none"/>
          <w:lang w:val="en-US" w:eastAsia="zh-CN"/>
        </w:rPr>
      </w:pPr>
      <w:r>
        <w:rPr>
          <w:rFonts w:hint="eastAsia" w:ascii="Times New Roman" w:hAnsi="Times New Roman" w:eastAsia="方正小标宋简体" w:cs="Times New Roman"/>
          <w:b/>
          <w:bCs/>
          <w:color w:val="000000"/>
          <w:spacing w:val="0"/>
          <w:w w:val="100"/>
          <w:position w:val="0"/>
          <w:sz w:val="36"/>
          <w:szCs w:val="36"/>
          <w:highlight w:val="none"/>
          <w:lang w:val="en-US" w:eastAsia="zh-CN"/>
        </w:rPr>
        <w:t>东西湖区人民政府将军路街道办事处</w:t>
      </w:r>
    </w:p>
    <w:p>
      <w:pPr>
        <w:pStyle w:val="11"/>
        <w:keepNext/>
        <w:keepLines/>
        <w:pageBreakBefore w:val="0"/>
        <w:widowControl w:val="0"/>
        <w:shd w:val="clear" w:color="auto" w:fill="auto"/>
        <w:kinsoku/>
        <w:wordWrap/>
        <w:overflowPunct/>
        <w:topLinePunct w:val="0"/>
        <w:autoSpaceDE/>
        <w:autoSpaceDN/>
        <w:bidi w:val="0"/>
        <w:adjustRightInd/>
        <w:snapToGrid/>
        <w:spacing w:before="0" w:after="280" w:line="560" w:lineRule="exact"/>
        <w:ind w:right="0"/>
        <w:jc w:val="center"/>
        <w:textAlignment w:val="auto"/>
        <w:rPr>
          <w:rFonts w:hint="eastAsia" w:ascii="Times New Roman" w:hAnsi="Times New Roman" w:eastAsia="方正小标宋简体" w:cs="Times New Roman"/>
          <w:b/>
          <w:bCs/>
          <w:color w:val="000000"/>
          <w:spacing w:val="0"/>
          <w:w w:val="100"/>
          <w:position w:val="0"/>
          <w:sz w:val="36"/>
          <w:szCs w:val="36"/>
          <w:highlight w:val="none"/>
          <w:lang w:val="en-US" w:eastAsia="zh-CN"/>
        </w:rPr>
      </w:pPr>
      <w:r>
        <w:rPr>
          <w:rFonts w:hint="eastAsia" w:ascii="Times New Roman" w:hAnsi="Times New Roman" w:eastAsia="方正小标宋简体" w:cs="Times New Roman"/>
          <w:b/>
          <w:bCs/>
          <w:color w:val="000000"/>
          <w:spacing w:val="0"/>
          <w:w w:val="100"/>
          <w:position w:val="0"/>
          <w:sz w:val="36"/>
          <w:szCs w:val="36"/>
          <w:highlight w:val="none"/>
          <w:lang w:val="en-US" w:eastAsia="zh-CN"/>
        </w:rPr>
        <w:t>2020</w:t>
      </w:r>
      <w:r>
        <w:rPr>
          <w:rFonts w:hint="default" w:ascii="Times New Roman" w:hAnsi="Times New Roman" w:eastAsia="方正小标宋简体" w:cs="Times New Roman"/>
          <w:b/>
          <w:bCs/>
          <w:color w:val="000000"/>
          <w:spacing w:val="0"/>
          <w:w w:val="100"/>
          <w:position w:val="0"/>
          <w:sz w:val="36"/>
          <w:szCs w:val="36"/>
          <w:highlight w:val="none"/>
          <w:lang w:val="en-US" w:eastAsia="zh-CN"/>
        </w:rPr>
        <w:t>年度</w:t>
      </w:r>
      <w:r>
        <w:rPr>
          <w:rFonts w:hint="eastAsia" w:ascii="Times New Roman" w:hAnsi="Times New Roman" w:eastAsia="方正小标宋简体" w:cs="Times New Roman"/>
          <w:b/>
          <w:bCs/>
          <w:color w:val="000000"/>
          <w:spacing w:val="0"/>
          <w:w w:val="100"/>
          <w:position w:val="0"/>
          <w:sz w:val="36"/>
          <w:szCs w:val="36"/>
          <w:highlight w:val="none"/>
          <w:lang w:val="en-US" w:eastAsia="zh-CN"/>
        </w:rPr>
        <w:t>将军路街</w:t>
      </w:r>
      <w:r>
        <w:rPr>
          <w:rFonts w:hint="default" w:ascii="Times New Roman" w:hAnsi="Times New Roman" w:eastAsia="方正小标宋简体" w:cs="Times New Roman"/>
          <w:b/>
          <w:bCs/>
          <w:color w:val="000000"/>
          <w:spacing w:val="0"/>
          <w:w w:val="100"/>
          <w:position w:val="0"/>
          <w:sz w:val="36"/>
          <w:szCs w:val="36"/>
          <w:highlight w:val="none"/>
          <w:lang w:val="en-US" w:eastAsia="zh-CN"/>
        </w:rPr>
        <w:t>整体绩效自评结果</w:t>
      </w:r>
    </w:p>
    <w:p>
      <w:pPr>
        <w:pStyle w:val="13"/>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exact"/>
        <w:ind w:right="0" w:firstLine="3724" w:firstLineChars="1164"/>
        <w:jc w:val="both"/>
        <w:textAlignment w:val="auto"/>
        <w:rPr>
          <w:rFonts w:hint="eastAsia" w:ascii="Times New Roman" w:hAnsi="Times New Roman" w:eastAsia="楷体" w:cs="Times New Roman"/>
          <w:color w:val="000000"/>
          <w:spacing w:val="0"/>
          <w:w w:val="100"/>
          <w:position w:val="0"/>
          <w:sz w:val="32"/>
          <w:szCs w:val="32"/>
          <w:lang w:eastAsia="zh-CN"/>
        </w:rPr>
      </w:pPr>
      <w:bookmarkStart w:id="0" w:name="bookmark41"/>
      <w:r>
        <w:rPr>
          <w:rFonts w:hint="eastAsia" w:ascii="Times New Roman" w:hAnsi="Times New Roman" w:eastAsia="楷体" w:cs="Times New Roman"/>
          <w:color w:val="000000"/>
          <w:spacing w:val="0"/>
          <w:w w:val="100"/>
          <w:position w:val="0"/>
          <w:sz w:val="32"/>
          <w:szCs w:val="32"/>
          <w:lang w:eastAsia="zh-CN"/>
        </w:rPr>
        <w:t>（</w:t>
      </w:r>
      <w:r>
        <w:rPr>
          <w:rFonts w:hint="eastAsia" w:ascii="Times New Roman" w:hAnsi="Times New Roman" w:eastAsia="楷体" w:cs="Times New Roman"/>
          <w:color w:val="000000"/>
          <w:spacing w:val="0"/>
          <w:w w:val="100"/>
          <w:position w:val="0"/>
          <w:sz w:val="32"/>
          <w:szCs w:val="32"/>
          <w:lang w:val="en-US" w:eastAsia="zh-CN"/>
        </w:rPr>
        <w:t>摘要版</w:t>
      </w:r>
      <w:r>
        <w:rPr>
          <w:rFonts w:hint="eastAsia" w:ascii="Times New Roman" w:hAnsi="Times New Roman" w:eastAsia="楷体" w:cs="Times New Roman"/>
          <w:color w:val="000000"/>
          <w:spacing w:val="0"/>
          <w:w w:val="100"/>
          <w:position w:val="0"/>
          <w:sz w:val="32"/>
          <w:szCs w:val="32"/>
          <w:lang w:eastAsia="zh-CN"/>
        </w:rPr>
        <w:t>）</w:t>
      </w:r>
    </w:p>
    <w:p>
      <w:pPr>
        <w:pStyle w:val="13"/>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00" w:lineRule="exact"/>
        <w:ind w:right="0" w:firstLine="3806" w:firstLineChars="1464"/>
        <w:jc w:val="both"/>
        <w:rPr>
          <w:rFonts w:hint="eastAsia"/>
          <w:color w:val="000000"/>
          <w:spacing w:val="0"/>
          <w:w w:val="100"/>
          <w:position w:val="0"/>
          <w:sz w:val="26"/>
          <w:szCs w:val="26"/>
          <w:lang w:eastAsia="zh-CN"/>
        </w:rPr>
      </w:pPr>
    </w:p>
    <w:bookmarkEnd w:id="0"/>
    <w:p>
      <w:pPr>
        <w:pStyle w:val="13"/>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exact"/>
        <w:ind w:left="0" w:leftChars="0" w:right="0" w:firstLine="643" w:firstLineChars="200"/>
        <w:jc w:val="both"/>
        <w:rPr>
          <w:rFonts w:hint="eastAsia" w:ascii="Times New Roman" w:hAnsi="Times New Roman" w:eastAsia="黑体" w:cs="Times New Roman"/>
          <w:b/>
          <w:bCs/>
          <w:color w:val="000000"/>
          <w:spacing w:val="0"/>
          <w:w w:val="100"/>
          <w:position w:val="0"/>
          <w:sz w:val="32"/>
          <w:szCs w:val="32"/>
          <w:lang w:val="en-US" w:eastAsia="zh-CN"/>
        </w:rPr>
      </w:pPr>
      <w:r>
        <w:rPr>
          <w:rFonts w:hint="eastAsia" w:ascii="Times New Roman" w:hAnsi="Times New Roman" w:eastAsia="黑体" w:cs="Times New Roman"/>
          <w:b/>
          <w:bCs/>
          <w:color w:val="000000"/>
          <w:spacing w:val="0"/>
          <w:w w:val="100"/>
          <w:position w:val="0"/>
          <w:sz w:val="32"/>
          <w:szCs w:val="32"/>
          <w:lang w:val="en-US" w:eastAsia="zh-CN"/>
        </w:rPr>
        <w:t>1自评结论</w:t>
      </w:r>
    </w:p>
    <w:p>
      <w:pPr>
        <w:pStyle w:val="13"/>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rPr>
          <w:rFonts w:hint="eastAsia" w:ascii="Times New Roman" w:hAnsi="Times New Roman" w:eastAsia="楷体" w:cs="Times New Roman"/>
          <w:color w:val="000000"/>
          <w:spacing w:val="0"/>
          <w:w w:val="100"/>
          <w:position w:val="0"/>
          <w:sz w:val="32"/>
          <w:szCs w:val="32"/>
          <w:lang w:val="en-US" w:eastAsia="zh-CN"/>
        </w:rPr>
      </w:pPr>
      <w:r>
        <w:rPr>
          <w:rFonts w:hint="eastAsia" w:ascii="Times New Roman" w:hAnsi="Times New Roman" w:eastAsia="楷体" w:cs="Times New Roman"/>
          <w:color w:val="000000"/>
          <w:spacing w:val="0"/>
          <w:w w:val="100"/>
          <w:position w:val="0"/>
          <w:sz w:val="32"/>
          <w:szCs w:val="32"/>
          <w:lang w:val="en-US" w:eastAsia="zh-CN"/>
        </w:rPr>
        <w:t>1.1自评得分</w:t>
      </w:r>
    </w:p>
    <w:tbl>
      <w:tblPr>
        <w:tblStyle w:val="7"/>
        <w:tblW w:w="4997" w:type="pct"/>
        <w:tblInd w:w="0" w:type="dxa"/>
        <w:shd w:val="clear" w:color="auto" w:fill="auto"/>
        <w:tblLayout w:type="autofit"/>
        <w:tblCellMar>
          <w:top w:w="0" w:type="dxa"/>
          <w:left w:w="108" w:type="dxa"/>
          <w:bottom w:w="0" w:type="dxa"/>
          <w:right w:w="108" w:type="dxa"/>
        </w:tblCellMar>
      </w:tblPr>
      <w:tblGrid>
        <w:gridCol w:w="2241"/>
        <w:gridCol w:w="1710"/>
        <w:gridCol w:w="1710"/>
        <w:gridCol w:w="1710"/>
        <w:gridCol w:w="1710"/>
      </w:tblGrid>
      <w:tr>
        <w:tblPrEx>
          <w:shd w:val="clear" w:color="auto" w:fill="auto"/>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评价项目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权重</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评级分值</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本项得分</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得分率</w:t>
            </w:r>
          </w:p>
        </w:tc>
      </w:tr>
      <w:tr>
        <w:tblPrEx>
          <w:shd w:val="clear" w:color="auto" w:fill="auto"/>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预算执行情况</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20%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20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17.78</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88.9</w:t>
            </w: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w:t>
            </w:r>
          </w:p>
        </w:tc>
      </w:tr>
      <w:tr>
        <w:tblPrEx>
          <w:shd w:val="clear" w:color="auto" w:fill="auto"/>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年度目标一</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16%</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16</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11.68</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73%</w:t>
            </w:r>
          </w:p>
        </w:tc>
      </w:tr>
      <w:tr>
        <w:tblPrEx>
          <w:shd w:val="clear" w:color="auto" w:fill="auto"/>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年度目标二</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32%</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32</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28</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81.25%</w:t>
            </w:r>
          </w:p>
        </w:tc>
      </w:tr>
      <w:tr>
        <w:tblPrEx>
          <w:shd w:val="clear" w:color="auto" w:fill="auto"/>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年度目标三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14%</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14</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13.68</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97.71%</w:t>
            </w:r>
          </w:p>
        </w:tc>
      </w:tr>
      <w:tr>
        <w:tblPrEx>
          <w:shd w:val="clear" w:color="auto" w:fill="auto"/>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年度目标四</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18%</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18</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18</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100%</w:t>
            </w:r>
          </w:p>
        </w:tc>
      </w:tr>
      <w:tr>
        <w:tblPrEx>
          <w:shd w:val="clear" w:color="auto" w:fill="auto"/>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综合绩效</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89.14</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560" w:lineRule="exact"/>
              <w:jc w:val="center"/>
              <w:textAlignment w:val="cente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eastAsia"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89.14%</w:t>
            </w:r>
          </w:p>
        </w:tc>
      </w:tr>
    </w:tbl>
    <w:p>
      <w:pPr>
        <w:pStyle w:val="13"/>
        <w:keepNext w:val="0"/>
        <w:keepLines w:val="0"/>
        <w:pageBreakBefore w:val="0"/>
        <w:widowControl w:val="0"/>
        <w:numPr>
          <w:ilvl w:val="0"/>
          <w:numId w:val="0"/>
        </w:numPr>
        <w:shd w:val="clear" w:color="auto" w:fill="auto"/>
        <w:tabs>
          <w:tab w:val="left" w:pos="1426"/>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lang w:val="en-US" w:eastAsia="zh-CN"/>
        </w:rPr>
      </w:pPr>
      <w:r>
        <w:rPr>
          <w:rFonts w:hint="eastAsia" w:ascii="Times New Roman" w:hAnsi="Times New Roman" w:eastAsia="楷体" w:cs="Times New Roman"/>
          <w:color w:val="000000"/>
          <w:spacing w:val="0"/>
          <w:w w:val="100"/>
          <w:position w:val="0"/>
          <w:sz w:val="32"/>
          <w:szCs w:val="32"/>
          <w:lang w:val="en-US" w:eastAsia="zh-CN"/>
        </w:rPr>
        <w:t>1.2</w:t>
      </w:r>
      <w:r>
        <w:rPr>
          <w:rFonts w:hint="default" w:ascii="Times New Roman" w:hAnsi="Times New Roman" w:eastAsia="楷体" w:cs="Times New Roman"/>
          <w:color w:val="000000"/>
          <w:spacing w:val="0"/>
          <w:w w:val="100"/>
          <w:position w:val="0"/>
          <w:sz w:val="32"/>
          <w:szCs w:val="32"/>
          <w:lang w:val="en-US" w:eastAsia="zh-CN"/>
        </w:rPr>
        <w:t>绩效目标完成情况</w:t>
      </w:r>
    </w:p>
    <w:p>
      <w:pPr>
        <w:pStyle w:val="13"/>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bookmarkStart w:id="1" w:name="bookmark44"/>
      <w:bookmarkEnd w:id="1"/>
      <w:r>
        <w:rPr>
          <w:rFonts w:hint="eastAsia" w:ascii="Times New Roman" w:hAnsi="Times New Roman" w:eastAsia="仿宋" w:cs="Times New Roman"/>
          <w:color w:val="000000"/>
          <w:spacing w:val="0"/>
          <w:w w:val="100"/>
          <w:position w:val="0"/>
          <w:sz w:val="32"/>
          <w:szCs w:val="32"/>
          <w:lang w:val="en-US" w:eastAsia="zh-CN"/>
        </w:rPr>
        <w:t>1.2.1</w:t>
      </w:r>
      <w:r>
        <w:rPr>
          <w:rFonts w:hint="default" w:ascii="Times New Roman" w:hAnsi="Times New Roman" w:eastAsia="仿宋" w:cs="Times New Roman"/>
          <w:color w:val="000000"/>
          <w:spacing w:val="0"/>
          <w:w w:val="100"/>
          <w:position w:val="0"/>
          <w:sz w:val="32"/>
          <w:szCs w:val="32"/>
          <w:lang w:val="en-US" w:eastAsia="zh-CN"/>
        </w:rPr>
        <w:t>执行率情况</w:t>
      </w:r>
    </w:p>
    <w:p>
      <w:pPr>
        <w:pStyle w:val="13"/>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eastAsia" w:ascii="Times New Roman" w:hAnsi="Times New Roman" w:eastAsia="仿宋" w:cs="Times New Roman"/>
          <w:color w:val="000000"/>
          <w:spacing w:val="0"/>
          <w:w w:val="100"/>
          <w:position w:val="0"/>
          <w:sz w:val="32"/>
          <w:szCs w:val="32"/>
          <w:lang w:eastAsia="zh-CN"/>
        </w:rPr>
      </w:pPr>
      <w:r>
        <w:rPr>
          <w:rFonts w:hint="eastAsia" w:ascii="Times New Roman" w:hAnsi="Times New Roman" w:eastAsia="仿宋" w:cs="Times New Roman"/>
          <w:color w:val="000000"/>
          <w:spacing w:val="0"/>
          <w:w w:val="100"/>
          <w:position w:val="0"/>
          <w:sz w:val="32"/>
          <w:szCs w:val="32"/>
          <w:lang w:val="en-US" w:eastAsia="zh-CN"/>
        </w:rPr>
        <w:t>2020年度</w:t>
      </w:r>
      <w:r>
        <w:rPr>
          <w:rFonts w:hint="eastAsia" w:ascii="Times New Roman" w:hAnsi="Times New Roman" w:eastAsia="仿宋" w:cs="Times New Roman"/>
          <w:color w:val="000000"/>
          <w:spacing w:val="0"/>
          <w:w w:val="100"/>
          <w:position w:val="0"/>
          <w:sz w:val="32"/>
          <w:szCs w:val="32"/>
          <w:lang w:eastAsia="zh-CN"/>
        </w:rPr>
        <w:t>将军路街整体支出</w:t>
      </w:r>
      <w:r>
        <w:rPr>
          <w:rFonts w:hint="eastAsia" w:ascii="Times New Roman" w:hAnsi="Times New Roman" w:eastAsia="仿宋" w:cs="Times New Roman"/>
          <w:color w:val="000000"/>
          <w:spacing w:val="0"/>
          <w:w w:val="100"/>
          <w:position w:val="0"/>
          <w:sz w:val="32"/>
          <w:szCs w:val="32"/>
          <w:lang w:val="en-US" w:eastAsia="zh-CN"/>
        </w:rPr>
        <w:t>预算总额</w:t>
      </w:r>
      <w:r>
        <w:rPr>
          <w:rFonts w:hint="default" w:ascii="Times New Roman" w:hAnsi="Times New Roman" w:eastAsia="仿宋" w:cs="Times New Roman"/>
          <w:color w:val="000000"/>
          <w:spacing w:val="0"/>
          <w:w w:val="100"/>
          <w:position w:val="0"/>
          <w:sz w:val="32"/>
          <w:szCs w:val="32"/>
          <w:lang w:val="en-US" w:eastAsia="zh-CN"/>
        </w:rPr>
        <w:t>66,389.55</w:t>
      </w:r>
      <w:r>
        <w:rPr>
          <w:rFonts w:hint="eastAsia" w:ascii="Times New Roman" w:hAnsi="Times New Roman" w:eastAsia="仿宋" w:cs="Times New Roman"/>
          <w:color w:val="000000"/>
          <w:spacing w:val="0"/>
          <w:w w:val="100"/>
          <w:position w:val="0"/>
          <w:sz w:val="32"/>
          <w:szCs w:val="32"/>
          <w:lang w:val="en-US" w:eastAsia="zh-CN"/>
        </w:rPr>
        <w:t>万元，执行数</w:t>
      </w:r>
      <w:r>
        <w:rPr>
          <w:rFonts w:hint="default" w:ascii="Times New Roman" w:hAnsi="Times New Roman" w:eastAsia="仿宋" w:cs="Times New Roman"/>
          <w:color w:val="000000"/>
          <w:spacing w:val="0"/>
          <w:w w:val="100"/>
          <w:position w:val="0"/>
          <w:sz w:val="32"/>
          <w:szCs w:val="32"/>
          <w:lang w:val="en-US" w:eastAsia="zh-CN"/>
        </w:rPr>
        <w:t>59,019.27</w:t>
      </w:r>
      <w:r>
        <w:rPr>
          <w:rFonts w:hint="eastAsia" w:ascii="Times New Roman" w:hAnsi="Times New Roman" w:eastAsia="仿宋" w:cs="Times New Roman"/>
          <w:color w:val="000000"/>
          <w:spacing w:val="0"/>
          <w:w w:val="100"/>
          <w:position w:val="0"/>
          <w:sz w:val="32"/>
          <w:szCs w:val="32"/>
          <w:lang w:val="en-US" w:eastAsia="zh-CN"/>
        </w:rPr>
        <w:t>万元，</w:t>
      </w:r>
      <w:r>
        <w:rPr>
          <w:rFonts w:hint="eastAsia" w:ascii="Times New Roman" w:hAnsi="Times New Roman" w:eastAsia="仿宋" w:cs="Times New Roman"/>
          <w:color w:val="000000"/>
          <w:spacing w:val="0"/>
          <w:w w:val="100"/>
          <w:position w:val="0"/>
          <w:sz w:val="32"/>
          <w:szCs w:val="32"/>
          <w:lang w:eastAsia="zh-CN"/>
        </w:rPr>
        <w:t>将军路街整体支出执行率为</w:t>
      </w:r>
      <w:r>
        <w:rPr>
          <w:rFonts w:hint="default" w:ascii="Times New Roman" w:hAnsi="Times New Roman" w:eastAsia="仿宋" w:cs="Times New Roman"/>
          <w:color w:val="000000"/>
          <w:spacing w:val="0"/>
          <w:w w:val="100"/>
          <w:position w:val="0"/>
          <w:sz w:val="32"/>
          <w:szCs w:val="32"/>
          <w:lang w:val="en-US" w:eastAsia="zh-CN"/>
        </w:rPr>
        <w:t>8</w:t>
      </w:r>
      <w:r>
        <w:rPr>
          <w:rFonts w:hint="eastAsia" w:ascii="Times New Roman" w:hAnsi="Times New Roman" w:eastAsia="仿宋" w:cs="Times New Roman"/>
          <w:color w:val="000000"/>
          <w:spacing w:val="0"/>
          <w:w w:val="100"/>
          <w:position w:val="0"/>
          <w:sz w:val="32"/>
          <w:szCs w:val="32"/>
          <w:lang w:val="en-US" w:eastAsia="zh-CN"/>
        </w:rPr>
        <w:t>8.9%，将军路街整体支出的绩效指标完成情况良好。</w:t>
      </w:r>
    </w:p>
    <w:p>
      <w:pPr>
        <w:pStyle w:val="13"/>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eastAsia="zh-CN"/>
        </w:rPr>
      </w:pPr>
      <w:bookmarkStart w:id="2" w:name="bookmark45"/>
      <w:bookmarkEnd w:id="2"/>
      <w:r>
        <w:rPr>
          <w:rFonts w:hint="eastAsia" w:ascii="Times New Roman" w:hAnsi="Times New Roman" w:eastAsia="仿宋" w:cs="Times New Roman"/>
          <w:color w:val="000000"/>
          <w:spacing w:val="0"/>
          <w:w w:val="100"/>
          <w:position w:val="0"/>
          <w:sz w:val="32"/>
          <w:szCs w:val="32"/>
          <w:lang w:val="en-US" w:eastAsia="zh-CN"/>
        </w:rPr>
        <w:t>1.2.2</w:t>
      </w:r>
      <w:r>
        <w:rPr>
          <w:rFonts w:hint="default" w:ascii="Times New Roman" w:hAnsi="Times New Roman" w:eastAsia="仿宋" w:cs="Times New Roman"/>
          <w:color w:val="000000"/>
          <w:spacing w:val="0"/>
          <w:w w:val="100"/>
          <w:position w:val="0"/>
          <w:sz w:val="32"/>
          <w:szCs w:val="32"/>
          <w:lang w:eastAsia="zh-CN"/>
        </w:rPr>
        <w:t>完成的绩效目标。</w:t>
      </w:r>
    </w:p>
    <w:p>
      <w:pPr>
        <w:pStyle w:val="13"/>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eastAsia="zh-CN"/>
        </w:rPr>
      </w:pPr>
      <w:r>
        <w:rPr>
          <w:rFonts w:hint="eastAsia" w:ascii="Times New Roman" w:hAnsi="Times New Roman" w:eastAsia="仿宋" w:cs="Times New Roman"/>
          <w:color w:val="000000"/>
          <w:spacing w:val="0"/>
          <w:w w:val="100"/>
          <w:position w:val="0"/>
          <w:sz w:val="32"/>
          <w:szCs w:val="32"/>
          <w:lang w:eastAsia="zh-CN"/>
        </w:rPr>
        <w:t>将军路街整体支出共设置</w:t>
      </w:r>
      <w:r>
        <w:rPr>
          <w:rFonts w:hint="eastAsia" w:ascii="Times New Roman" w:hAnsi="Times New Roman" w:eastAsia="仿宋" w:cs="Times New Roman"/>
          <w:color w:val="000000"/>
          <w:spacing w:val="0"/>
          <w:w w:val="100"/>
          <w:position w:val="0"/>
          <w:sz w:val="32"/>
          <w:szCs w:val="32"/>
          <w:lang w:val="en-US" w:eastAsia="zh-CN"/>
        </w:rPr>
        <w:t>26个绩效指标，完成了19个。资金使用规范，项目产出较好，并取得良好社会效益。</w:t>
      </w:r>
    </w:p>
    <w:p>
      <w:pPr>
        <w:pStyle w:val="13"/>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eastAsia="zh-CN"/>
        </w:rPr>
      </w:pPr>
      <w:bookmarkStart w:id="3" w:name="bookmark46"/>
      <w:bookmarkEnd w:id="3"/>
      <w:r>
        <w:rPr>
          <w:rFonts w:hint="eastAsia" w:ascii="Times New Roman" w:hAnsi="Times New Roman" w:eastAsia="仿宋" w:cs="Times New Roman"/>
          <w:color w:val="000000"/>
          <w:spacing w:val="0"/>
          <w:w w:val="100"/>
          <w:position w:val="0"/>
          <w:sz w:val="32"/>
          <w:szCs w:val="32"/>
          <w:lang w:val="en-US" w:eastAsia="zh-CN"/>
        </w:rPr>
        <w:t>1.2.3</w:t>
      </w:r>
      <w:r>
        <w:rPr>
          <w:rFonts w:hint="default" w:ascii="Times New Roman" w:hAnsi="Times New Roman" w:eastAsia="仿宋" w:cs="Times New Roman"/>
          <w:color w:val="000000"/>
          <w:spacing w:val="0"/>
          <w:w w:val="100"/>
          <w:position w:val="0"/>
          <w:sz w:val="32"/>
          <w:szCs w:val="32"/>
          <w:lang w:eastAsia="zh-CN"/>
        </w:rPr>
        <w:t>未完成的绩效目标。</w:t>
      </w:r>
    </w:p>
    <w:p>
      <w:pPr>
        <w:pStyle w:val="13"/>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eastAsia" w:ascii="Times New Roman" w:hAnsi="Times New Roman" w:eastAsia="仿宋" w:cs="Times New Roman"/>
          <w:color w:val="000000"/>
          <w:spacing w:val="0"/>
          <w:w w:val="100"/>
          <w:position w:val="0"/>
          <w:sz w:val="32"/>
          <w:szCs w:val="32"/>
          <w:lang w:eastAsia="zh-CN"/>
        </w:rPr>
      </w:pPr>
      <w:r>
        <w:rPr>
          <w:rFonts w:hint="eastAsia" w:ascii="Times New Roman" w:hAnsi="Times New Roman" w:eastAsia="仿宋" w:cs="Times New Roman"/>
          <w:color w:val="000000"/>
          <w:spacing w:val="0"/>
          <w:w w:val="100"/>
          <w:position w:val="0"/>
          <w:sz w:val="32"/>
          <w:szCs w:val="32"/>
          <w:lang w:val="en-US" w:eastAsia="zh-CN"/>
        </w:rPr>
        <w:t>年度目标1数量指标中“</w:t>
      </w:r>
      <w:r>
        <w:rPr>
          <w:rFonts w:hint="eastAsia" w:ascii="Times New Roman" w:hAnsi="Times New Roman" w:eastAsia="仿宋" w:cs="Times New Roman"/>
          <w:color w:val="000000"/>
          <w:spacing w:val="0"/>
          <w:w w:val="100"/>
          <w:position w:val="0"/>
          <w:sz w:val="32"/>
          <w:szCs w:val="32"/>
          <w:lang w:eastAsia="zh-CN"/>
        </w:rPr>
        <w:t>规模以上工业总产值</w:t>
      </w:r>
      <w:r>
        <w:rPr>
          <w:rFonts w:hint="default" w:ascii="Times New Roman" w:hAnsi="Times New Roman" w:eastAsia="仿宋" w:cs="Times New Roman"/>
          <w:color w:val="000000"/>
          <w:spacing w:val="0"/>
          <w:w w:val="100"/>
          <w:position w:val="0"/>
          <w:sz w:val="32"/>
          <w:szCs w:val="32"/>
          <w:lang w:val="en-US" w:eastAsia="zh-CN"/>
        </w:rPr>
        <w:t>”≥</w:t>
      </w:r>
      <w:r>
        <w:rPr>
          <w:rFonts w:hint="eastAsia" w:ascii="Times New Roman" w:hAnsi="Times New Roman" w:eastAsia="仿宋" w:cs="Times New Roman"/>
          <w:color w:val="000000"/>
          <w:spacing w:val="0"/>
          <w:w w:val="100"/>
          <w:position w:val="0"/>
          <w:sz w:val="32"/>
          <w:szCs w:val="32"/>
          <w:lang w:eastAsia="zh-CN"/>
        </w:rPr>
        <w:t>40亿元</w:t>
      </w:r>
      <w:r>
        <w:rPr>
          <w:rFonts w:hint="default" w:ascii="Times New Roman" w:hAnsi="Times New Roman" w:eastAsia="仿宋" w:cs="Times New Roman"/>
          <w:color w:val="000000"/>
          <w:spacing w:val="0"/>
          <w:w w:val="100"/>
          <w:position w:val="0"/>
          <w:sz w:val="32"/>
          <w:szCs w:val="32"/>
          <w:lang w:val="en-US" w:eastAsia="zh-CN"/>
        </w:rPr>
        <w:t>，实际完成</w:t>
      </w:r>
      <w:r>
        <w:rPr>
          <w:rFonts w:hint="eastAsia" w:ascii="Times New Roman" w:hAnsi="Times New Roman" w:eastAsia="仿宋" w:cs="Times New Roman"/>
          <w:color w:val="000000"/>
          <w:spacing w:val="0"/>
          <w:w w:val="100"/>
          <w:position w:val="0"/>
          <w:sz w:val="32"/>
          <w:szCs w:val="32"/>
          <w:lang w:val="en-US" w:eastAsia="zh-CN"/>
        </w:rPr>
        <w:t>27.48</w:t>
      </w:r>
      <w:r>
        <w:rPr>
          <w:rFonts w:hint="default" w:ascii="Times New Roman" w:hAnsi="Times New Roman" w:eastAsia="仿宋" w:cs="Times New Roman"/>
          <w:color w:val="000000"/>
          <w:spacing w:val="0"/>
          <w:w w:val="100"/>
          <w:position w:val="0"/>
          <w:sz w:val="32"/>
          <w:szCs w:val="32"/>
          <w:lang w:val="en-US" w:eastAsia="zh-CN"/>
        </w:rPr>
        <w:t>亿元</w:t>
      </w:r>
      <w:r>
        <w:rPr>
          <w:rFonts w:hint="eastAsia" w:ascii="Times New Roman" w:hAnsi="Times New Roman" w:eastAsia="仿宋" w:cs="Times New Roman"/>
          <w:color w:val="000000"/>
          <w:spacing w:val="0"/>
          <w:w w:val="100"/>
          <w:position w:val="0"/>
          <w:sz w:val="32"/>
          <w:szCs w:val="32"/>
          <w:lang w:val="en-US" w:eastAsia="zh-CN"/>
        </w:rPr>
        <w:t>、“</w:t>
      </w:r>
      <w:r>
        <w:rPr>
          <w:rFonts w:hint="eastAsia" w:ascii="Times New Roman" w:hAnsi="Times New Roman" w:eastAsia="仿宋" w:cs="Times New Roman"/>
          <w:color w:val="000000"/>
          <w:spacing w:val="0"/>
          <w:w w:val="100"/>
          <w:position w:val="0"/>
          <w:sz w:val="32"/>
          <w:szCs w:val="32"/>
          <w:lang w:eastAsia="zh-CN"/>
        </w:rPr>
        <w:t>固定资产投资额</w:t>
      </w:r>
      <w:r>
        <w:rPr>
          <w:rFonts w:hint="eastAsia" w:ascii="Times New Roman" w:hAnsi="Times New Roman" w:eastAsia="仿宋" w:cs="Times New Roman"/>
          <w:color w:val="000000"/>
          <w:spacing w:val="0"/>
          <w:w w:val="100"/>
          <w:position w:val="0"/>
          <w:sz w:val="32"/>
          <w:szCs w:val="32"/>
          <w:lang w:val="en-US" w:eastAsia="zh-CN"/>
        </w:rPr>
        <w:t>”</w:t>
      </w:r>
      <w:r>
        <w:rPr>
          <w:rFonts w:hint="default" w:ascii="Times New Roman" w:hAnsi="Times New Roman" w:eastAsia="仿宋" w:cs="Times New Roman"/>
          <w:color w:val="000000"/>
          <w:spacing w:val="0"/>
          <w:w w:val="100"/>
          <w:position w:val="0"/>
          <w:sz w:val="32"/>
          <w:szCs w:val="32"/>
          <w:lang w:val="en-US" w:eastAsia="zh-CN"/>
        </w:rPr>
        <w:t>≥</w:t>
      </w:r>
      <w:r>
        <w:rPr>
          <w:rFonts w:hint="eastAsia" w:ascii="Times New Roman" w:hAnsi="Times New Roman" w:eastAsia="仿宋" w:cs="Times New Roman"/>
          <w:color w:val="000000"/>
          <w:spacing w:val="0"/>
          <w:w w:val="100"/>
          <w:position w:val="0"/>
          <w:sz w:val="32"/>
          <w:szCs w:val="32"/>
          <w:lang w:eastAsia="zh-CN"/>
        </w:rPr>
        <w:t>10</w:t>
      </w:r>
      <w:r>
        <w:rPr>
          <w:rFonts w:hint="default" w:ascii="Times New Roman" w:hAnsi="Times New Roman" w:eastAsia="仿宋" w:cs="Times New Roman"/>
          <w:color w:val="000000"/>
          <w:spacing w:val="0"/>
          <w:w w:val="100"/>
          <w:position w:val="0"/>
          <w:sz w:val="32"/>
          <w:szCs w:val="32"/>
          <w:lang w:val="en-US" w:eastAsia="zh-CN"/>
        </w:rPr>
        <w:t>亿元</w:t>
      </w:r>
      <w:r>
        <w:rPr>
          <w:rFonts w:hint="eastAsia" w:ascii="Times New Roman" w:hAnsi="Times New Roman" w:eastAsia="仿宋" w:cs="Times New Roman"/>
          <w:color w:val="000000"/>
          <w:spacing w:val="0"/>
          <w:w w:val="100"/>
          <w:position w:val="0"/>
          <w:sz w:val="32"/>
          <w:szCs w:val="32"/>
          <w:lang w:val="en-US" w:eastAsia="zh-CN"/>
        </w:rPr>
        <w:t>，实际完成8.5亿元、“</w:t>
      </w:r>
      <w:r>
        <w:rPr>
          <w:rFonts w:hint="eastAsia" w:ascii="Times New Roman" w:hAnsi="Times New Roman" w:eastAsia="仿宋" w:cs="Times New Roman"/>
          <w:color w:val="000000"/>
          <w:spacing w:val="0"/>
          <w:w w:val="100"/>
          <w:position w:val="0"/>
          <w:sz w:val="32"/>
          <w:szCs w:val="32"/>
          <w:lang w:eastAsia="zh-CN"/>
        </w:rPr>
        <w:t>招商引资</w:t>
      </w:r>
      <w:r>
        <w:rPr>
          <w:rFonts w:hint="eastAsia" w:ascii="Times New Roman" w:hAnsi="Times New Roman" w:eastAsia="仿宋" w:cs="Times New Roman"/>
          <w:color w:val="000000"/>
          <w:spacing w:val="0"/>
          <w:w w:val="100"/>
          <w:position w:val="0"/>
          <w:sz w:val="32"/>
          <w:szCs w:val="32"/>
          <w:lang w:val="en-US" w:eastAsia="zh-CN"/>
        </w:rPr>
        <w:t>”≥</w:t>
      </w:r>
      <w:r>
        <w:rPr>
          <w:rFonts w:hint="eastAsia" w:ascii="Times New Roman" w:hAnsi="Times New Roman" w:eastAsia="仿宋" w:cs="Times New Roman"/>
          <w:color w:val="000000"/>
          <w:spacing w:val="0"/>
          <w:w w:val="100"/>
          <w:position w:val="0"/>
          <w:sz w:val="32"/>
          <w:szCs w:val="32"/>
          <w:lang w:eastAsia="zh-CN"/>
        </w:rPr>
        <w:t>60亿元</w:t>
      </w:r>
      <w:r>
        <w:rPr>
          <w:rFonts w:hint="eastAsia" w:ascii="Times New Roman" w:hAnsi="Times New Roman" w:eastAsia="仿宋" w:cs="Times New Roman"/>
          <w:color w:val="000000"/>
          <w:spacing w:val="0"/>
          <w:w w:val="100"/>
          <w:position w:val="0"/>
          <w:sz w:val="32"/>
          <w:szCs w:val="32"/>
          <w:lang w:val="en-US" w:eastAsia="zh-CN"/>
        </w:rPr>
        <w:t>，实际完成53亿元，经济效益指标中“</w:t>
      </w:r>
      <w:r>
        <w:rPr>
          <w:rFonts w:hint="eastAsia" w:ascii="Times New Roman" w:hAnsi="Times New Roman" w:eastAsia="仿宋" w:cs="Times New Roman"/>
          <w:color w:val="000000"/>
          <w:spacing w:val="0"/>
          <w:w w:val="100"/>
          <w:position w:val="0"/>
          <w:sz w:val="32"/>
          <w:szCs w:val="32"/>
          <w:lang w:eastAsia="zh-CN"/>
        </w:rPr>
        <w:t>保障纳税收入</w:t>
      </w:r>
      <w:r>
        <w:rPr>
          <w:rFonts w:hint="eastAsia" w:ascii="Times New Roman" w:hAnsi="Times New Roman" w:eastAsia="仿宋" w:cs="Times New Roman"/>
          <w:color w:val="000000"/>
          <w:spacing w:val="0"/>
          <w:w w:val="100"/>
          <w:position w:val="0"/>
          <w:sz w:val="32"/>
          <w:szCs w:val="32"/>
          <w:lang w:val="en-US" w:eastAsia="zh-CN"/>
        </w:rPr>
        <w:t>”</w:t>
      </w:r>
      <w:r>
        <w:rPr>
          <w:rFonts w:hint="eastAsia" w:ascii="Times New Roman" w:hAnsi="Times New Roman" w:eastAsia="仿宋" w:cs="Times New Roman"/>
          <w:color w:val="000000"/>
          <w:spacing w:val="0"/>
          <w:w w:val="100"/>
          <w:position w:val="0"/>
          <w:sz w:val="32"/>
          <w:szCs w:val="32"/>
          <w:lang w:eastAsia="zh-CN"/>
        </w:rPr>
        <w:t>部分达到预期。</w:t>
      </w:r>
    </w:p>
    <w:p>
      <w:pPr>
        <w:pStyle w:val="13"/>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eastAsia" w:ascii="Times New Roman" w:hAnsi="Times New Roman" w:eastAsia="仿宋" w:cs="Times New Roman"/>
          <w:color w:val="000000"/>
          <w:spacing w:val="0"/>
          <w:w w:val="100"/>
          <w:position w:val="0"/>
          <w:sz w:val="32"/>
          <w:szCs w:val="32"/>
          <w:lang w:eastAsia="zh-CN"/>
        </w:rPr>
      </w:pPr>
      <w:r>
        <w:rPr>
          <w:rFonts w:hint="eastAsia" w:ascii="Times New Roman" w:hAnsi="Times New Roman" w:eastAsia="仿宋" w:cs="Times New Roman"/>
          <w:color w:val="000000"/>
          <w:spacing w:val="0"/>
          <w:w w:val="100"/>
          <w:position w:val="0"/>
          <w:sz w:val="32"/>
          <w:szCs w:val="32"/>
          <w:lang w:eastAsia="zh-CN"/>
        </w:rPr>
        <w:t>年度目标</w:t>
      </w:r>
      <w:r>
        <w:rPr>
          <w:rFonts w:hint="eastAsia" w:ascii="Times New Roman" w:hAnsi="Times New Roman" w:eastAsia="仿宋" w:cs="Times New Roman"/>
          <w:color w:val="000000"/>
          <w:spacing w:val="0"/>
          <w:w w:val="100"/>
          <w:position w:val="0"/>
          <w:sz w:val="32"/>
          <w:szCs w:val="32"/>
          <w:lang w:val="en-US" w:eastAsia="zh-CN"/>
        </w:rPr>
        <w:t>2</w:t>
      </w:r>
      <w:r>
        <w:rPr>
          <w:rFonts w:hint="eastAsia" w:ascii="Times New Roman" w:hAnsi="Times New Roman" w:eastAsia="仿宋" w:cs="Times New Roman"/>
          <w:color w:val="000000"/>
          <w:spacing w:val="0"/>
          <w:w w:val="100"/>
          <w:position w:val="0"/>
          <w:sz w:val="32"/>
          <w:szCs w:val="32"/>
          <w:lang w:eastAsia="zh-CN"/>
        </w:rPr>
        <w:t>经济效益指标“促进经济发展”部分达到预期；生态效益 指标“生态环境保护”部分达到预期。</w:t>
      </w:r>
    </w:p>
    <w:p>
      <w:pPr>
        <w:pStyle w:val="13"/>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eastAsia" w:ascii="Times New Roman" w:hAnsi="Times New Roman" w:eastAsia="仿宋" w:cs="Times New Roman"/>
          <w:color w:val="000000"/>
          <w:spacing w:val="0"/>
          <w:w w:val="100"/>
          <w:position w:val="0"/>
          <w:sz w:val="32"/>
          <w:szCs w:val="32"/>
          <w:lang w:eastAsia="zh-CN"/>
        </w:rPr>
        <w:t>年度目标</w:t>
      </w:r>
      <w:r>
        <w:rPr>
          <w:rFonts w:hint="eastAsia" w:ascii="Times New Roman" w:hAnsi="Times New Roman" w:eastAsia="仿宋" w:cs="Times New Roman"/>
          <w:color w:val="000000"/>
          <w:spacing w:val="0"/>
          <w:w w:val="100"/>
          <w:position w:val="0"/>
          <w:sz w:val="32"/>
          <w:szCs w:val="32"/>
          <w:lang w:val="en-US" w:eastAsia="zh-CN"/>
        </w:rPr>
        <w:t>3质量指标“拆迁推进项目完成率”实际完成值84%。</w:t>
      </w:r>
    </w:p>
    <w:p>
      <w:pPr>
        <w:pStyle w:val="13"/>
        <w:keepNext w:val="0"/>
        <w:keepLines w:val="0"/>
        <w:pageBreakBefore w:val="0"/>
        <w:widowControl w:val="0"/>
        <w:numPr>
          <w:ilvl w:val="0"/>
          <w:numId w:val="0"/>
        </w:numPr>
        <w:shd w:val="clear" w:color="auto" w:fill="auto"/>
        <w:tabs>
          <w:tab w:val="left" w:pos="1426"/>
        </w:tabs>
        <w:kinsoku/>
        <w:wordWrap/>
        <w:overflowPunct/>
        <w:topLinePunct w:val="0"/>
        <w:autoSpaceDE/>
        <w:autoSpaceDN/>
        <w:bidi w:val="0"/>
        <w:adjustRightInd/>
        <w:snapToGrid/>
        <w:spacing w:before="0" w:after="0" w:line="560" w:lineRule="exact"/>
        <w:ind w:right="0" w:rightChars="0" w:firstLine="640" w:firstLineChars="200"/>
        <w:jc w:val="left"/>
        <w:rPr>
          <w:rFonts w:hint="eastAsia" w:ascii="Times New Roman" w:hAnsi="Times New Roman" w:eastAsia="楷体" w:cs="Times New Roman"/>
          <w:color w:val="000000"/>
          <w:spacing w:val="0"/>
          <w:w w:val="100"/>
          <w:position w:val="0"/>
          <w:sz w:val="32"/>
          <w:szCs w:val="32"/>
          <w:lang w:val="en-US" w:eastAsia="zh-CN"/>
        </w:rPr>
      </w:pPr>
      <w:r>
        <w:rPr>
          <w:rFonts w:hint="eastAsia" w:ascii="Times New Roman" w:hAnsi="Times New Roman" w:eastAsia="楷体" w:cs="Times New Roman"/>
          <w:color w:val="000000"/>
          <w:spacing w:val="0"/>
          <w:w w:val="100"/>
          <w:position w:val="0"/>
          <w:sz w:val="32"/>
          <w:szCs w:val="32"/>
          <w:lang w:val="en-US" w:eastAsia="zh-CN"/>
        </w:rPr>
        <w:t>1.3存在的问题和原因</w:t>
      </w:r>
    </w:p>
    <w:p>
      <w:pPr>
        <w:pStyle w:val="13"/>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eastAsia" w:ascii="Times New Roman" w:hAnsi="Times New Roman" w:eastAsia="仿宋" w:cs="Times New Roman"/>
          <w:color w:val="000000"/>
          <w:spacing w:val="0"/>
          <w:w w:val="100"/>
          <w:position w:val="0"/>
          <w:sz w:val="32"/>
          <w:szCs w:val="32"/>
          <w:lang w:val="en-US" w:eastAsia="zh-CN"/>
        </w:rPr>
        <w:t>1.3.1受疫情冲击将军路街整体支出中个别指标值设定未及时根据当年实际情况进行调整，如“规模以上工业总产值</w:t>
      </w:r>
      <w:r>
        <w:rPr>
          <w:rFonts w:hint="default" w:ascii="Times New Roman" w:hAnsi="Times New Roman" w:eastAsia="仿宋" w:cs="Times New Roman"/>
          <w:color w:val="000000"/>
          <w:spacing w:val="0"/>
          <w:w w:val="100"/>
          <w:position w:val="0"/>
          <w:sz w:val="32"/>
          <w:szCs w:val="32"/>
          <w:lang w:val="en-US" w:eastAsia="zh-CN"/>
        </w:rPr>
        <w:t>”</w:t>
      </w:r>
      <w:r>
        <w:rPr>
          <w:rFonts w:hint="eastAsia" w:ascii="Times New Roman" w:hAnsi="Times New Roman" w:eastAsia="仿宋" w:cs="Times New Roman"/>
          <w:color w:val="000000"/>
          <w:spacing w:val="0"/>
          <w:w w:val="100"/>
          <w:position w:val="0"/>
          <w:sz w:val="32"/>
          <w:szCs w:val="32"/>
          <w:lang w:val="en-US" w:eastAsia="zh-CN"/>
        </w:rPr>
        <w:t>指标完成率68.7%；“固定资产投资额”指标完成率85%；“招商引资”指标完成率88.33%。</w:t>
      </w:r>
    </w:p>
    <w:p>
      <w:pPr>
        <w:pStyle w:val="13"/>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eastAsia" w:ascii="Times New Roman" w:hAnsi="Times New Roman" w:eastAsia="仿宋" w:cs="Times New Roman"/>
          <w:color w:val="000000"/>
          <w:spacing w:val="0"/>
          <w:w w:val="100"/>
          <w:position w:val="0"/>
          <w:sz w:val="32"/>
          <w:szCs w:val="32"/>
          <w:lang w:val="en-US" w:eastAsia="zh-CN"/>
        </w:rPr>
        <w:t>1.3.2绩效管理有待提高，预算执行过程有效约束不够，佐证绩效目标实现的基础资料的存档及绩效跟踪考评方面尚需进一步增强。</w:t>
      </w:r>
    </w:p>
    <w:p>
      <w:pPr>
        <w:pStyle w:val="13"/>
        <w:keepNext w:val="0"/>
        <w:keepLines w:val="0"/>
        <w:pageBreakBefore w:val="0"/>
        <w:widowControl w:val="0"/>
        <w:numPr>
          <w:ilvl w:val="0"/>
          <w:numId w:val="0"/>
        </w:numPr>
        <w:shd w:val="clear" w:color="auto" w:fill="auto"/>
        <w:tabs>
          <w:tab w:val="left" w:pos="1426"/>
        </w:tabs>
        <w:kinsoku/>
        <w:wordWrap/>
        <w:overflowPunct/>
        <w:topLinePunct w:val="0"/>
        <w:autoSpaceDE/>
        <w:autoSpaceDN/>
        <w:bidi w:val="0"/>
        <w:adjustRightInd/>
        <w:snapToGrid/>
        <w:spacing w:before="0" w:after="0" w:line="560" w:lineRule="exact"/>
        <w:ind w:right="0" w:rightChars="0" w:firstLine="640" w:firstLineChars="200"/>
        <w:jc w:val="left"/>
        <w:rPr>
          <w:rFonts w:hint="eastAsia" w:ascii="Times New Roman" w:hAnsi="Times New Roman" w:eastAsia="楷体" w:cs="Times New Roman"/>
          <w:color w:val="000000"/>
          <w:spacing w:val="0"/>
          <w:w w:val="100"/>
          <w:position w:val="0"/>
          <w:sz w:val="32"/>
          <w:szCs w:val="32"/>
          <w:lang w:val="en-US" w:eastAsia="zh-CN"/>
        </w:rPr>
      </w:pPr>
      <w:r>
        <w:rPr>
          <w:rFonts w:hint="eastAsia" w:ascii="Times New Roman" w:hAnsi="Times New Roman" w:eastAsia="楷体" w:cs="Times New Roman"/>
          <w:color w:val="000000"/>
          <w:spacing w:val="0"/>
          <w:w w:val="100"/>
          <w:position w:val="0"/>
          <w:sz w:val="32"/>
          <w:szCs w:val="32"/>
          <w:lang w:val="en-US" w:eastAsia="zh-CN"/>
        </w:rPr>
        <w:t>1.4下一步拟改进措施及拟与预算安排相结合情况</w:t>
      </w:r>
    </w:p>
    <w:p>
      <w:pPr>
        <w:pStyle w:val="13"/>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eastAsia" w:ascii="Times New Roman" w:hAnsi="Times New Roman" w:eastAsia="仿宋" w:cs="Times New Roman"/>
          <w:color w:val="000000"/>
          <w:spacing w:val="0"/>
          <w:w w:val="100"/>
          <w:position w:val="0"/>
          <w:sz w:val="32"/>
          <w:szCs w:val="32"/>
          <w:lang w:val="en-US" w:eastAsia="zh-CN"/>
        </w:rPr>
        <w:t>1.4.1建立健全绩效指标体系，根据本项目特点，优先选择最能反映绩效管理要求的关键性指标。以往年指标值为基础，结合申报当年项目情况合理设定指标值，进一步完善预算支出责任制度，原则上，相同指标的指标值设置应当较上年完成情况有所提升。</w:t>
      </w:r>
    </w:p>
    <w:p>
      <w:pPr>
        <w:pStyle w:val="13"/>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eastAsia" w:ascii="Times New Roman" w:hAnsi="Times New Roman" w:eastAsia="仿宋" w:cs="Times New Roman"/>
          <w:color w:val="000000"/>
          <w:spacing w:val="0"/>
          <w:w w:val="100"/>
          <w:position w:val="0"/>
          <w:sz w:val="32"/>
          <w:szCs w:val="32"/>
          <w:lang w:val="en-US" w:eastAsia="zh-CN"/>
        </w:rPr>
      </w:pPr>
      <w:bookmarkStart w:id="4" w:name="bookmark50"/>
      <w:bookmarkEnd w:id="4"/>
      <w:bookmarkStart w:id="5" w:name="bookmark49"/>
      <w:bookmarkEnd w:id="5"/>
      <w:r>
        <w:rPr>
          <w:rFonts w:hint="eastAsia" w:ascii="Times New Roman" w:hAnsi="Times New Roman" w:eastAsia="仿宋" w:cs="Times New Roman"/>
          <w:color w:val="000000"/>
          <w:spacing w:val="0"/>
          <w:w w:val="100"/>
          <w:position w:val="0"/>
          <w:sz w:val="32"/>
          <w:szCs w:val="32"/>
          <w:lang w:val="en-US" w:eastAsia="zh-CN"/>
        </w:rPr>
        <w:t>1.4.2提高预算绩效管理意识，统一预算编制科目与会计核算科目一致，以便加强预算执行分析，强化财务监控及预算刚性约束，完善绩效考评制度；提高全员项目绩效考核意识，建立日常跟踪及考评机制，加强内部监督考评。</w:t>
      </w:r>
    </w:p>
    <w:p>
      <w:pPr>
        <w:pStyle w:val="13"/>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eastAsia" w:ascii="Times New Roman" w:hAnsi="Times New Roman" w:eastAsia="仿宋" w:cs="Times New Roman"/>
          <w:color w:val="000000"/>
          <w:spacing w:val="0"/>
          <w:w w:val="100"/>
          <w:position w:val="0"/>
          <w:sz w:val="32"/>
          <w:szCs w:val="32"/>
          <w:lang w:val="en-US" w:eastAsia="zh-CN"/>
        </w:rPr>
      </w:pPr>
      <w:r>
        <w:rPr>
          <w:rFonts w:hint="eastAsia" w:ascii="Times New Roman" w:hAnsi="Times New Roman" w:eastAsia="仿宋" w:cs="Times New Roman"/>
          <w:color w:val="000000"/>
          <w:spacing w:val="0"/>
          <w:w w:val="100"/>
          <w:position w:val="0"/>
          <w:sz w:val="32"/>
          <w:szCs w:val="32"/>
          <w:lang w:val="en-US" w:eastAsia="zh-CN"/>
        </w:rPr>
        <w:t>1.4.3组织辖区企业积极参与疫情的防控管理，做到安全有序地生产，我们围绕绩效目标，做好招商引资、项目推进、群众服务等中心工作，使各项工作均取得较好进展。</w:t>
      </w:r>
    </w:p>
    <w:p>
      <w:pPr>
        <w:pStyle w:val="13"/>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eastAsia" w:ascii="Times New Roman" w:hAnsi="Times New Roman" w:eastAsia="仿宋" w:cs="Times New Roman"/>
          <w:color w:val="auto"/>
          <w:spacing w:val="0"/>
          <w:w w:val="100"/>
          <w:position w:val="0"/>
          <w:sz w:val="32"/>
          <w:szCs w:val="32"/>
          <w:lang w:val="en-US" w:eastAsia="zh-CN"/>
        </w:rPr>
      </w:pPr>
      <w:bookmarkStart w:id="7" w:name="_GoBack"/>
      <w:bookmarkEnd w:id="7"/>
      <w:bookmarkStart w:id="6" w:name="bookmark56"/>
      <w:bookmarkEnd w:id="6"/>
    </w:p>
    <w:sectPr>
      <w:footerReference r:id="rId3" w:type="default"/>
      <w:type w:val="continuous"/>
      <w:pgSz w:w="11906" w:h="16838"/>
      <w:pgMar w:top="1440" w:right="1800" w:bottom="1440" w:left="1236"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p>
    <w:pPr>
      <w:widowControl w:val="0"/>
      <w:spacing w:line="1" w:lineRule="exact"/>
    </w:pPr>
    <w:r>
      <w:rPr>
        <w:sz w:val="24"/>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56BD7"/>
    <w:rsid w:val="059976BB"/>
    <w:rsid w:val="06795CFD"/>
    <w:rsid w:val="06AE4B42"/>
    <w:rsid w:val="06E91769"/>
    <w:rsid w:val="06FB3479"/>
    <w:rsid w:val="070A6DA3"/>
    <w:rsid w:val="0BFC6D21"/>
    <w:rsid w:val="0D99316E"/>
    <w:rsid w:val="0F974912"/>
    <w:rsid w:val="10F442F7"/>
    <w:rsid w:val="11D973B3"/>
    <w:rsid w:val="120608CA"/>
    <w:rsid w:val="15160F23"/>
    <w:rsid w:val="1569488D"/>
    <w:rsid w:val="18052E7B"/>
    <w:rsid w:val="185959AE"/>
    <w:rsid w:val="19804C4E"/>
    <w:rsid w:val="1B5051A1"/>
    <w:rsid w:val="1B671E60"/>
    <w:rsid w:val="1C505583"/>
    <w:rsid w:val="1D0D4E9C"/>
    <w:rsid w:val="1D13646B"/>
    <w:rsid w:val="1D951F97"/>
    <w:rsid w:val="1DEF18D2"/>
    <w:rsid w:val="259376E2"/>
    <w:rsid w:val="259C6E6C"/>
    <w:rsid w:val="27DE27D8"/>
    <w:rsid w:val="28787C06"/>
    <w:rsid w:val="2D0576E2"/>
    <w:rsid w:val="2EF955B5"/>
    <w:rsid w:val="31516477"/>
    <w:rsid w:val="341017C8"/>
    <w:rsid w:val="346D5816"/>
    <w:rsid w:val="350D7998"/>
    <w:rsid w:val="350E05D4"/>
    <w:rsid w:val="369926EA"/>
    <w:rsid w:val="37877C46"/>
    <w:rsid w:val="39C812D8"/>
    <w:rsid w:val="3B69415E"/>
    <w:rsid w:val="3D7110D0"/>
    <w:rsid w:val="3DD9319B"/>
    <w:rsid w:val="3F644749"/>
    <w:rsid w:val="401513EE"/>
    <w:rsid w:val="410A7AED"/>
    <w:rsid w:val="41973F62"/>
    <w:rsid w:val="419F7579"/>
    <w:rsid w:val="425038B5"/>
    <w:rsid w:val="42724550"/>
    <w:rsid w:val="447C6DA3"/>
    <w:rsid w:val="44E315C3"/>
    <w:rsid w:val="45E50B00"/>
    <w:rsid w:val="47C74F7A"/>
    <w:rsid w:val="49551874"/>
    <w:rsid w:val="49970183"/>
    <w:rsid w:val="4BF633A9"/>
    <w:rsid w:val="4C835D0C"/>
    <w:rsid w:val="4F9065B1"/>
    <w:rsid w:val="500400DB"/>
    <w:rsid w:val="50081561"/>
    <w:rsid w:val="519176C5"/>
    <w:rsid w:val="53FB1DDF"/>
    <w:rsid w:val="54BF1160"/>
    <w:rsid w:val="55152371"/>
    <w:rsid w:val="55E70A52"/>
    <w:rsid w:val="575662C9"/>
    <w:rsid w:val="589F44B9"/>
    <w:rsid w:val="5925590F"/>
    <w:rsid w:val="5AE90402"/>
    <w:rsid w:val="5B702067"/>
    <w:rsid w:val="5B9E279C"/>
    <w:rsid w:val="5D8D6E57"/>
    <w:rsid w:val="5DCF25FC"/>
    <w:rsid w:val="5DEF6349"/>
    <w:rsid w:val="60062D41"/>
    <w:rsid w:val="602641D3"/>
    <w:rsid w:val="62015700"/>
    <w:rsid w:val="62D429D3"/>
    <w:rsid w:val="639034A3"/>
    <w:rsid w:val="64271461"/>
    <w:rsid w:val="65234660"/>
    <w:rsid w:val="67202921"/>
    <w:rsid w:val="685562CA"/>
    <w:rsid w:val="6AC82FEB"/>
    <w:rsid w:val="6B8C34FB"/>
    <w:rsid w:val="6CEE581A"/>
    <w:rsid w:val="6F645CAC"/>
    <w:rsid w:val="717E0995"/>
    <w:rsid w:val="740142D2"/>
    <w:rsid w:val="77D3075A"/>
    <w:rsid w:val="7A81594B"/>
    <w:rsid w:val="7B225E3D"/>
    <w:rsid w:val="7BCF338F"/>
    <w:rsid w:val="7C5943AB"/>
    <w:rsid w:val="7D1B06ED"/>
    <w:rsid w:val="7FCB2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仿宋" w:hAnsi="仿宋" w:eastAsia="仿宋" w:cs="仿宋"/>
      <w:sz w:val="32"/>
      <w:szCs w:val="32"/>
      <w:lang w:val="zh-CN" w:eastAsia="zh-CN" w:bidi="zh-CN"/>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paragraph" w:customStyle="1" w:styleId="10">
    <w:name w:val="Body text|4"/>
    <w:basedOn w:val="1"/>
    <w:qFormat/>
    <w:uiPriority w:val="0"/>
    <w:pPr>
      <w:widowControl w:val="0"/>
      <w:shd w:val="clear" w:color="auto" w:fill="auto"/>
      <w:spacing w:after="210" w:line="518" w:lineRule="exact"/>
    </w:pPr>
    <w:rPr>
      <w:sz w:val="26"/>
      <w:szCs w:val="26"/>
      <w:u w:val="none"/>
      <w:shd w:val="clear" w:color="auto" w:fill="auto"/>
      <w:lang w:val="zh-TW" w:eastAsia="zh-TW" w:bidi="zh-TW"/>
    </w:rPr>
  </w:style>
  <w:style w:type="paragraph" w:customStyle="1" w:styleId="11">
    <w:name w:val="Heading #2|1"/>
    <w:basedOn w:val="1"/>
    <w:qFormat/>
    <w:uiPriority w:val="0"/>
    <w:pPr>
      <w:widowControl w:val="0"/>
      <w:shd w:val="clear" w:color="auto" w:fill="auto"/>
      <w:spacing w:after="680" w:line="698" w:lineRule="exact"/>
      <w:jc w:val="center"/>
      <w:outlineLvl w:val="1"/>
    </w:pPr>
    <w:rPr>
      <w:rFonts w:ascii="宋体" w:hAnsi="宋体" w:eastAsia="宋体" w:cs="宋体"/>
      <w:sz w:val="42"/>
      <w:szCs w:val="42"/>
      <w:u w:val="none"/>
      <w:shd w:val="clear" w:color="auto" w:fill="auto"/>
      <w:lang w:val="zh-TW" w:eastAsia="zh-TW" w:bidi="zh-TW"/>
    </w:rPr>
  </w:style>
  <w:style w:type="paragraph" w:customStyle="1" w:styleId="12">
    <w:name w:val="Body text|2"/>
    <w:basedOn w:val="1"/>
    <w:qFormat/>
    <w:uiPriority w:val="0"/>
    <w:pPr>
      <w:widowControl w:val="0"/>
      <w:shd w:val="clear" w:color="auto" w:fill="auto"/>
      <w:spacing w:line="312" w:lineRule="exact"/>
      <w:ind w:firstLine="460"/>
    </w:pPr>
    <w:rPr>
      <w:rFonts w:ascii="宋体" w:hAnsi="宋体" w:eastAsia="宋体" w:cs="宋体"/>
      <w:sz w:val="20"/>
      <w:szCs w:val="20"/>
      <w:u w:val="none"/>
      <w:shd w:val="clear" w:color="auto" w:fill="auto"/>
      <w:lang w:val="zh-TW" w:eastAsia="zh-TW" w:bidi="zh-TW"/>
    </w:rPr>
  </w:style>
  <w:style w:type="paragraph" w:customStyle="1" w:styleId="13">
    <w:name w:val="Body text|1"/>
    <w:basedOn w:val="1"/>
    <w:qFormat/>
    <w:uiPriority w:val="0"/>
    <w:pPr>
      <w:widowControl w:val="0"/>
      <w:shd w:val="clear" w:color="auto" w:fill="auto"/>
      <w:spacing w:line="420" w:lineRule="auto"/>
      <w:ind w:firstLine="400"/>
    </w:pPr>
    <w:rPr>
      <w:rFonts w:ascii="宋体" w:hAnsi="宋体" w:eastAsia="宋体" w:cs="宋体"/>
      <w:sz w:val="28"/>
      <w:szCs w:val="28"/>
      <w:u w:val="none"/>
      <w:shd w:val="clear" w:color="auto" w:fill="auto"/>
      <w:lang w:val="zh-TW" w:eastAsia="zh-TW" w:bidi="zh-TW"/>
    </w:rPr>
  </w:style>
  <w:style w:type="paragraph" w:customStyle="1" w:styleId="14">
    <w:name w:val="Header or footer|1"/>
    <w:basedOn w:val="1"/>
    <w:qFormat/>
    <w:uiPriority w:val="0"/>
    <w:pPr>
      <w:widowControl w:val="0"/>
      <w:shd w:val="clear" w:color="auto" w:fill="auto"/>
    </w:pPr>
    <w:rPr>
      <w:sz w:val="26"/>
      <w:szCs w:val="26"/>
      <w:u w:val="none"/>
      <w:shd w:val="clear" w:color="auto" w:fill="auto"/>
      <w:lang w:val="zh-TW" w:eastAsia="zh-TW" w:bidi="zh-TW"/>
    </w:rPr>
  </w:style>
  <w:style w:type="paragraph" w:customStyle="1" w:styleId="15">
    <w:name w:val="无间隔11"/>
    <w:qFormat/>
    <w:uiPriority w:val="99"/>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2021-05-26T05:34:54Z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193C4883B8C14BBDA8CB2938390F3166</vt:lpwstr>
  </property>
</Properties>
</file>