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0F314">
      <w:pPr>
        <w:snapToGrid w:val="0"/>
        <w:spacing w:after="120" w:afterLines="50"/>
        <w:jc w:val="center"/>
        <w:rPr>
          <w:rFonts w:eastAsiaTheme="minorEastAsia"/>
          <w:b/>
          <w:color w:val="000000" w:themeColor="text1"/>
          <w:kern w:val="0"/>
          <w:sz w:val="44"/>
          <w:szCs w:val="44"/>
          <w:highlight w:val="none"/>
          <w14:textFill>
            <w14:solidFill>
              <w14:schemeClr w14:val="tx1"/>
            </w14:solidFill>
          </w14:textFill>
        </w:rPr>
      </w:pPr>
    </w:p>
    <w:p w14:paraId="6EBA4844">
      <w:pPr>
        <w:pStyle w:val="16"/>
        <w:rPr>
          <w:color w:val="000000" w:themeColor="text1"/>
          <w:highlight w:val="none"/>
          <w14:textFill>
            <w14:solidFill>
              <w14:schemeClr w14:val="tx1"/>
            </w14:solidFill>
          </w14:textFill>
        </w:rPr>
      </w:pPr>
    </w:p>
    <w:p w14:paraId="7B73383C">
      <w:pPr>
        <w:pStyle w:val="8"/>
        <w:rPr>
          <w:color w:val="000000" w:themeColor="text1"/>
          <w:highlight w:val="none"/>
          <w14:textFill>
            <w14:solidFill>
              <w14:schemeClr w14:val="tx1"/>
            </w14:solidFill>
          </w14:textFill>
        </w:rPr>
      </w:pPr>
    </w:p>
    <w:p w14:paraId="0E41466B">
      <w:pPr>
        <w:pStyle w:val="8"/>
        <w:rPr>
          <w:color w:val="000000" w:themeColor="text1"/>
          <w:highlight w:val="none"/>
          <w14:textFill>
            <w14:solidFill>
              <w14:schemeClr w14:val="tx1"/>
            </w14:solidFill>
          </w14:textFill>
        </w:rPr>
      </w:pPr>
    </w:p>
    <w:p w14:paraId="79372AA5">
      <w:pPr>
        <w:pStyle w:val="16"/>
        <w:rPr>
          <w:rFonts w:ascii="Times New Roman" w:hAnsi="Times New Roman" w:cs="Times New Roman" w:eastAsiaTheme="minorEastAsia"/>
          <w:color w:val="000000" w:themeColor="text1"/>
          <w:highlight w:val="none"/>
          <w14:textFill>
            <w14:solidFill>
              <w14:schemeClr w14:val="tx1"/>
            </w14:solidFill>
          </w14:textFill>
        </w:rPr>
      </w:pPr>
    </w:p>
    <w:p w14:paraId="546BE97C">
      <w:pPr>
        <w:pStyle w:val="16"/>
        <w:rPr>
          <w:rFonts w:ascii="Times New Roman" w:hAnsi="Times New Roman" w:cs="Times New Roman" w:eastAsiaTheme="minorEastAsia"/>
          <w:color w:val="000000" w:themeColor="text1"/>
          <w:highlight w:val="none"/>
          <w14:textFill>
            <w14:solidFill>
              <w14:schemeClr w14:val="tx1"/>
            </w14:solidFill>
          </w14:textFill>
        </w:rPr>
      </w:pPr>
    </w:p>
    <w:p w14:paraId="3CBBC71E">
      <w:pPr>
        <w:keepNext w:val="0"/>
        <w:keepLines w:val="0"/>
        <w:pageBreakBefore w:val="0"/>
        <w:widowControl/>
        <w:kinsoku/>
        <w:wordWrap/>
        <w:overflowPunct/>
        <w:topLinePunct w:val="0"/>
        <w:autoSpaceDE/>
        <w:autoSpaceDN/>
        <w:bidi w:val="0"/>
        <w:adjustRightInd w:val="0"/>
        <w:snapToGrid w:val="0"/>
        <w:spacing w:line="480" w:lineRule="auto"/>
        <w:ind w:firstLine="0" w:firstLineChars="0"/>
        <w:jc w:val="center"/>
        <w:textAlignment w:val="auto"/>
        <w:rPr>
          <w:b w:val="0"/>
          <w:bCs w:val="0"/>
          <w:color w:val="000000" w:themeColor="text1"/>
          <w:sz w:val="48"/>
          <w:szCs w:val="48"/>
          <w:highlight w:val="none"/>
          <w14:textFill>
            <w14:solidFill>
              <w14:schemeClr w14:val="tx1"/>
            </w14:solidFill>
          </w14:textFill>
        </w:rPr>
      </w:pPr>
      <w:r>
        <w:rPr>
          <w:rFonts w:eastAsiaTheme="minorEastAsia"/>
          <w:color w:val="000000" w:themeColor="text1"/>
          <w:sz w:val="36"/>
          <w:szCs w:val="36"/>
          <w:highlight w:val="none"/>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column">
                  <wp:posOffset>-276225</wp:posOffset>
                </wp:positionH>
                <wp:positionV relativeFrom="paragraph">
                  <wp:posOffset>497840</wp:posOffset>
                </wp:positionV>
                <wp:extent cx="6078220" cy="10223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078220" cy="1022350"/>
                        </a:xfrm>
                        <a:prstGeom prst="rect">
                          <a:avLst/>
                        </a:prstGeom>
                        <a:noFill/>
                        <a:ln w="3175">
                          <a:noFill/>
                        </a:ln>
                        <a:effectLst/>
                      </wps:spPr>
                      <wps:txbx>
                        <w:txbxContent>
                          <w:p w14:paraId="454EAF1E">
                            <w:pPr>
                              <w:ind w:left="-120"/>
                              <w:jc w:val="center"/>
                              <w:rPr>
                                <w:rFonts w:eastAsia="黑体"/>
                                <w:b/>
                                <w:color w:val="000000"/>
                                <w:sz w:val="120"/>
                              </w:rPr>
                            </w:pPr>
                            <w:r>
                              <w:rPr>
                                <w:rFonts w:hint="eastAsia" w:eastAsia="黑体"/>
                                <w:b/>
                                <w:color w:val="000000"/>
                                <w:sz w:val="120"/>
                              </w:rPr>
                              <w:t>环境影响报告书</w:t>
                            </w:r>
                          </w:p>
                        </w:txbxContent>
                      </wps:txbx>
                      <wps:bodyPr upright="1"/>
                    </wps:wsp>
                  </a:graphicData>
                </a:graphic>
              </wp:anchor>
            </w:drawing>
          </mc:Choice>
          <mc:Fallback>
            <w:pict>
              <v:shape id="_x0000_s1026" o:spid="_x0000_s1026" o:spt="202" type="#_x0000_t202" style="position:absolute;left:0pt;margin-left:-21.75pt;margin-top:39.2pt;height:80.5pt;width:478.6pt;z-index:251659264;mso-width-relative:page;mso-height-relative:page;" filled="f" stroked="f" coordsize="21600,21600" o:allowincell="f" o:gfxdata="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f4C7raAAAACgEAAA8AAAAAAAAAAQAgAAAAIgAAAGRycy9kb3ducmV2LnhtbFBL&#10;AQIUABQAAAAIAIdO4kDez+bCuwEAAGYDAAAOAAAAAAAAAAEAIAAAACkBAABkcnMvZTJvRG9jLnht&#10;bFBLBQYAAAAABgAGAFkBAABWBQAAAAA=&#10;">
                <v:fill on="f" focussize="0,0"/>
                <v:stroke on="f" weight="0.25pt"/>
                <v:imagedata o:title=""/>
                <o:lock v:ext="edit" aspectratio="f"/>
                <v:textbox>
                  <w:txbxContent>
                    <w:p w14:paraId="454EAF1E">
                      <w:pPr>
                        <w:ind w:left="-120"/>
                        <w:jc w:val="center"/>
                        <w:rPr>
                          <w:rFonts w:eastAsia="黑体"/>
                          <w:b/>
                          <w:color w:val="000000"/>
                          <w:sz w:val="120"/>
                        </w:rPr>
                      </w:pPr>
                      <w:r>
                        <w:rPr>
                          <w:rFonts w:hint="eastAsia" w:eastAsia="黑体"/>
                          <w:b/>
                          <w:color w:val="000000"/>
                          <w:sz w:val="120"/>
                        </w:rPr>
                        <w:t>环境影响报告书</w:t>
                      </w:r>
                    </w:p>
                  </w:txbxContent>
                </v:textbox>
              </v:shape>
            </w:pict>
          </mc:Fallback>
        </mc:AlternateContent>
      </w:r>
      <w:r>
        <w:rPr>
          <w:rFonts w:hint="eastAsia"/>
          <w:b/>
          <w:bCs/>
          <w:color w:val="000000" w:themeColor="text1"/>
          <w:spacing w:val="-11"/>
          <w:sz w:val="36"/>
          <w:szCs w:val="36"/>
          <w:highlight w:val="none"/>
          <w14:textFill>
            <w14:solidFill>
              <w14:schemeClr w14:val="tx1"/>
            </w14:solidFill>
          </w14:textFill>
        </w:rPr>
        <w:t>《网安半岛泥达湖片区产业组团</w:t>
      </w:r>
      <w:r>
        <w:rPr>
          <w:rFonts w:hint="eastAsia"/>
          <w:b/>
          <w:bCs/>
          <w:color w:val="000000" w:themeColor="text1"/>
          <w:spacing w:val="-11"/>
          <w:sz w:val="36"/>
          <w:szCs w:val="36"/>
          <w:highlight w:val="none"/>
          <w:lang w:val="en-US" w:eastAsia="zh-CN"/>
          <w14:textFill>
            <w14:solidFill>
              <w14:schemeClr w14:val="tx1"/>
            </w14:solidFill>
          </w14:textFill>
        </w:rPr>
        <w:t>开发</w:t>
      </w:r>
      <w:r>
        <w:rPr>
          <w:rFonts w:hint="eastAsia"/>
          <w:b/>
          <w:bCs/>
          <w:color w:val="000000" w:themeColor="text1"/>
          <w:spacing w:val="-11"/>
          <w:sz w:val="36"/>
          <w:szCs w:val="36"/>
          <w:highlight w:val="none"/>
          <w14:textFill>
            <w14:solidFill>
              <w14:schemeClr w14:val="tx1"/>
            </w14:solidFill>
          </w14:textFill>
        </w:rPr>
        <w:t>建设规划》</w:t>
      </w:r>
    </w:p>
    <w:p w14:paraId="6DE897E3">
      <w:pPr>
        <w:spacing w:before="72" w:line="1200" w:lineRule="exact"/>
        <w:jc w:val="center"/>
        <w:rPr>
          <w:rFonts w:eastAsiaTheme="minorEastAsia"/>
          <w:color w:val="000000" w:themeColor="text1"/>
          <w:w w:val="70"/>
          <w:kern w:val="0"/>
          <w:sz w:val="44"/>
          <w:highlight w:val="none"/>
          <w14:textFill>
            <w14:solidFill>
              <w14:schemeClr w14:val="tx1"/>
            </w14:solidFill>
          </w14:textFill>
        </w:rPr>
      </w:pPr>
    </w:p>
    <w:p w14:paraId="0F17E19E">
      <w:pPr>
        <w:jc w:val="center"/>
        <w:rPr>
          <w:rFonts w:eastAsiaTheme="minorEastAsia"/>
          <w:b/>
          <w:color w:val="000000" w:themeColor="text1"/>
          <w:kern w:val="0"/>
          <w:highlight w:val="none"/>
          <w14:textFill>
            <w14:solidFill>
              <w14:schemeClr w14:val="tx1"/>
            </w14:solidFill>
          </w14:textFill>
        </w:rPr>
      </w:pPr>
    </w:p>
    <w:p w14:paraId="22373182">
      <w:pPr>
        <w:jc w:val="center"/>
        <w:rPr>
          <w:rFonts w:eastAsiaTheme="minorEastAsia"/>
          <w:color w:val="000000" w:themeColor="text1"/>
          <w:kern w:val="0"/>
          <w:highlight w:val="none"/>
          <w14:textFill>
            <w14:solidFill>
              <w14:schemeClr w14:val="tx1"/>
            </w14:solidFill>
          </w14:textFill>
        </w:rPr>
      </w:pPr>
    </w:p>
    <w:p w14:paraId="3A730A2A">
      <w:pPr>
        <w:rPr>
          <w:rFonts w:eastAsiaTheme="minorEastAsia"/>
          <w:color w:val="000000" w:themeColor="text1"/>
          <w:kern w:val="0"/>
          <w:highlight w:val="none"/>
          <w14:textFill>
            <w14:solidFill>
              <w14:schemeClr w14:val="tx1"/>
            </w14:solidFill>
          </w14:textFill>
        </w:rPr>
      </w:pPr>
    </w:p>
    <w:p w14:paraId="6A59C11A">
      <w:pPr>
        <w:jc w:val="center"/>
        <w:rPr>
          <w:rFonts w:eastAsiaTheme="minorEastAsia"/>
          <w:color w:val="000000" w:themeColor="text1"/>
          <w:kern w:val="0"/>
          <w:sz w:val="28"/>
          <w:szCs w:val="28"/>
          <w:highlight w:val="none"/>
          <w14:textFill>
            <w14:solidFill>
              <w14:schemeClr w14:val="tx1"/>
            </w14:solidFill>
          </w14:textFill>
        </w:rPr>
      </w:pPr>
      <w:r>
        <w:rPr>
          <w:rFonts w:eastAsiaTheme="minorEastAsia"/>
          <w:color w:val="000000" w:themeColor="text1"/>
          <w:kern w:val="0"/>
          <w:sz w:val="28"/>
          <w:szCs w:val="28"/>
          <w:highlight w:val="none"/>
          <w14:textFill>
            <w14:solidFill>
              <w14:schemeClr w14:val="tx1"/>
            </w14:solidFill>
          </w14:textFill>
        </w:rPr>
        <w:t>（征求意见稿）</w:t>
      </w:r>
    </w:p>
    <w:p w14:paraId="1051E61A">
      <w:pPr>
        <w:rPr>
          <w:rFonts w:eastAsiaTheme="minorEastAsia"/>
          <w:color w:val="000000" w:themeColor="text1"/>
          <w:kern w:val="0"/>
          <w:highlight w:val="none"/>
          <w14:textFill>
            <w14:solidFill>
              <w14:schemeClr w14:val="tx1"/>
            </w14:solidFill>
          </w14:textFill>
        </w:rPr>
      </w:pPr>
    </w:p>
    <w:p w14:paraId="30F53D40">
      <w:pPr>
        <w:rPr>
          <w:rFonts w:eastAsiaTheme="minorEastAsia"/>
          <w:color w:val="000000" w:themeColor="text1"/>
          <w:kern w:val="0"/>
          <w:highlight w:val="none"/>
          <w14:textFill>
            <w14:solidFill>
              <w14:schemeClr w14:val="tx1"/>
            </w14:solidFill>
          </w14:textFill>
        </w:rPr>
      </w:pPr>
    </w:p>
    <w:p w14:paraId="4B3B96DE">
      <w:pPr>
        <w:rPr>
          <w:rFonts w:eastAsiaTheme="minorEastAsia"/>
          <w:color w:val="000000" w:themeColor="text1"/>
          <w:kern w:val="0"/>
          <w:highlight w:val="none"/>
          <w14:textFill>
            <w14:solidFill>
              <w14:schemeClr w14:val="tx1"/>
            </w14:solidFill>
          </w14:textFill>
        </w:rPr>
      </w:pPr>
    </w:p>
    <w:p w14:paraId="48179B97">
      <w:pPr>
        <w:rPr>
          <w:rFonts w:eastAsiaTheme="minorEastAsia"/>
          <w:color w:val="000000" w:themeColor="text1"/>
          <w:kern w:val="0"/>
          <w:highlight w:val="none"/>
          <w14:textFill>
            <w14:solidFill>
              <w14:schemeClr w14:val="tx1"/>
            </w14:solidFill>
          </w14:textFill>
        </w:rPr>
      </w:pPr>
    </w:p>
    <w:p w14:paraId="4CB8BAA2">
      <w:pPr>
        <w:rPr>
          <w:rFonts w:eastAsiaTheme="minorEastAsia"/>
          <w:color w:val="000000" w:themeColor="text1"/>
          <w:kern w:val="0"/>
          <w:highlight w:val="none"/>
          <w14:textFill>
            <w14:solidFill>
              <w14:schemeClr w14:val="tx1"/>
            </w14:solidFill>
          </w14:textFill>
        </w:rPr>
      </w:pPr>
    </w:p>
    <w:p w14:paraId="65DCBD54">
      <w:pPr>
        <w:rPr>
          <w:rFonts w:eastAsiaTheme="minorEastAsia"/>
          <w:color w:val="000000" w:themeColor="text1"/>
          <w:kern w:val="0"/>
          <w:highlight w:val="none"/>
          <w14:textFill>
            <w14:solidFill>
              <w14:schemeClr w14:val="tx1"/>
            </w14:solidFill>
          </w14:textFill>
        </w:rPr>
      </w:pPr>
    </w:p>
    <w:p w14:paraId="60582F9B">
      <w:pPr>
        <w:rPr>
          <w:rFonts w:eastAsiaTheme="minorEastAsia"/>
          <w:color w:val="000000" w:themeColor="text1"/>
          <w:kern w:val="0"/>
          <w:highlight w:val="none"/>
          <w14:textFill>
            <w14:solidFill>
              <w14:schemeClr w14:val="tx1"/>
            </w14:solidFill>
          </w14:textFill>
        </w:rPr>
      </w:pPr>
    </w:p>
    <w:p w14:paraId="32274352">
      <w:pPr>
        <w:rPr>
          <w:rFonts w:eastAsiaTheme="minorEastAsia"/>
          <w:color w:val="000000" w:themeColor="text1"/>
          <w:kern w:val="0"/>
          <w:highlight w:val="none"/>
          <w14:textFill>
            <w14:solidFill>
              <w14:schemeClr w14:val="tx1"/>
            </w14:solidFill>
          </w14:textFill>
        </w:rPr>
      </w:pPr>
    </w:p>
    <w:p w14:paraId="274E7DDA">
      <w:pPr>
        <w:rPr>
          <w:rFonts w:eastAsiaTheme="minorEastAsia"/>
          <w:color w:val="000000" w:themeColor="text1"/>
          <w:kern w:val="0"/>
          <w:highlight w:val="none"/>
          <w14:textFill>
            <w14:solidFill>
              <w14:schemeClr w14:val="tx1"/>
            </w14:solidFill>
          </w14:textFill>
        </w:rPr>
      </w:pPr>
    </w:p>
    <w:p w14:paraId="093EDE9A">
      <w:pPr>
        <w:rPr>
          <w:rFonts w:eastAsiaTheme="minorEastAsia"/>
          <w:color w:val="000000" w:themeColor="text1"/>
          <w:kern w:val="0"/>
          <w:highlight w:val="none"/>
          <w14:textFill>
            <w14:solidFill>
              <w14:schemeClr w14:val="tx1"/>
            </w14:solidFill>
          </w14:textFill>
        </w:rPr>
      </w:pPr>
    </w:p>
    <w:p w14:paraId="4BEE7B95">
      <w:pPr>
        <w:rPr>
          <w:rFonts w:eastAsiaTheme="minorEastAsia"/>
          <w:color w:val="000000" w:themeColor="text1"/>
          <w:kern w:val="0"/>
          <w:highlight w:val="none"/>
          <w14:textFill>
            <w14:solidFill>
              <w14:schemeClr w14:val="tx1"/>
            </w14:solidFill>
          </w14:textFill>
        </w:rPr>
      </w:pPr>
    </w:p>
    <w:p w14:paraId="1707E177">
      <w:pPr>
        <w:pStyle w:val="16"/>
        <w:rPr>
          <w:rFonts w:ascii="Times New Roman" w:hAnsi="Times New Roman" w:cs="Times New Roman" w:eastAsiaTheme="minorEastAsia"/>
          <w:color w:val="000000" w:themeColor="text1"/>
          <w:highlight w:val="none"/>
          <w14:textFill>
            <w14:solidFill>
              <w14:schemeClr w14:val="tx1"/>
            </w14:solidFill>
          </w14:textFill>
        </w:rPr>
      </w:pPr>
    </w:p>
    <w:p w14:paraId="24616002">
      <w:pPr>
        <w:pStyle w:val="16"/>
        <w:rPr>
          <w:rFonts w:ascii="Times New Roman" w:hAnsi="Times New Roman" w:cs="Times New Roman" w:eastAsiaTheme="minorEastAsia"/>
          <w:color w:val="000000" w:themeColor="text1"/>
          <w:highlight w:val="none"/>
          <w14:textFill>
            <w14:solidFill>
              <w14:schemeClr w14:val="tx1"/>
            </w14:solidFill>
          </w14:textFill>
        </w:rPr>
      </w:pPr>
    </w:p>
    <w:p w14:paraId="46ACF508">
      <w:pPr>
        <w:pStyle w:val="8"/>
        <w:rPr>
          <w:color w:val="000000" w:themeColor="text1"/>
          <w:highlight w:val="none"/>
          <w14:textFill>
            <w14:solidFill>
              <w14:schemeClr w14:val="tx1"/>
            </w14:solidFill>
          </w14:textFill>
        </w:rPr>
      </w:pPr>
    </w:p>
    <w:p w14:paraId="7441189B">
      <w:pPr>
        <w:pStyle w:val="8"/>
        <w:rPr>
          <w:color w:val="000000" w:themeColor="text1"/>
          <w:highlight w:val="none"/>
          <w14:textFill>
            <w14:solidFill>
              <w14:schemeClr w14:val="tx1"/>
            </w14:solidFill>
          </w14:textFill>
        </w:rPr>
      </w:pPr>
    </w:p>
    <w:p w14:paraId="0059F74F">
      <w:pPr>
        <w:pStyle w:val="8"/>
        <w:rPr>
          <w:color w:val="000000" w:themeColor="text1"/>
          <w:highlight w:val="none"/>
          <w14:textFill>
            <w14:solidFill>
              <w14:schemeClr w14:val="tx1"/>
            </w14:solidFill>
          </w14:textFill>
        </w:rPr>
      </w:pPr>
    </w:p>
    <w:p w14:paraId="16715510">
      <w:pPr>
        <w:pStyle w:val="8"/>
        <w:rPr>
          <w:color w:val="000000" w:themeColor="text1"/>
          <w:highlight w:val="none"/>
          <w14:textFill>
            <w14:solidFill>
              <w14:schemeClr w14:val="tx1"/>
            </w14:solidFill>
          </w14:textFill>
        </w:rPr>
      </w:pPr>
    </w:p>
    <w:p w14:paraId="14D9059B">
      <w:pPr>
        <w:pStyle w:val="8"/>
        <w:rPr>
          <w:color w:val="000000" w:themeColor="text1"/>
          <w:highlight w:val="none"/>
          <w14:textFill>
            <w14:solidFill>
              <w14:schemeClr w14:val="tx1"/>
            </w14:solidFill>
          </w14:textFill>
        </w:rPr>
      </w:pPr>
    </w:p>
    <w:p w14:paraId="64B8D564">
      <w:pPr>
        <w:pStyle w:val="8"/>
        <w:rPr>
          <w:color w:val="000000" w:themeColor="text1"/>
          <w:highlight w:val="none"/>
          <w14:textFill>
            <w14:solidFill>
              <w14:schemeClr w14:val="tx1"/>
            </w14:solidFill>
          </w14:textFill>
        </w:rPr>
      </w:pPr>
    </w:p>
    <w:p w14:paraId="21DF57AB">
      <w:pPr>
        <w:pStyle w:val="8"/>
        <w:rPr>
          <w:color w:val="000000" w:themeColor="text1"/>
          <w:highlight w:val="none"/>
          <w14:textFill>
            <w14:solidFill>
              <w14:schemeClr w14:val="tx1"/>
            </w14:solidFill>
          </w14:textFill>
        </w:rPr>
      </w:pPr>
    </w:p>
    <w:p w14:paraId="10330E38">
      <w:pPr>
        <w:pStyle w:val="8"/>
        <w:rPr>
          <w:color w:val="000000" w:themeColor="text1"/>
          <w:highlight w:val="none"/>
          <w14:textFill>
            <w14:solidFill>
              <w14:schemeClr w14:val="tx1"/>
            </w14:solidFill>
          </w14:textFill>
        </w:rPr>
      </w:pPr>
    </w:p>
    <w:p w14:paraId="11B53EAE">
      <w:pPr>
        <w:pStyle w:val="16"/>
        <w:rPr>
          <w:rFonts w:ascii="Times New Roman" w:hAnsi="Times New Roman" w:cs="Times New Roman" w:eastAsiaTheme="minorEastAsia"/>
          <w:color w:val="000000" w:themeColor="text1"/>
          <w:highlight w:val="none"/>
          <w14:textFill>
            <w14:solidFill>
              <w14:schemeClr w14:val="tx1"/>
            </w14:solidFill>
          </w14:textFill>
        </w:rPr>
      </w:pPr>
    </w:p>
    <w:p w14:paraId="713265DC">
      <w:pPr>
        <w:rPr>
          <w:rFonts w:eastAsiaTheme="minorEastAsia"/>
          <w:color w:val="000000" w:themeColor="text1"/>
          <w:kern w:val="0"/>
          <w:highlight w:val="none"/>
          <w14:textFill>
            <w14:solidFill>
              <w14:schemeClr w14:val="tx1"/>
            </w14:solidFill>
          </w14:textFill>
        </w:rPr>
      </w:pPr>
    </w:p>
    <w:p w14:paraId="357AA228">
      <w:pPr>
        <w:rPr>
          <w:rFonts w:eastAsiaTheme="minorEastAsia"/>
          <w:color w:val="000000" w:themeColor="text1"/>
          <w:kern w:val="0"/>
          <w:highlight w:val="none"/>
          <w14:textFill>
            <w14:solidFill>
              <w14:schemeClr w14:val="tx1"/>
            </w14:solidFill>
          </w14:textFill>
        </w:rPr>
      </w:pPr>
    </w:p>
    <w:p w14:paraId="3CABAE79">
      <w:pPr>
        <w:rPr>
          <w:rFonts w:eastAsiaTheme="minorEastAsia"/>
          <w:color w:val="000000" w:themeColor="text1"/>
          <w:kern w:val="0"/>
          <w:highlight w:val="none"/>
          <w14:textFill>
            <w14:solidFill>
              <w14:schemeClr w14:val="tx1"/>
            </w14:solidFill>
          </w14:textFill>
        </w:rPr>
      </w:pPr>
    </w:p>
    <w:p w14:paraId="21513EE9">
      <w:pPr>
        <w:rPr>
          <w:rFonts w:eastAsiaTheme="minorEastAsia"/>
          <w:color w:val="000000" w:themeColor="text1"/>
          <w:kern w:val="0"/>
          <w:highlight w:val="none"/>
          <w14:textFill>
            <w14:solidFill>
              <w14:schemeClr w14:val="tx1"/>
            </w14:solidFill>
          </w14:textFill>
        </w:rPr>
      </w:pPr>
    </w:p>
    <w:p w14:paraId="44E73A26">
      <w:pPr>
        <w:rPr>
          <w:rFonts w:eastAsiaTheme="minorEastAsia"/>
          <w:color w:val="000000" w:themeColor="text1"/>
          <w:kern w:val="0"/>
          <w:highlight w:val="none"/>
          <w14:textFill>
            <w14:solidFill>
              <w14:schemeClr w14:val="tx1"/>
            </w14:solidFill>
          </w14:textFill>
        </w:rPr>
      </w:pPr>
    </w:p>
    <w:p w14:paraId="75AEA4E9">
      <w:pPr>
        <w:ind w:firstLine="700" w:firstLineChars="250"/>
        <w:rPr>
          <w:rFonts w:eastAsiaTheme="minorEastAsia"/>
          <w:color w:val="000000" w:themeColor="text1"/>
          <w:spacing w:val="-20"/>
          <w:sz w:val="32"/>
          <w:szCs w:val="32"/>
          <w:highlight w:val="none"/>
          <w14:textFill>
            <w14:solidFill>
              <w14:schemeClr w14:val="tx1"/>
            </w14:solidFill>
          </w14:textFill>
        </w:rPr>
      </w:pPr>
    </w:p>
    <w:p w14:paraId="45F97D88">
      <w:pPr>
        <w:keepNext w:val="0"/>
        <w:keepLines w:val="0"/>
        <w:pageBreakBefore w:val="0"/>
        <w:widowControl/>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r>
        <w:rPr>
          <w:rFonts w:hint="eastAsia"/>
          <w:b/>
          <w:bCs/>
          <w:color w:val="000000" w:themeColor="text1"/>
          <w:sz w:val="32"/>
          <w:szCs w:val="32"/>
          <w:highlight w:val="none"/>
          <w:lang w:val="en-US" w:eastAsia="zh-CN"/>
          <w14:textFill>
            <w14:solidFill>
              <w14:schemeClr w14:val="tx1"/>
            </w14:solidFill>
          </w14:textFill>
        </w:rPr>
        <w:t>2026年7月</w:t>
      </w:r>
    </w:p>
    <w:p w14:paraId="549050EC">
      <w:pPr>
        <w:ind w:firstLine="800" w:firstLineChars="250"/>
        <w:rPr>
          <w:rFonts w:eastAsiaTheme="minorEastAsia"/>
          <w:color w:val="000000" w:themeColor="text1"/>
          <w:sz w:val="32"/>
          <w:szCs w:val="32"/>
          <w:highlight w:val="none"/>
          <w14:textFill>
            <w14:solidFill>
              <w14:schemeClr w14:val="tx1"/>
            </w14:solidFill>
          </w14:textFill>
        </w:rPr>
      </w:pPr>
    </w:p>
    <w:p w14:paraId="78AB7B5C">
      <w:pPr>
        <w:ind w:firstLine="800" w:firstLineChars="250"/>
        <w:rPr>
          <w:rFonts w:eastAsiaTheme="minorEastAsia"/>
          <w:color w:val="000000" w:themeColor="text1"/>
          <w:sz w:val="32"/>
          <w:szCs w:val="32"/>
          <w:highlight w:val="none"/>
          <w14:textFill>
            <w14:solidFill>
              <w14:schemeClr w14:val="tx1"/>
            </w14:solidFill>
          </w14:textFill>
        </w:rPr>
      </w:pPr>
    </w:p>
    <w:p w14:paraId="16300395">
      <w:pPr>
        <w:pStyle w:val="17"/>
        <w:pageBreakBefore/>
        <w:rPr>
          <w:rFonts w:eastAsiaTheme="minorEastAsia"/>
          <w:color w:val="000000" w:themeColor="text1"/>
          <w:spacing w:val="28"/>
          <w:szCs w:val="32"/>
          <w:highlight w:val="none"/>
          <w14:textFill>
            <w14:solidFill>
              <w14:schemeClr w14:val="tx1"/>
            </w14:solidFill>
          </w14:textFill>
        </w:rPr>
      </w:pPr>
      <w:r>
        <w:rPr>
          <w:rFonts w:eastAsiaTheme="minorEastAsia"/>
          <w:color w:val="000000" w:themeColor="text1"/>
          <w:spacing w:val="28"/>
          <w:szCs w:val="32"/>
          <w:highlight w:val="none"/>
          <w14:textFill>
            <w14:solidFill>
              <w14:schemeClr w14:val="tx1"/>
            </w14:solidFill>
          </w14:textFill>
        </w:rPr>
        <w:t>目  录</w:t>
      </w:r>
    </w:p>
    <w:p w14:paraId="658EDEC2">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TOC \o "1-2" \h \u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_Toc25504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1.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总则</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_Toc25504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27161DFC">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_Toc32015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2.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规划概述与分析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_Toc32015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2251CC02">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_Toc18540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2.1.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规划概述</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_Toc18540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656C2F9">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_Toc10246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2.2.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规划协调性分析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_Toc10246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70CF9AE">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_Toc27158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3.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现状调查与评价</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_Toc27158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40E76270">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_Toc20350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3.1.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环境质量现状调查与评价</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_Toc20350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26525069">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_Toc29169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3.2.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区域开发现状及污染源现状</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_Toc29169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B2DCE52">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_Toc21060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3.3.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环境基础设施现状</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_Toc21060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D42754E">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_Toc23351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3.4.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环境管理现状</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_Toc23351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93E4A70">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_Toc32710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3.5.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资源能源开发利用现状调查</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_Toc32710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1C92C13">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_Toc23634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4.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环境影响预测与评价</w:t>
      </w:r>
      <w:bookmarkStart w:id="378" w:name="_GoBack"/>
      <w:bookmarkEnd w:id="378"/>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_Toc23634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11</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79DC88A0">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_Toc3762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4.1.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大气环境影响分析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_Toc3762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11</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033955FD">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_Toc27514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4.2.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地表水环境影响分析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_Toc27514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541C7790">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_Toc21910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4.3.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地下水环境影响分析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_Toc21910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1B6EEA7">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_Toc16725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4.4.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声环境影响分析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_Toc16725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13</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05890E3A">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_Toc15757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4.5.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土壤环境影响分析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_Toc15757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14</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2DF11046">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_Toc4470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4.6.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固废环境影响分析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_Toc4470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90C3A3E">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_Toc26424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4.7.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生态环境影响分析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_Toc26424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64CA522B">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_Toc12269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4.8.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环境风险影响分析</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_Toc12269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483F48D7">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_Toc31890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5.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规划方案综合论证和优化调整建议</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_Toc31890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538C82B7">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_Toc21576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5.1.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规划方案综合论证</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_Toc21576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18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44CCCA65">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_Toc15974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5.2.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规划调整建议</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_Toc15974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21</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00DACB4A">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_Toc28089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6.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不良环境影响减缓对策措施与协同降碳建议</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_Toc28089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432AC16F">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_Toc4717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6.1.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资源节约利用措施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_Toc4717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7FA721B1">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_Toc22838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6.2.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碳减排</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_Toc22838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8225021">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_Toc16222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6.3.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环境风险防范措施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_Toc16222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40B54F8D">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_Toc4558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6.4.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大气污染预防与控制措施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_Toc4558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5CEBC65">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_Toc11892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6.5.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地表水污染预防与控制措施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_Toc11892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7CAB02FE">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_Toc29842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6.6.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地下水及土壤污染预防与控制措施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_Toc29842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26</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7DED3CFD">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_Toc1593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6.7.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噪声污染预防与控制措施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_Toc1593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27</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7C93B306">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_Toc15542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6.8.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固废污染预防与控制措施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_Toc15542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27</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128626DE">
      <w:pPr>
        <w:pStyle w:val="11"/>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_Toc20629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kern w:val="0"/>
          <w:sz w:val="24"/>
          <w:szCs w:val="24"/>
          <w14:textFill>
            <w14:solidFill>
              <w14:schemeClr w14:val="tx1"/>
            </w14:solidFill>
          </w14:textFill>
        </w:rPr>
        <w:t xml:space="preserve">6.9. </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生态环境保护措施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_Toc20629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27</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013AF5DF">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_Toc16864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7.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环境管理与环境准入</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_Toc16864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28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57C403FE">
      <w:pPr>
        <w:pStyle w:val="10"/>
        <w:tabs>
          <w:tab w:val="right" w:leader="dot" w:pos="8300"/>
        </w:tabs>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HYPERLINK \l _Toc11896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8.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结论</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_Toc11896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30</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219C9060">
      <w:pPr>
        <w:pStyle w:val="18"/>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14:paraId="0E5B8440">
      <w:pPr>
        <w:rPr>
          <w:rFonts w:hint="default" w:ascii="Times New Roman" w:hAnsi="Times New Roman" w:cs="Times New Roman" w:eastAsiaTheme="minorEastAsia"/>
          <w:color w:val="000000" w:themeColor="text1"/>
          <w:sz w:val="24"/>
          <w:szCs w:val="24"/>
          <w:highlight w:val="none"/>
          <w14:textFill>
            <w14:solidFill>
              <w14:schemeClr w14:val="tx1"/>
            </w14:solidFill>
          </w14:textFill>
        </w:rPr>
        <w:sectPr>
          <w:footerReference r:id="rId3" w:type="default"/>
          <w:pgSz w:w="11906" w:h="16838"/>
          <w:pgMar w:top="1440" w:right="1803" w:bottom="1440" w:left="1803" w:header="624" w:footer="737" w:gutter="0"/>
          <w:pgNumType w:fmt="upperRoman" w:start="1"/>
          <w:cols w:space="720" w:num="1"/>
          <w:docGrid w:linePitch="312" w:charSpace="0"/>
        </w:sectPr>
      </w:pPr>
    </w:p>
    <w:p w14:paraId="67ED48C4">
      <w:pPr>
        <w:pStyle w:val="2"/>
        <w:pageBreakBefore/>
        <w:tabs>
          <w:tab w:val="clear" w:pos="1701"/>
        </w:tabs>
        <w:ind w:left="425"/>
        <w:rPr>
          <w:rFonts w:eastAsiaTheme="minorEastAsia"/>
          <w:color w:val="000000" w:themeColor="text1"/>
          <w:highlight w:val="none"/>
          <w14:textFill>
            <w14:solidFill>
              <w14:schemeClr w14:val="tx1"/>
            </w14:solidFill>
          </w14:textFill>
        </w:rPr>
      </w:pPr>
      <w:bookmarkStart w:id="0" w:name="_Toc96067524"/>
      <w:bookmarkEnd w:id="0"/>
      <w:bookmarkStart w:id="1" w:name="_Toc96067520"/>
      <w:bookmarkEnd w:id="1"/>
      <w:bookmarkStart w:id="2" w:name="_Toc96067416"/>
      <w:bookmarkEnd w:id="2"/>
      <w:bookmarkStart w:id="3" w:name="_Toc96067688"/>
      <w:bookmarkEnd w:id="3"/>
      <w:bookmarkStart w:id="4" w:name="_Toc96067133"/>
      <w:bookmarkEnd w:id="4"/>
      <w:bookmarkStart w:id="5" w:name="_Toc96067691"/>
      <w:bookmarkEnd w:id="5"/>
      <w:bookmarkStart w:id="6" w:name="_Toc96067429"/>
      <w:bookmarkEnd w:id="6"/>
      <w:bookmarkStart w:id="7" w:name="_Toc96067104"/>
      <w:bookmarkEnd w:id="7"/>
      <w:bookmarkStart w:id="8" w:name="_Toc96067099"/>
      <w:bookmarkEnd w:id="8"/>
      <w:bookmarkStart w:id="9" w:name="_Toc96067103"/>
      <w:bookmarkEnd w:id="9"/>
      <w:bookmarkStart w:id="10" w:name="_Toc96067184"/>
      <w:bookmarkEnd w:id="10"/>
      <w:bookmarkStart w:id="11" w:name="_Toc96067435"/>
      <w:bookmarkEnd w:id="11"/>
      <w:bookmarkStart w:id="12" w:name="_Toc96067690"/>
      <w:bookmarkEnd w:id="12"/>
      <w:bookmarkStart w:id="13" w:name="_Toc96067112"/>
      <w:bookmarkEnd w:id="13"/>
      <w:bookmarkStart w:id="14" w:name="_Toc96067040"/>
      <w:bookmarkEnd w:id="14"/>
      <w:bookmarkStart w:id="15" w:name="_Toc96067687"/>
      <w:bookmarkEnd w:id="15"/>
      <w:bookmarkStart w:id="16" w:name="_Toc96067695"/>
      <w:bookmarkEnd w:id="16"/>
      <w:bookmarkStart w:id="17" w:name="_Toc96067129"/>
      <w:bookmarkEnd w:id="17"/>
      <w:bookmarkStart w:id="18" w:name="_Toc96067176"/>
      <w:bookmarkEnd w:id="18"/>
      <w:bookmarkStart w:id="19" w:name="_Toc96067637"/>
      <w:bookmarkEnd w:id="19"/>
      <w:bookmarkStart w:id="20" w:name="_Toc96067126"/>
      <w:bookmarkEnd w:id="20"/>
      <w:bookmarkStart w:id="21" w:name="_Toc96067191"/>
      <w:bookmarkEnd w:id="21"/>
      <w:bookmarkStart w:id="22" w:name="_Toc96067077"/>
      <w:bookmarkEnd w:id="22"/>
      <w:bookmarkStart w:id="23" w:name="_Toc96067064"/>
      <w:bookmarkEnd w:id="23"/>
      <w:bookmarkStart w:id="24" w:name="_Toc96067638"/>
      <w:bookmarkEnd w:id="24"/>
      <w:bookmarkStart w:id="25" w:name="_Toc96067048"/>
      <w:bookmarkEnd w:id="25"/>
      <w:bookmarkStart w:id="26" w:name="_Toc96067130"/>
      <w:bookmarkEnd w:id="26"/>
      <w:bookmarkStart w:id="27" w:name="_Toc96067692"/>
      <w:bookmarkEnd w:id="27"/>
      <w:bookmarkStart w:id="28" w:name="_Toc96067510"/>
      <w:bookmarkEnd w:id="28"/>
      <w:bookmarkStart w:id="29" w:name="_Toc96067512"/>
      <w:bookmarkEnd w:id="29"/>
      <w:bookmarkStart w:id="30" w:name="_Toc96067532"/>
      <w:bookmarkEnd w:id="30"/>
      <w:bookmarkStart w:id="31" w:name="_Toc96067522"/>
      <w:bookmarkEnd w:id="31"/>
      <w:bookmarkStart w:id="32" w:name="_Toc96067181"/>
      <w:bookmarkEnd w:id="32"/>
      <w:bookmarkStart w:id="33" w:name="_Toc96067431"/>
      <w:bookmarkEnd w:id="33"/>
      <w:bookmarkStart w:id="34" w:name="_Toc96067398"/>
      <w:bookmarkEnd w:id="34"/>
      <w:bookmarkStart w:id="35" w:name="_Toc96067187"/>
      <w:bookmarkEnd w:id="35"/>
      <w:bookmarkStart w:id="36" w:name="_Toc96067047"/>
      <w:bookmarkEnd w:id="36"/>
      <w:bookmarkStart w:id="37" w:name="_Toc96067074"/>
      <w:bookmarkEnd w:id="37"/>
      <w:bookmarkStart w:id="38" w:name="_Toc96067071"/>
      <w:bookmarkEnd w:id="38"/>
      <w:bookmarkStart w:id="39" w:name="_Toc96067422"/>
      <w:bookmarkEnd w:id="39"/>
      <w:bookmarkStart w:id="40" w:name="_Toc96067190"/>
      <w:bookmarkEnd w:id="40"/>
      <w:bookmarkStart w:id="41" w:name="_Toc96067035"/>
      <w:bookmarkEnd w:id="41"/>
      <w:bookmarkStart w:id="42" w:name="_Toc96067350"/>
      <w:bookmarkEnd w:id="42"/>
      <w:bookmarkStart w:id="43" w:name="_Toc96067177"/>
      <w:bookmarkEnd w:id="43"/>
      <w:bookmarkStart w:id="44" w:name="_Toc96067111"/>
      <w:bookmarkEnd w:id="44"/>
      <w:bookmarkStart w:id="45" w:name="_Toc96067684"/>
      <w:bookmarkEnd w:id="45"/>
      <w:bookmarkStart w:id="46" w:name="_Toc96067694"/>
      <w:bookmarkEnd w:id="46"/>
      <w:bookmarkStart w:id="47" w:name="_Toc96067314"/>
      <w:bookmarkEnd w:id="47"/>
      <w:bookmarkStart w:id="48" w:name="_Toc96067132"/>
      <w:bookmarkEnd w:id="48"/>
      <w:bookmarkStart w:id="49" w:name="_Toc96067295"/>
      <w:bookmarkEnd w:id="49"/>
      <w:bookmarkStart w:id="50" w:name="_Toc96067434"/>
      <w:bookmarkEnd w:id="50"/>
      <w:bookmarkStart w:id="51" w:name="_Toc96067102"/>
      <w:bookmarkEnd w:id="51"/>
      <w:bookmarkStart w:id="52" w:name="_Toc96067095"/>
      <w:bookmarkEnd w:id="52"/>
      <w:bookmarkStart w:id="53" w:name="_Toc96067320"/>
      <w:bookmarkEnd w:id="53"/>
      <w:bookmarkStart w:id="54" w:name="_Toc96067044"/>
      <w:bookmarkEnd w:id="54"/>
      <w:bookmarkStart w:id="55" w:name="_Toc96067448"/>
      <w:bookmarkEnd w:id="55"/>
      <w:bookmarkStart w:id="56" w:name="_Toc96067338"/>
      <w:bookmarkEnd w:id="56"/>
      <w:bookmarkStart w:id="57" w:name="_Toc96067101"/>
      <w:bookmarkEnd w:id="57"/>
      <w:bookmarkStart w:id="58" w:name="_Toc96067122"/>
      <w:bookmarkEnd w:id="58"/>
      <w:bookmarkStart w:id="59" w:name="_Toc96067113"/>
      <w:bookmarkEnd w:id="59"/>
      <w:bookmarkStart w:id="60" w:name="_Toc96067534"/>
      <w:bookmarkEnd w:id="60"/>
      <w:bookmarkStart w:id="61" w:name="_Toc96067446"/>
      <w:bookmarkEnd w:id="61"/>
      <w:bookmarkStart w:id="62" w:name="_Toc96067507"/>
      <w:bookmarkEnd w:id="62"/>
      <w:bookmarkStart w:id="63" w:name="_Toc96067062"/>
      <w:bookmarkEnd w:id="63"/>
      <w:bookmarkStart w:id="64" w:name="bookmark1"/>
      <w:bookmarkEnd w:id="64"/>
      <w:bookmarkStart w:id="65" w:name="_Toc96067076"/>
      <w:bookmarkEnd w:id="65"/>
      <w:bookmarkStart w:id="66" w:name="_Toc96067078"/>
      <w:bookmarkEnd w:id="66"/>
      <w:bookmarkStart w:id="67" w:name="_Toc96067518"/>
      <w:bookmarkEnd w:id="67"/>
      <w:bookmarkStart w:id="68" w:name="_Toc96067034"/>
      <w:bookmarkEnd w:id="68"/>
      <w:bookmarkStart w:id="69" w:name="_Toc96067117"/>
      <w:bookmarkEnd w:id="69"/>
      <w:bookmarkStart w:id="70" w:name="_Toc96067055"/>
      <w:bookmarkEnd w:id="70"/>
      <w:bookmarkStart w:id="71" w:name="_Toc96067678"/>
      <w:bookmarkEnd w:id="71"/>
      <w:bookmarkStart w:id="72" w:name="_Toc96067049"/>
      <w:bookmarkEnd w:id="72"/>
      <w:bookmarkStart w:id="73" w:name="_Toc96067139"/>
      <w:bookmarkEnd w:id="73"/>
      <w:bookmarkStart w:id="74" w:name="_Toc96067050"/>
      <w:bookmarkEnd w:id="74"/>
      <w:bookmarkStart w:id="75" w:name="_Toc96067693"/>
      <w:bookmarkEnd w:id="75"/>
      <w:bookmarkStart w:id="76" w:name="_Toc96067658"/>
      <w:bookmarkEnd w:id="76"/>
      <w:bookmarkStart w:id="77" w:name="_Toc96067451"/>
      <w:bookmarkEnd w:id="77"/>
      <w:bookmarkStart w:id="78" w:name="_Toc96067410"/>
      <w:bookmarkEnd w:id="78"/>
      <w:bookmarkStart w:id="79" w:name="_Toc96067109"/>
      <w:bookmarkEnd w:id="79"/>
      <w:bookmarkStart w:id="80" w:name="_Toc96067452"/>
      <w:bookmarkEnd w:id="80"/>
      <w:bookmarkStart w:id="81" w:name="_Toc96067291"/>
      <w:bookmarkEnd w:id="81"/>
      <w:bookmarkStart w:id="82" w:name="_Toc96067110"/>
      <w:bookmarkEnd w:id="82"/>
      <w:bookmarkStart w:id="83" w:name="_Toc96067123"/>
      <w:bookmarkEnd w:id="83"/>
      <w:bookmarkStart w:id="84" w:name="_Toc96067192"/>
      <w:bookmarkEnd w:id="84"/>
      <w:bookmarkStart w:id="85" w:name="_Toc96067526"/>
      <w:bookmarkEnd w:id="85"/>
      <w:bookmarkStart w:id="86" w:name="_Toc96067633"/>
      <w:bookmarkEnd w:id="86"/>
      <w:bookmarkStart w:id="87" w:name="_Toc96067636"/>
      <w:bookmarkEnd w:id="87"/>
      <w:bookmarkStart w:id="88" w:name="_Toc96067058"/>
      <w:bookmarkEnd w:id="88"/>
      <w:bookmarkStart w:id="89" w:name="_Toc96067450"/>
      <w:bookmarkEnd w:id="89"/>
      <w:bookmarkStart w:id="90" w:name="_Toc96067374"/>
      <w:bookmarkEnd w:id="90"/>
      <w:bookmarkStart w:id="91" w:name="_Toc96067063"/>
      <w:bookmarkEnd w:id="91"/>
      <w:bookmarkStart w:id="92" w:name="_Toc96067080"/>
      <w:bookmarkEnd w:id="92"/>
      <w:bookmarkStart w:id="93" w:name="_Toc96067677"/>
      <w:bookmarkEnd w:id="93"/>
      <w:bookmarkStart w:id="94" w:name="_Toc96067443"/>
      <w:bookmarkEnd w:id="94"/>
      <w:bookmarkStart w:id="95" w:name="_Toc96067180"/>
      <w:bookmarkEnd w:id="95"/>
      <w:bookmarkStart w:id="96" w:name="_Toc56179973"/>
      <w:bookmarkEnd w:id="96"/>
      <w:bookmarkStart w:id="97" w:name="_Toc96067137"/>
      <w:bookmarkEnd w:id="97"/>
      <w:bookmarkStart w:id="98" w:name="_Toc96067456"/>
      <w:bookmarkEnd w:id="98"/>
      <w:bookmarkStart w:id="99" w:name="_Toc96067059"/>
      <w:bookmarkEnd w:id="99"/>
      <w:bookmarkStart w:id="100" w:name="_Toc96067683"/>
      <w:bookmarkEnd w:id="100"/>
      <w:bookmarkStart w:id="101" w:name="_Toc96067093"/>
      <w:bookmarkEnd w:id="101"/>
      <w:bookmarkStart w:id="102" w:name="_Toc96067449"/>
      <w:bookmarkEnd w:id="102"/>
      <w:bookmarkStart w:id="103" w:name="_Toc96067428"/>
      <w:bookmarkEnd w:id="103"/>
      <w:bookmarkStart w:id="104" w:name="_Toc96067066"/>
      <w:bookmarkEnd w:id="104"/>
      <w:bookmarkStart w:id="105" w:name="_Toc96067462"/>
      <w:bookmarkEnd w:id="105"/>
      <w:bookmarkStart w:id="106" w:name="_Toc96067457"/>
      <w:bookmarkEnd w:id="106"/>
      <w:bookmarkStart w:id="107" w:name="_Toc96067442"/>
      <w:bookmarkEnd w:id="107"/>
      <w:bookmarkStart w:id="108" w:name="_Toc96067679"/>
      <w:bookmarkEnd w:id="108"/>
      <w:bookmarkStart w:id="109" w:name="_Toc96067189"/>
      <w:bookmarkEnd w:id="109"/>
      <w:bookmarkStart w:id="110" w:name="_Toc96067689"/>
      <w:bookmarkEnd w:id="110"/>
      <w:bookmarkStart w:id="111" w:name="_Toc96067454"/>
      <w:bookmarkEnd w:id="111"/>
      <w:bookmarkStart w:id="112" w:name="_Toc96066983"/>
      <w:bookmarkEnd w:id="112"/>
      <w:bookmarkStart w:id="113" w:name="_Toc96067392"/>
      <w:bookmarkEnd w:id="113"/>
      <w:bookmarkStart w:id="114" w:name="_Toc96067082"/>
      <w:bookmarkEnd w:id="114"/>
      <w:bookmarkStart w:id="115" w:name="_Toc96067179"/>
      <w:bookmarkEnd w:id="115"/>
      <w:bookmarkStart w:id="116" w:name="_Toc96067362"/>
      <w:bookmarkEnd w:id="116"/>
      <w:bookmarkStart w:id="117" w:name="_Toc96067696"/>
      <w:bookmarkEnd w:id="117"/>
      <w:bookmarkStart w:id="118" w:name="_Toc96067632"/>
      <w:bookmarkEnd w:id="118"/>
      <w:bookmarkStart w:id="119" w:name="_Toc96067092"/>
      <w:bookmarkEnd w:id="119"/>
      <w:bookmarkStart w:id="120" w:name="_Toc96067515"/>
      <w:bookmarkEnd w:id="120"/>
      <w:bookmarkStart w:id="121" w:name="_Toc96067042"/>
      <w:bookmarkEnd w:id="121"/>
      <w:bookmarkStart w:id="122" w:name="_Toc96067440"/>
      <w:bookmarkEnd w:id="122"/>
      <w:bookmarkStart w:id="123" w:name="_Toc96067525"/>
      <w:bookmarkEnd w:id="123"/>
      <w:bookmarkStart w:id="124" w:name="_Toc96067079"/>
      <w:bookmarkEnd w:id="124"/>
      <w:bookmarkStart w:id="125" w:name="_Toc96067096"/>
      <w:bookmarkEnd w:id="125"/>
      <w:bookmarkStart w:id="126" w:name="_Toc96067447"/>
      <w:bookmarkEnd w:id="126"/>
      <w:bookmarkStart w:id="127" w:name="_Toc96067514"/>
      <w:bookmarkEnd w:id="127"/>
      <w:bookmarkStart w:id="128" w:name="_Toc96067647"/>
      <w:bookmarkEnd w:id="128"/>
      <w:bookmarkStart w:id="129" w:name="_Toc96067437"/>
      <w:bookmarkEnd w:id="129"/>
      <w:bookmarkStart w:id="130" w:name="_Toc96067635"/>
      <w:bookmarkEnd w:id="130"/>
      <w:bookmarkStart w:id="131" w:name="_Toc96067516"/>
      <w:bookmarkEnd w:id="131"/>
      <w:bookmarkStart w:id="132" w:name="_Toc96067127"/>
      <w:bookmarkEnd w:id="132"/>
      <w:bookmarkStart w:id="133" w:name="_Toc96067088"/>
      <w:bookmarkEnd w:id="133"/>
      <w:bookmarkStart w:id="134" w:name="_Toc96067178"/>
      <w:bookmarkEnd w:id="134"/>
      <w:bookmarkStart w:id="135" w:name="_Toc96067033"/>
      <w:bookmarkEnd w:id="135"/>
      <w:bookmarkStart w:id="136" w:name="_Toc96067038"/>
      <w:bookmarkEnd w:id="136"/>
      <w:bookmarkStart w:id="137" w:name="_Toc96067430"/>
      <w:bookmarkEnd w:id="137"/>
      <w:bookmarkStart w:id="138" w:name="_Toc96067094"/>
      <w:bookmarkEnd w:id="138"/>
      <w:bookmarkStart w:id="139" w:name="_Toc96067118"/>
      <w:bookmarkEnd w:id="139"/>
      <w:bookmarkStart w:id="140" w:name="_Toc96067131"/>
      <w:bookmarkEnd w:id="140"/>
      <w:bookmarkStart w:id="141" w:name="_Toc96067529"/>
      <w:bookmarkEnd w:id="141"/>
      <w:bookmarkStart w:id="142" w:name="_Toc96067039"/>
      <w:bookmarkEnd w:id="142"/>
      <w:bookmarkStart w:id="143" w:name="_Toc96067509"/>
      <w:bookmarkEnd w:id="143"/>
      <w:bookmarkStart w:id="144" w:name="_Toc96067380"/>
      <w:bookmarkEnd w:id="144"/>
      <w:bookmarkStart w:id="145" w:name="_Toc96067293"/>
      <w:bookmarkEnd w:id="145"/>
      <w:bookmarkStart w:id="146" w:name="_Toc96067432"/>
      <w:bookmarkEnd w:id="146"/>
      <w:bookmarkStart w:id="147" w:name="_Toc96067676"/>
      <w:bookmarkEnd w:id="147"/>
      <w:bookmarkStart w:id="148" w:name="_Toc96067436"/>
      <w:bookmarkEnd w:id="148"/>
      <w:bookmarkStart w:id="149" w:name="_Toc96067513"/>
      <w:bookmarkEnd w:id="149"/>
      <w:bookmarkStart w:id="150" w:name="_Toc96067460"/>
      <w:bookmarkEnd w:id="150"/>
      <w:bookmarkStart w:id="151" w:name="_Toc96067043"/>
      <w:bookmarkEnd w:id="151"/>
      <w:bookmarkStart w:id="152" w:name="_Toc96067488"/>
      <w:bookmarkEnd w:id="152"/>
      <w:bookmarkStart w:id="153" w:name="_Toc96067506"/>
      <w:bookmarkEnd w:id="153"/>
      <w:bookmarkStart w:id="154" w:name="_Toc96067368"/>
      <w:bookmarkEnd w:id="154"/>
      <w:bookmarkStart w:id="155" w:name="_Toc96067124"/>
      <w:bookmarkEnd w:id="155"/>
      <w:bookmarkStart w:id="156" w:name="_Toc96067681"/>
      <w:bookmarkEnd w:id="156"/>
      <w:bookmarkStart w:id="157" w:name="_Toc96067597"/>
      <w:bookmarkEnd w:id="157"/>
      <w:bookmarkStart w:id="158" w:name="_Toc96067296"/>
      <w:bookmarkEnd w:id="158"/>
      <w:bookmarkStart w:id="159" w:name="_Toc96067533"/>
      <w:bookmarkEnd w:id="159"/>
      <w:bookmarkStart w:id="160" w:name="_Toc96067459"/>
      <w:bookmarkEnd w:id="160"/>
      <w:bookmarkStart w:id="161" w:name="_Toc96067530"/>
      <w:bookmarkEnd w:id="161"/>
      <w:bookmarkStart w:id="162" w:name="_Toc96067572"/>
      <w:bookmarkEnd w:id="162"/>
      <w:bookmarkStart w:id="163" w:name="_Toc96067075"/>
      <w:bookmarkEnd w:id="163"/>
      <w:bookmarkStart w:id="164" w:name="_Toc96067072"/>
      <w:bookmarkEnd w:id="164"/>
      <w:bookmarkStart w:id="165" w:name="_Toc96067527"/>
      <w:bookmarkEnd w:id="165"/>
      <w:bookmarkStart w:id="166" w:name="_Toc96067519"/>
      <w:bookmarkEnd w:id="166"/>
      <w:bookmarkStart w:id="167" w:name="_Toc96067455"/>
      <w:bookmarkEnd w:id="167"/>
      <w:bookmarkStart w:id="168" w:name="_Toc96067037"/>
      <w:bookmarkEnd w:id="168"/>
      <w:bookmarkStart w:id="169" w:name="_Toc96067087"/>
      <w:bookmarkEnd w:id="169"/>
      <w:bookmarkStart w:id="170" w:name="_Toc96067182"/>
      <w:bookmarkEnd w:id="170"/>
      <w:bookmarkStart w:id="171" w:name="_Toc96067308"/>
      <w:bookmarkEnd w:id="171"/>
      <w:bookmarkStart w:id="172" w:name="_Toc96067073"/>
      <w:bookmarkEnd w:id="172"/>
      <w:bookmarkStart w:id="173" w:name="_Toc96067041"/>
      <w:bookmarkEnd w:id="173"/>
      <w:bookmarkStart w:id="174" w:name="_Toc96067445"/>
      <w:bookmarkEnd w:id="174"/>
      <w:bookmarkStart w:id="175" w:name="_Toc96067128"/>
      <w:bookmarkEnd w:id="175"/>
      <w:bookmarkStart w:id="176" w:name="_Toc96067115"/>
      <w:bookmarkEnd w:id="176"/>
      <w:bookmarkStart w:id="177" w:name="_Toc96067511"/>
      <w:bookmarkEnd w:id="177"/>
      <w:bookmarkStart w:id="178" w:name="_Toc96067090"/>
      <w:bookmarkEnd w:id="178"/>
      <w:bookmarkStart w:id="179" w:name="_Toc96067107"/>
      <w:bookmarkEnd w:id="179"/>
      <w:bookmarkStart w:id="180" w:name="_Toc96067458"/>
      <w:bookmarkEnd w:id="180"/>
      <w:bookmarkStart w:id="181" w:name="_Toc96067054"/>
      <w:bookmarkEnd w:id="181"/>
      <w:bookmarkStart w:id="182" w:name="_Toc56180031"/>
      <w:bookmarkEnd w:id="182"/>
      <w:bookmarkStart w:id="183" w:name="_Toc96067631"/>
      <w:bookmarkEnd w:id="183"/>
      <w:bookmarkStart w:id="184" w:name="_Toc96067051"/>
      <w:bookmarkEnd w:id="184"/>
      <w:bookmarkStart w:id="185" w:name="_Toc96067596"/>
      <w:bookmarkEnd w:id="185"/>
      <w:bookmarkStart w:id="186" w:name="_Toc96067463"/>
      <w:bookmarkEnd w:id="186"/>
      <w:bookmarkStart w:id="187" w:name="_Toc96067556"/>
      <w:bookmarkEnd w:id="187"/>
      <w:bookmarkStart w:id="188" w:name="_Toc96067045"/>
      <w:bookmarkEnd w:id="188"/>
      <w:bookmarkStart w:id="189" w:name="_Toc96067036"/>
      <w:bookmarkEnd w:id="189"/>
      <w:bookmarkStart w:id="190" w:name="_Toc96067135"/>
      <w:bookmarkEnd w:id="190"/>
      <w:bookmarkStart w:id="191" w:name="_Toc96067061"/>
      <w:bookmarkEnd w:id="191"/>
      <w:bookmarkStart w:id="192" w:name="_Toc96067508"/>
      <w:bookmarkEnd w:id="192"/>
      <w:bookmarkStart w:id="193" w:name="_Toc96067523"/>
      <w:bookmarkEnd w:id="193"/>
      <w:bookmarkStart w:id="194" w:name="_Toc96067056"/>
      <w:bookmarkEnd w:id="194"/>
      <w:bookmarkStart w:id="195" w:name="_Toc96067121"/>
      <w:bookmarkEnd w:id="195"/>
      <w:bookmarkStart w:id="196" w:name="_Toc96067433"/>
      <w:bookmarkEnd w:id="196"/>
      <w:bookmarkStart w:id="197" w:name="_Toc96067634"/>
      <w:bookmarkEnd w:id="197"/>
      <w:bookmarkStart w:id="198" w:name="_Toc96067188"/>
      <w:bookmarkEnd w:id="198"/>
      <w:bookmarkStart w:id="199" w:name="_Toc96067097"/>
      <w:bookmarkEnd w:id="199"/>
      <w:bookmarkStart w:id="200" w:name="_Toc96067053"/>
      <w:bookmarkEnd w:id="200"/>
      <w:bookmarkStart w:id="201" w:name="_Toc96067065"/>
      <w:bookmarkEnd w:id="201"/>
      <w:bookmarkStart w:id="202" w:name="_Toc96067134"/>
      <w:bookmarkEnd w:id="202"/>
      <w:bookmarkStart w:id="203" w:name="_Toc96067084"/>
      <w:bookmarkEnd w:id="203"/>
      <w:bookmarkStart w:id="204" w:name="_Toc96067083"/>
      <w:bookmarkEnd w:id="204"/>
      <w:bookmarkStart w:id="205" w:name="_Toc96067404"/>
      <w:bookmarkEnd w:id="205"/>
      <w:bookmarkStart w:id="206" w:name="_Toc96067069"/>
      <w:bookmarkEnd w:id="206"/>
      <w:bookmarkStart w:id="207" w:name="_Toc96067085"/>
      <w:bookmarkEnd w:id="207"/>
      <w:bookmarkStart w:id="208" w:name="_Toc96067046"/>
      <w:bookmarkEnd w:id="208"/>
      <w:bookmarkStart w:id="209" w:name="_Toc96067386"/>
      <w:bookmarkEnd w:id="209"/>
      <w:bookmarkStart w:id="210" w:name="_Toc96067138"/>
      <w:bookmarkEnd w:id="210"/>
      <w:bookmarkStart w:id="211" w:name="_Toc96067052"/>
      <w:bookmarkEnd w:id="211"/>
      <w:bookmarkStart w:id="212" w:name="_Toc96067439"/>
      <w:bookmarkEnd w:id="212"/>
      <w:bookmarkStart w:id="213" w:name="_Toc96067517"/>
      <w:bookmarkEnd w:id="213"/>
      <w:bookmarkStart w:id="214" w:name="_Toc96067089"/>
      <w:bookmarkEnd w:id="214"/>
      <w:bookmarkStart w:id="215" w:name="_Toc96067441"/>
      <w:bookmarkEnd w:id="215"/>
      <w:bookmarkStart w:id="216" w:name="_Toc96067476"/>
      <w:bookmarkEnd w:id="216"/>
      <w:bookmarkStart w:id="217" w:name="_Toc96067682"/>
      <w:bookmarkEnd w:id="217"/>
      <w:bookmarkStart w:id="218" w:name="_Toc96067105"/>
      <w:bookmarkEnd w:id="218"/>
      <w:bookmarkStart w:id="219" w:name="_Toc96067106"/>
      <w:bookmarkEnd w:id="219"/>
      <w:bookmarkStart w:id="220" w:name="_Toc96067464"/>
      <w:bookmarkEnd w:id="220"/>
      <w:bookmarkStart w:id="221" w:name="_Toc96067068"/>
      <w:bookmarkEnd w:id="221"/>
      <w:bookmarkStart w:id="222" w:name="_Toc96067125"/>
      <w:bookmarkEnd w:id="222"/>
      <w:bookmarkStart w:id="223" w:name="_Toc96067453"/>
      <w:bookmarkEnd w:id="223"/>
      <w:bookmarkStart w:id="224" w:name="_Toc96067521"/>
      <w:bookmarkEnd w:id="224"/>
      <w:bookmarkStart w:id="225" w:name="_Toc96067438"/>
      <w:bookmarkEnd w:id="225"/>
      <w:bookmarkStart w:id="226" w:name="_Toc96067494"/>
      <w:bookmarkEnd w:id="226"/>
      <w:bookmarkStart w:id="227" w:name="_Toc96067675"/>
      <w:bookmarkEnd w:id="227"/>
      <w:bookmarkStart w:id="228" w:name="_Toc96067656"/>
      <w:bookmarkEnd w:id="228"/>
      <w:bookmarkStart w:id="229" w:name="_Toc96067697"/>
      <w:bookmarkEnd w:id="229"/>
      <w:bookmarkStart w:id="230" w:name="_Toc96067531"/>
      <w:bookmarkEnd w:id="230"/>
      <w:bookmarkStart w:id="231" w:name="_Toc96067100"/>
      <w:bookmarkEnd w:id="231"/>
      <w:bookmarkStart w:id="232" w:name="_Toc96067119"/>
      <w:bookmarkEnd w:id="232"/>
      <w:bookmarkStart w:id="233" w:name="_Toc96067108"/>
      <w:bookmarkEnd w:id="233"/>
      <w:bookmarkStart w:id="234" w:name="_Toc96067344"/>
      <w:bookmarkEnd w:id="234"/>
      <w:bookmarkStart w:id="235" w:name="_Toc96067081"/>
      <w:bookmarkEnd w:id="235"/>
      <w:bookmarkStart w:id="236" w:name="_Toc96067297"/>
      <w:bookmarkEnd w:id="236"/>
      <w:bookmarkStart w:id="237" w:name="_Toc96067091"/>
      <w:bookmarkEnd w:id="237"/>
      <w:bookmarkStart w:id="238" w:name="_Toc96067136"/>
      <w:bookmarkEnd w:id="238"/>
      <w:bookmarkStart w:id="239" w:name="_Toc96067326"/>
      <w:bookmarkEnd w:id="239"/>
      <w:bookmarkStart w:id="240" w:name="_Toc96067461"/>
      <w:bookmarkEnd w:id="240"/>
      <w:bookmarkStart w:id="241" w:name="_Toc96067086"/>
      <w:bookmarkEnd w:id="241"/>
      <w:bookmarkStart w:id="242" w:name="_Toc96067067"/>
      <w:bookmarkEnd w:id="242"/>
      <w:bookmarkStart w:id="243" w:name="_Toc96067444"/>
      <w:bookmarkEnd w:id="243"/>
      <w:bookmarkStart w:id="244" w:name="_Toc96067057"/>
      <w:bookmarkEnd w:id="244"/>
      <w:bookmarkStart w:id="245" w:name="_Toc96067657"/>
      <w:bookmarkEnd w:id="245"/>
      <w:bookmarkStart w:id="246" w:name="_Toc96067528"/>
      <w:bookmarkEnd w:id="246"/>
      <w:bookmarkStart w:id="247" w:name="_Toc96067680"/>
      <w:bookmarkEnd w:id="247"/>
      <w:bookmarkStart w:id="248" w:name="_Toc96067686"/>
      <w:bookmarkEnd w:id="248"/>
      <w:bookmarkStart w:id="249" w:name="_Toc96067164"/>
      <w:bookmarkEnd w:id="249"/>
      <w:bookmarkStart w:id="250" w:name="_Toc96067186"/>
      <w:bookmarkEnd w:id="250"/>
      <w:bookmarkStart w:id="251" w:name="_Toc96067120"/>
      <w:bookmarkEnd w:id="251"/>
      <w:bookmarkStart w:id="252" w:name="_Toc96067060"/>
      <w:bookmarkEnd w:id="252"/>
      <w:bookmarkStart w:id="253" w:name="_Toc96067294"/>
      <w:bookmarkEnd w:id="253"/>
      <w:bookmarkStart w:id="254" w:name="_Toc96067070"/>
      <w:bookmarkEnd w:id="254"/>
      <w:bookmarkStart w:id="255" w:name="_Toc96067685"/>
      <w:bookmarkEnd w:id="255"/>
      <w:bookmarkStart w:id="256" w:name="_Toc96067185"/>
      <w:bookmarkEnd w:id="256"/>
      <w:bookmarkStart w:id="257" w:name="_Toc96067292"/>
      <w:bookmarkEnd w:id="257"/>
      <w:bookmarkStart w:id="258" w:name="_Toc96067114"/>
      <w:bookmarkEnd w:id="258"/>
      <w:bookmarkStart w:id="259" w:name="_Toc96067332"/>
      <w:bookmarkEnd w:id="259"/>
      <w:bookmarkStart w:id="260" w:name="_Toc96067098"/>
      <w:bookmarkEnd w:id="260"/>
      <w:bookmarkStart w:id="261" w:name="_Toc96067116"/>
      <w:bookmarkEnd w:id="261"/>
      <w:bookmarkStart w:id="262" w:name="_Toc96067183"/>
      <w:bookmarkEnd w:id="262"/>
      <w:bookmarkStart w:id="263" w:name="_Toc25504"/>
      <w:bookmarkStart w:id="264" w:name="_Toc22895"/>
      <w:r>
        <w:rPr>
          <w:rFonts w:hint="eastAsia" w:eastAsiaTheme="minorEastAsia"/>
          <w:color w:val="000000" w:themeColor="text1"/>
          <w:highlight w:val="none"/>
          <w14:textFill>
            <w14:solidFill>
              <w14:schemeClr w14:val="tx1"/>
            </w14:solidFill>
          </w14:textFill>
        </w:rPr>
        <w:t>总则</w:t>
      </w:r>
      <w:bookmarkEnd w:id="263"/>
      <w:bookmarkEnd w:id="264"/>
    </w:p>
    <w:p w14:paraId="181FA8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szCs w:val="24"/>
          <w:highlight w:val="none"/>
          <w:lang w:val="en-US" w:eastAsia="zh-CN"/>
          <w14:textFill>
            <w14:solidFill>
              <w14:schemeClr w14:val="tx1"/>
            </w14:solidFill>
          </w14:textFill>
        </w:rPr>
      </w:pPr>
      <w:bookmarkStart w:id="265" w:name="_Hlk147849224"/>
      <w:r>
        <w:rPr>
          <w:rFonts w:hint="default"/>
          <w:color w:val="000000" w:themeColor="text1"/>
          <w:sz w:val="24"/>
          <w:szCs w:val="24"/>
          <w:highlight w:val="none"/>
          <w:lang w:val="en-US" w:eastAsia="zh-CN"/>
          <w14:textFill>
            <w14:solidFill>
              <w14:schemeClr w14:val="tx1"/>
            </w14:solidFill>
          </w14:textFill>
        </w:rPr>
        <w:t>武汉国家网络安全人才与创新基地作为中央网信办批复建设的全国首个国家网络安全人才与创新基地，是国家网络安全发展的重要承载地。网安基地作为我市四大国家级产业新基地之一，承担城市创新发展的新引擎和高质量发展的重要使命。网安基地是东西湖区新型工业化主阵地，新质生产力布局核心区。中国电信大数据中心、网安基地二期基础设施建设等重大项目选址落户，亟需完成网安基地二期泥达湖片控规法定化程序。2021年，《关于申请调整武汉国家网络安全人才培养与创新基地二期1:2000基本生态控制线规划的公示》中提出将网安基地二期发展区从基本生态控制线调出，落实项目选址。该调整规划已批复。2024年8月，武汉市人民政府发布了《关于武汉市基本生态控制线优化方案的批复》（武政〔2024〕14号），网安基地二期调出基本生态控制线。2022年，武汉市东西湖区自然资源和规划局委托武汉市规划研究院编制《东西湖区网安半岛泥达湖片区控制性详细规划导则》。2025年7月30日，武汉市人民政府对《东西湖区网安半岛泥达湖片区控制线详细规划导则》进行了批复，原则同意《东西湖区网安半岛泥达湖片区控制性详细规划导则》，该片区位于径河街道西北部，规划范围东至规划马湾北路、南至双港南路、西至双港一路、北至双港北路，全部位于城市开发边界内，总用地面积约114.75公顷，主导功能为工业商服。</w:t>
      </w:r>
    </w:p>
    <w:p w14:paraId="205D49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为了承接网安基地的外溢产业以及相关招商项目的选址落户，促进产业集群建设和产业间协调发展，需对网安半岛泥达湖片区进行开发，为实现网安半岛泥达湖片区规划高水平、精细化管控，径河街道办事处委托编制了《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default"/>
          <w:color w:val="000000" w:themeColor="text1"/>
          <w:sz w:val="24"/>
          <w:szCs w:val="24"/>
          <w:highlight w:val="none"/>
          <w:lang w:val="en-US" w:eastAsia="zh-CN"/>
          <w14:textFill>
            <w14:solidFill>
              <w14:schemeClr w14:val="tx1"/>
            </w14:solidFill>
          </w14:textFill>
        </w:rPr>
        <w:t>建设规划》，泥达湖片区产业组团位于径河街道西北部，规划面积114.75公顷，北至泥达湖，南至四环线，西至昌家河，东至硚孝高速。</w:t>
      </w:r>
    </w:p>
    <w:p w14:paraId="3E0B8C43">
      <w:pPr>
        <w:adjustRightInd w:val="0"/>
        <w:snapToGrid w:val="0"/>
        <w:spacing w:line="360" w:lineRule="auto"/>
        <w:ind w:firstLine="468" w:firstLineChars="200"/>
        <w:rPr>
          <w:rFonts w:eastAsiaTheme="minorEastAsia"/>
          <w:color w:val="000000" w:themeColor="text1"/>
          <w:spacing w:val="-3"/>
          <w:sz w:val="24"/>
          <w:szCs w:val="24"/>
          <w:highlight w:val="none"/>
          <w14:textFill>
            <w14:solidFill>
              <w14:schemeClr w14:val="tx1"/>
            </w14:solidFill>
          </w14:textFill>
        </w:rPr>
      </w:pPr>
      <w:r>
        <w:rPr>
          <w:rFonts w:eastAsiaTheme="minorEastAsia"/>
          <w:color w:val="000000" w:themeColor="text1"/>
          <w:spacing w:val="-3"/>
          <w:sz w:val="24"/>
          <w:szCs w:val="24"/>
          <w:highlight w:val="none"/>
          <w14:textFill>
            <w14:solidFill>
              <w14:schemeClr w14:val="tx1"/>
            </w14:solidFill>
          </w14:textFill>
        </w:rPr>
        <w:t>根据《关于进一步加强产业园区规划环境影响评价工作的意见》（环环评〔2020〕65号），国务院及其有关部门、省级人民政府批准设立的经济技术开发区、高新技术产业开发区、旅游度假区等产业园区以及设区的市级人民政府批准设立的各类产业园区，在编制开发建设有关规划时，应依法开展规划环评工作，编制环境影响报告书。在规划审批前，报送相应生态环境主管部门召集审查。因此，</w:t>
      </w:r>
      <w:r>
        <w:rPr>
          <w:rFonts w:hint="eastAsia" w:eastAsiaTheme="minorEastAsia"/>
          <w:color w:val="000000" w:themeColor="text1"/>
          <w:spacing w:val="-3"/>
          <w:sz w:val="24"/>
          <w:szCs w:val="24"/>
          <w:highlight w:val="none"/>
          <w14:textFill>
            <w14:solidFill>
              <w14:schemeClr w14:val="tx1"/>
            </w14:solidFill>
          </w14:textFill>
        </w:rPr>
        <w:t>武汉市东西湖区人民政府径河街道办事处</w:t>
      </w:r>
      <w:r>
        <w:rPr>
          <w:rFonts w:eastAsiaTheme="minorEastAsia"/>
          <w:color w:val="000000" w:themeColor="text1"/>
          <w:spacing w:val="-3"/>
          <w:sz w:val="24"/>
          <w:szCs w:val="24"/>
          <w:highlight w:val="none"/>
          <w14:textFill>
            <w14:solidFill>
              <w14:schemeClr w14:val="tx1"/>
            </w14:solidFill>
          </w14:textFill>
        </w:rPr>
        <w:t>组织开展</w:t>
      </w:r>
      <w:r>
        <w:rPr>
          <w:rFonts w:hint="eastAsia"/>
          <w:color w:val="000000" w:themeColor="text1"/>
          <w:sz w:val="24"/>
          <w:szCs w:val="24"/>
          <w:highlight w:val="none"/>
          <w:lang w:val="en-US" w:eastAsia="zh-CN"/>
          <w14:textFill>
            <w14:solidFill>
              <w14:schemeClr w14:val="tx1"/>
            </w14:solidFill>
          </w14:textFill>
        </w:rPr>
        <w:t>《网安半岛泥达湖片区产业组团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color w:val="000000" w:themeColor="text1"/>
          <w:sz w:val="24"/>
          <w:szCs w:val="24"/>
          <w:highlight w:val="none"/>
          <w:lang w:val="en-US" w:eastAsia="zh-CN"/>
          <w14:textFill>
            <w14:solidFill>
              <w14:schemeClr w14:val="tx1"/>
            </w14:solidFill>
          </w14:textFill>
        </w:rPr>
        <w:t>建设规划》的环境影响评价工作</w:t>
      </w:r>
      <w:r>
        <w:rPr>
          <w:rFonts w:eastAsiaTheme="minorEastAsia"/>
          <w:color w:val="000000" w:themeColor="text1"/>
          <w:spacing w:val="-3"/>
          <w:sz w:val="24"/>
          <w:szCs w:val="24"/>
          <w:highlight w:val="none"/>
          <w14:textFill>
            <w14:solidFill>
              <w14:schemeClr w14:val="tx1"/>
            </w14:solidFill>
          </w14:textFill>
        </w:rPr>
        <w:t>。</w:t>
      </w:r>
      <w:bookmarkEnd w:id="265"/>
    </w:p>
    <w:p w14:paraId="5C10C067">
      <w:pPr>
        <w:spacing w:line="218" w:lineRule="auto"/>
        <w:rPr>
          <w:rFonts w:eastAsiaTheme="minorEastAsia"/>
          <w:color w:val="000000" w:themeColor="text1"/>
          <w:sz w:val="24"/>
          <w:szCs w:val="24"/>
          <w:highlight w:val="none"/>
          <w14:textFill>
            <w14:solidFill>
              <w14:schemeClr w14:val="tx1"/>
            </w14:solidFill>
          </w14:textFill>
        </w:rPr>
        <w:sectPr>
          <w:headerReference r:id="rId4" w:type="default"/>
          <w:footerReference r:id="rId5" w:type="default"/>
          <w:pgSz w:w="11907" w:h="16839"/>
          <w:pgMar w:top="1440" w:right="1803" w:bottom="1440" w:left="1803" w:header="651" w:footer="736" w:gutter="0"/>
          <w:pgNumType w:fmt="decimal" w:start="1"/>
          <w:cols w:space="720" w:num="1"/>
        </w:sectPr>
      </w:pPr>
    </w:p>
    <w:p w14:paraId="09B21600">
      <w:pPr>
        <w:pStyle w:val="2"/>
        <w:pageBreakBefore/>
        <w:tabs>
          <w:tab w:val="clear" w:pos="1701"/>
        </w:tabs>
        <w:ind w:left="425"/>
        <w:rPr>
          <w:rFonts w:eastAsiaTheme="minorEastAsia"/>
          <w:color w:val="000000" w:themeColor="text1"/>
          <w:highlight w:val="none"/>
          <w14:textFill>
            <w14:solidFill>
              <w14:schemeClr w14:val="tx1"/>
            </w14:solidFill>
          </w14:textFill>
        </w:rPr>
      </w:pPr>
      <w:bookmarkStart w:id="266" w:name="bookmark3"/>
      <w:bookmarkEnd w:id="266"/>
      <w:bookmarkStart w:id="267" w:name="bookmark2"/>
      <w:bookmarkEnd w:id="267"/>
      <w:bookmarkStart w:id="268" w:name="_Toc18499"/>
      <w:bookmarkStart w:id="269" w:name="_Toc32015"/>
      <w:r>
        <w:rPr>
          <w:rFonts w:hint="eastAsia" w:eastAsiaTheme="minorEastAsia"/>
          <w:color w:val="000000" w:themeColor="text1"/>
          <w:highlight w:val="none"/>
          <w14:textFill>
            <w14:solidFill>
              <w14:schemeClr w14:val="tx1"/>
            </w14:solidFill>
          </w14:textFill>
        </w:rPr>
        <w:t>规划概述与分析</w:t>
      </w:r>
      <w:bookmarkEnd w:id="268"/>
      <w:bookmarkEnd w:id="269"/>
    </w:p>
    <w:p w14:paraId="1002A4AB">
      <w:pPr>
        <w:spacing w:before="11" w:line="29" w:lineRule="exact"/>
        <w:rPr>
          <w:rFonts w:eastAsiaTheme="minorEastAsia"/>
          <w:color w:val="000000" w:themeColor="text1"/>
          <w:highlight w:val="none"/>
          <w14:textFill>
            <w14:solidFill>
              <w14:schemeClr w14:val="tx1"/>
            </w14:solidFill>
          </w14:textFill>
        </w:rPr>
      </w:pPr>
    </w:p>
    <w:p w14:paraId="5073DD1B">
      <w:pPr>
        <w:pStyle w:val="3"/>
        <w:rPr>
          <w:rFonts w:eastAsiaTheme="minorEastAsia"/>
          <w:color w:val="000000" w:themeColor="text1"/>
          <w:kern w:val="0"/>
          <w:highlight w:val="none"/>
          <w14:textFill>
            <w14:solidFill>
              <w14:schemeClr w14:val="tx1"/>
            </w14:solidFill>
          </w14:textFill>
        </w:rPr>
      </w:pPr>
      <w:bookmarkStart w:id="270" w:name="_Toc18540"/>
      <w:bookmarkStart w:id="271" w:name="_Toc6083"/>
      <w:r>
        <w:rPr>
          <w:rFonts w:eastAsiaTheme="minorEastAsia"/>
          <w:color w:val="000000" w:themeColor="text1"/>
          <w:kern w:val="0"/>
          <w:highlight w:val="none"/>
          <w14:textFill>
            <w14:solidFill>
              <w14:schemeClr w14:val="tx1"/>
            </w14:solidFill>
          </w14:textFill>
        </w:rPr>
        <w:t>规划概述</w:t>
      </w:r>
      <w:bookmarkEnd w:id="270"/>
      <w:bookmarkEnd w:id="271"/>
    </w:p>
    <w:p w14:paraId="07F63C5D">
      <w:pPr>
        <w:pStyle w:val="4"/>
        <w:rPr>
          <w:rFonts w:eastAsiaTheme="minorEastAsia"/>
          <w:color w:val="000000" w:themeColor="text1"/>
          <w:kern w:val="0"/>
          <w:sz w:val="24"/>
          <w:szCs w:val="24"/>
          <w:highlight w:val="none"/>
          <w14:textFill>
            <w14:solidFill>
              <w14:schemeClr w14:val="tx1"/>
            </w14:solidFill>
          </w14:textFill>
        </w:rPr>
      </w:pPr>
      <w:r>
        <w:rPr>
          <w:rFonts w:eastAsiaTheme="minorEastAsia"/>
          <w:color w:val="000000" w:themeColor="text1"/>
          <w:kern w:val="0"/>
          <w:sz w:val="24"/>
          <w:szCs w:val="24"/>
          <w:highlight w:val="none"/>
          <w14:textFill>
            <w14:solidFill>
              <w14:schemeClr w14:val="tx1"/>
            </w14:solidFill>
          </w14:textFill>
        </w:rPr>
        <w:t>规划范围</w:t>
      </w:r>
    </w:p>
    <w:p w14:paraId="5943C8B6">
      <w:pPr>
        <w:bidi w:val="0"/>
        <w:spacing w:line="360" w:lineRule="auto"/>
        <w:ind w:firstLine="482"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规划范围：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泥达湖片区产业组团位于径河街道西北部，北至泥达湖，南至四环线，西至昌家河，东至硚孝高速。规划总用地面积约114.75公顷。</w:t>
      </w:r>
    </w:p>
    <w:p w14:paraId="36BF6D34">
      <w:pPr>
        <w:pStyle w:val="4"/>
        <w:rPr>
          <w:rFonts w:eastAsiaTheme="minorEastAsia"/>
          <w:color w:val="000000" w:themeColor="text1"/>
          <w:kern w:val="0"/>
          <w:sz w:val="24"/>
          <w:szCs w:val="24"/>
          <w:highlight w:val="none"/>
          <w14:textFill>
            <w14:solidFill>
              <w14:schemeClr w14:val="tx1"/>
            </w14:solidFill>
          </w14:textFill>
        </w:rPr>
      </w:pPr>
      <w:r>
        <w:rPr>
          <w:rFonts w:hint="eastAsia" w:eastAsiaTheme="minorEastAsia"/>
          <w:color w:val="000000" w:themeColor="text1"/>
          <w:kern w:val="0"/>
          <w:sz w:val="24"/>
          <w:szCs w:val="24"/>
          <w:highlight w:val="none"/>
          <w14:textFill>
            <w14:solidFill>
              <w14:schemeClr w14:val="tx1"/>
            </w14:solidFill>
          </w14:textFill>
        </w:rPr>
        <w:t>发展目标</w:t>
      </w:r>
    </w:p>
    <w:p w14:paraId="4C9CD1AB">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近期：以“中国电信大数据中心”产业为基础，加速推进产业组团的开发建设，助力权属单位实施落地，早日建成投产，产生效益。</w:t>
      </w:r>
    </w:p>
    <w:p w14:paraId="211537B3">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远期：以培育发展大数据、云计算技术相关应用产业为主攻方向和特色，聚合产业、软件、设备等优势，积极引入云计算实验室、“专精特新”小微企业研究院、数据库服务器等有代表性的数据应用和超算产业入园，探索以数据资源为基础的信息服务产业的商业化发展模式。承接南部网安基地一期科研资源，以网络内容审核、头部平台企业应用、算法企业孵化、科创园区相关科研机构为主攻方向和特色，聚合科研、人才等优势，为信息服务产业的团队建设与企业成长提供相关支持。</w:t>
      </w:r>
    </w:p>
    <w:p w14:paraId="009EED8E">
      <w:pPr>
        <w:pStyle w:val="4"/>
        <w:rPr>
          <w:rFonts w:hint="eastAsia" w:ascii="Times New Roman" w:hAnsi="Times New Roman" w:cs="Times New Roman" w:eastAsiaTheme="minorEastAsia"/>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kern w:val="0"/>
          <w:sz w:val="24"/>
          <w:szCs w:val="24"/>
          <w:highlight w:val="none"/>
          <w:lang w:val="en-US" w:eastAsia="zh-CN"/>
          <w14:textFill>
            <w14:solidFill>
              <w14:schemeClr w14:val="tx1"/>
            </w14:solidFill>
          </w14:textFill>
        </w:rPr>
        <w:t>规划发展定位</w:t>
      </w:r>
    </w:p>
    <w:p w14:paraId="32CB741B">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规划区是网安基地二期重要组成部分；大数据中心、云计算中心、承接网安创新科技产业培育为核心的产业组团。</w:t>
      </w:r>
    </w:p>
    <w:p w14:paraId="63586FE6">
      <w:pPr>
        <w:pStyle w:val="4"/>
        <w:rPr>
          <w:rFonts w:eastAsiaTheme="minorEastAsia"/>
          <w:color w:val="000000" w:themeColor="text1"/>
          <w:kern w:val="0"/>
          <w:sz w:val="24"/>
          <w:szCs w:val="24"/>
          <w:highlight w:val="none"/>
          <w14:textFill>
            <w14:solidFill>
              <w14:schemeClr w14:val="tx1"/>
            </w14:solidFill>
          </w14:textFill>
        </w:rPr>
      </w:pPr>
      <w:r>
        <w:rPr>
          <w:rFonts w:hint="eastAsia" w:eastAsiaTheme="minorEastAsia"/>
          <w:color w:val="000000" w:themeColor="text1"/>
          <w:kern w:val="0"/>
          <w:sz w:val="24"/>
          <w:szCs w:val="24"/>
          <w:highlight w:val="none"/>
          <w14:textFill>
            <w14:solidFill>
              <w14:schemeClr w14:val="tx1"/>
            </w14:solidFill>
          </w14:textFill>
        </w:rPr>
        <w:t>用地规划</w:t>
      </w:r>
    </w:p>
    <w:p w14:paraId="52C9B69A">
      <w:pPr>
        <w:adjustRightInd w:val="0"/>
        <w:snapToGrid w:val="0"/>
        <w:spacing w:line="360" w:lineRule="auto"/>
        <w:ind w:firstLine="468" w:firstLineChars="200"/>
        <w:rPr>
          <w:rFonts w:hint="eastAsia" w:eastAsiaTheme="minorEastAsia"/>
          <w:color w:val="000000" w:themeColor="text1"/>
          <w:spacing w:val="-3"/>
          <w:sz w:val="24"/>
          <w:szCs w:val="24"/>
          <w:highlight w:val="none"/>
          <w:lang w:eastAsia="zh-CN"/>
          <w14:textFill>
            <w14:solidFill>
              <w14:schemeClr w14:val="tx1"/>
            </w14:solidFill>
          </w14:textFill>
        </w:rPr>
      </w:pPr>
      <w:r>
        <w:rPr>
          <w:rFonts w:hint="eastAsia" w:eastAsiaTheme="minorEastAsia"/>
          <w:color w:val="000000" w:themeColor="text1"/>
          <w:spacing w:val="-3"/>
          <w:sz w:val="24"/>
          <w:szCs w:val="24"/>
          <w:highlight w:val="none"/>
          <w14:textFill>
            <w14:solidFill>
              <w14:schemeClr w14:val="tx1"/>
            </w14:solidFill>
          </w14:textFill>
        </w:rPr>
        <w:t>规划采用《城市用地分类与规划建设用地标准》（GB50137-2011）。规划区用地划分至小类，规划区内的城市建设用地主要由工业、商业服务业设施、道路与交通设施和绿地等用地组成。规划以集中建设工业区，统一配套设施，保护规划区及周边地区环境为原则，优化规划区的工业用地布局，解决网络安全基地二期范围内效益差、布局散乱的工业企业逐步进行“并、迁、转”的用地问题。</w:t>
      </w:r>
      <w:r>
        <w:rPr>
          <w:rFonts w:hint="eastAsia" w:eastAsiaTheme="minorEastAsia"/>
          <w:color w:val="000000" w:themeColor="text1"/>
          <w:spacing w:val="-3"/>
          <w:sz w:val="24"/>
          <w:szCs w:val="24"/>
          <w:highlight w:val="none"/>
          <w14:textFill>
            <w14:solidFill>
              <w14:schemeClr w14:val="tx1"/>
            </w14:solidFill>
          </w14:textFill>
        </w:rPr>
        <w:t>规划区工业</w:t>
      </w:r>
      <w:r>
        <w:rPr>
          <w:rFonts w:hint="eastAsia" w:eastAsiaTheme="minorEastAsia"/>
          <w:color w:val="000000" w:themeColor="text1"/>
          <w:spacing w:val="-3"/>
          <w:sz w:val="24"/>
          <w:szCs w:val="24"/>
          <w:highlight w:val="none"/>
          <w:lang w:val="en-US" w:eastAsia="zh-CN"/>
          <w14:textFill>
            <w14:solidFill>
              <w14:schemeClr w14:val="tx1"/>
            </w14:solidFill>
          </w14:textFill>
        </w:rPr>
        <w:t>用地</w:t>
      </w:r>
      <w:r>
        <w:rPr>
          <w:rFonts w:hint="eastAsia" w:eastAsiaTheme="minorEastAsia"/>
          <w:color w:val="000000" w:themeColor="text1"/>
          <w:spacing w:val="-3"/>
          <w:sz w:val="24"/>
          <w:szCs w:val="24"/>
          <w:highlight w:val="none"/>
          <w14:textFill>
            <w14:solidFill>
              <w14:schemeClr w14:val="tx1"/>
            </w14:solidFill>
          </w14:textFill>
        </w:rPr>
        <w:t>以大数据中心、云计算中心、网安创新科技板块为主</w:t>
      </w:r>
      <w:r>
        <w:rPr>
          <w:rFonts w:hint="eastAsia" w:eastAsiaTheme="minorEastAsia"/>
          <w:color w:val="000000" w:themeColor="text1"/>
          <w:spacing w:val="-3"/>
          <w:sz w:val="24"/>
          <w:szCs w:val="24"/>
          <w:highlight w:val="none"/>
          <w14:textFill>
            <w14:solidFill>
              <w14:schemeClr w14:val="tx1"/>
            </w14:solidFill>
          </w14:textFill>
        </w:rPr>
        <w:t>。用地面积77.00公顷，占规划区用地比例为67.10%。规划区总用地面积114.75公顷</w:t>
      </w:r>
      <w:r>
        <w:rPr>
          <w:rFonts w:hint="eastAsia" w:eastAsiaTheme="minorEastAsia"/>
          <w:color w:val="000000" w:themeColor="text1"/>
          <w:spacing w:val="-3"/>
          <w:sz w:val="24"/>
          <w:szCs w:val="24"/>
          <w:highlight w:val="none"/>
          <w:lang w:eastAsia="zh-CN"/>
          <w14:textFill>
            <w14:solidFill>
              <w14:schemeClr w14:val="tx1"/>
            </w14:solidFill>
          </w14:textFill>
        </w:rPr>
        <w:t>。</w:t>
      </w:r>
    </w:p>
    <w:p w14:paraId="1F6F08F0">
      <w:pPr>
        <w:pStyle w:val="4"/>
        <w:rPr>
          <w:rFonts w:eastAsiaTheme="minorEastAsia"/>
          <w:color w:val="000000" w:themeColor="text1"/>
          <w:kern w:val="0"/>
          <w:sz w:val="24"/>
          <w:szCs w:val="24"/>
          <w:highlight w:val="none"/>
          <w14:textFill>
            <w14:solidFill>
              <w14:schemeClr w14:val="tx1"/>
            </w14:solidFill>
          </w14:textFill>
        </w:rPr>
      </w:pPr>
      <w:r>
        <w:rPr>
          <w:rFonts w:hint="eastAsia" w:eastAsiaTheme="minorEastAsia"/>
          <w:color w:val="000000" w:themeColor="text1"/>
          <w:kern w:val="0"/>
          <w:sz w:val="24"/>
          <w:szCs w:val="24"/>
          <w:highlight w:val="none"/>
          <w14:textFill>
            <w14:solidFill>
              <w14:schemeClr w14:val="tx1"/>
            </w14:solidFill>
          </w14:textFill>
        </w:rPr>
        <w:t>规划空间布局</w:t>
      </w:r>
    </w:p>
    <w:p w14:paraId="64540EB6">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规划形成“一中心三板块”的产业功能结构。</w:t>
      </w:r>
    </w:p>
    <w:p w14:paraId="34154D4C">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“一中心”：一心聚活力，提供商务、科技、人才公寓等综合服务；</w:t>
      </w:r>
    </w:p>
    <w:p w14:paraId="6D885578">
      <w:pPr>
        <w:adjustRightInd w:val="0"/>
        <w:snapToGrid w:val="0"/>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“三板块”：三区领科技，大数据中心板块、云计算中心板块、网安科技创新板块引领网络安全科技创新产业。</w:t>
      </w:r>
    </w:p>
    <w:p w14:paraId="29CBEFCD">
      <w:pPr>
        <w:pStyle w:val="4"/>
        <w:rPr>
          <w:rFonts w:eastAsiaTheme="minorEastAsia"/>
          <w:color w:val="000000" w:themeColor="text1"/>
          <w:kern w:val="0"/>
          <w:highlight w:val="none"/>
          <w14:textFill>
            <w14:solidFill>
              <w14:schemeClr w14:val="tx1"/>
            </w14:solidFill>
          </w14:textFill>
        </w:rPr>
      </w:pPr>
      <w:r>
        <w:rPr>
          <w:rFonts w:eastAsiaTheme="minorEastAsia"/>
          <w:color w:val="000000" w:themeColor="text1"/>
          <w:kern w:val="0"/>
          <w:highlight w:val="none"/>
          <w14:textFill>
            <w14:solidFill>
              <w14:schemeClr w14:val="tx1"/>
            </w14:solidFill>
          </w14:textFill>
        </w:rPr>
        <w:t>产业发展</w:t>
      </w:r>
    </w:p>
    <w:p w14:paraId="5B7B9ABD">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规划区为网安基地二期重要组成部分，位于《国家网络安全人才与创新基地产业发展规划》中的”研发孵化组团”。规划区产业发展宜以网络安全产业、人工智能技术、区块链技术等前沿技术产业为主导功能。</w:t>
      </w:r>
    </w:p>
    <w:p w14:paraId="29E513B9">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规划区紧邻网安基地一期，是国家网安基地重要拓展发展空间，结合网安基地一期现状企业产业发展方向，规划定位为大数据中心、云计算中心、承接网安创新科技产业培育为核心的产业组团。</w:t>
      </w:r>
    </w:p>
    <w:p w14:paraId="193039E3">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1、大数据中心</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（国民经济行业代码为：645、652、397、732）</w:t>
      </w:r>
    </w:p>
    <w:p w14:paraId="2E29DA23">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大数据中心是数字经济时代的核心算力基础设施，也是数据要素存储、处理与流通的关键载体。从产业链来看，大数据中心向上游可带动芯片、光通信、服务器制造等硬件产业发展，向下游可支撑人工智能、工业互联网等新兴应用，产业带动能力突出。随着国家“东数西算”工程深入推进，算力需求持续旺盛，大数据中心产业正迎来高速增长窗口期。</w:t>
      </w:r>
    </w:p>
    <w:p w14:paraId="0FB07583">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在泥达湖片区，周边网安基地一期已建成中金数谷、中国电信等数据中心，项目内部的中国大数据中心更为片区提供了核心引擎。武汉市明确提出完善“通算+智算+超算”多元算力体系，湖北省设立百亿数据产业基金支持数据中心及算力中心建设。下一步应依托现有数据中心集聚优势，向上游延伸硬件制造配套，向下游拓展数据标注、数据应用服务，构建覆盖“硬件制造—设施运营—数据应用”的全产业链生态，将片区打造为辐射中部的大数据产业高地。</w:t>
      </w:r>
    </w:p>
    <w:p w14:paraId="155C2E6C">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2、云计算中心</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（国民经济行业代码为：387、391、398、643、651、653、748）</w:t>
      </w:r>
    </w:p>
    <w:p w14:paraId="5F1E033C">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云计算中心是现代数字经济的“发动机”，通过提供弹性算力与平台服务，赋能千行百业数字化转型。云计算产业链处于算力基础设施与行业应用之间的中枢环节，向上承接服务器、网络设备等硬件，向下支撑人工智能、大模型、物联网等应用场景。随着人工智能大模型技术的爆发式增长，云计算服务需求急剧扩大，市场空间广阔。</w:t>
      </w:r>
    </w:p>
    <w:p w14:paraId="65CC3179">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泥达湖片区周边网安基地一期已布局算力中心、智算中心等多元算力资源，项目内部中国大数据中心可与之形成“算力+云服务”协同。武汉市已完善“通算+智算+超算”多元算力体系，设立算力服务券重点支持中小企业购买云计算服务，湖北省算力互联互通平台也已上线运行。下一步应重点发展云原生应用开发、多云管理等新兴服务能力，对接算力服务券政策吸引创新团队入驻，推动形成以中国大数据中心为算力底座、多元云平台为服务主体的融合集群，将片区建设成为武汉中部算力枢纽的重要功能节点。</w:t>
      </w:r>
    </w:p>
    <w:p w14:paraId="623A3E48">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3、创新科技产业</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（国民经济行业代码为：356、642、753、754）</w:t>
      </w:r>
    </w:p>
    <w:p w14:paraId="54B3D866">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创新科技产业是新质生产力的核心承载领域，涵盖网络内容审核、头部平台企业应用、算法企业孵化及科创园区科研机构等方向。该产业的核心价值在于打通“基础研究—技术攻关—成果转化—企业孵化—产业发展”全链条，能够形成高附加值的创新生态集群。在当前数字经济与实体经济深度融合的背景下，创新科技产业已成为区域高质量发展的战略制高点。</w:t>
      </w:r>
    </w:p>
    <w:p w14:paraId="06E32B70">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泥达湖片区紧邻网安基地一期，可充分承接其人才、技术及产业溢出效应。基地内拥有武汉大学、华中科技大学两所一流网安学院，已建成金银湖实验室、黄鹤实验室等8大创新平台，集聚企业300余家。2025年揭牌的网谷产业创新研究院实行“先投后股”“股权直投”等市场化机制，为科技成果转化和初创企业孵化提供全周期支撑。下一步应以网谷产业创新研究院为创新策源核心，重点引入网络内容审核、平台型区域总部、算法研发团队等高附加值业态，构建覆盖“种子—苗圃—孵化—加速”全周期的创业服务体系，推动泥达湖片区与网安基地一体化发展，打造“中国网谷”核心创新板块。</w:t>
      </w:r>
    </w:p>
    <w:p w14:paraId="7F5F75B8">
      <w:pPr>
        <w:pStyle w:val="4"/>
        <w:rPr>
          <w:rFonts w:eastAsiaTheme="minorEastAsia"/>
          <w:color w:val="000000" w:themeColor="text1"/>
          <w:kern w:val="0"/>
          <w:szCs w:val="24"/>
          <w:highlight w:val="none"/>
          <w14:textFill>
            <w14:solidFill>
              <w14:schemeClr w14:val="tx1"/>
            </w14:solidFill>
          </w14:textFill>
        </w:rPr>
      </w:pPr>
      <w:r>
        <w:rPr>
          <w:rFonts w:eastAsiaTheme="minorEastAsia"/>
          <w:color w:val="000000" w:themeColor="text1"/>
          <w:kern w:val="0"/>
          <w:szCs w:val="24"/>
          <w:highlight w:val="none"/>
          <w14:textFill>
            <w14:solidFill>
              <w14:schemeClr w14:val="tx1"/>
            </w14:solidFill>
          </w14:textFill>
        </w:rPr>
        <w:t>专项工程规划</w:t>
      </w:r>
    </w:p>
    <w:p w14:paraId="0C340AE9">
      <w:pPr>
        <w:adjustRightInd w:val="0"/>
        <w:snapToGrid w:val="0"/>
        <w:spacing w:line="360" w:lineRule="auto"/>
        <w:ind w:firstLine="482" w:firstLineChars="200"/>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（1）道路交通</w:t>
      </w:r>
    </w:p>
    <w:p w14:paraId="41C0597B">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规划将产业组团道路分为三级：主干路、次干路和支路。</w:t>
      </w:r>
    </w:p>
    <w:p w14:paraId="6C119383">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主干路：柏君路。</w:t>
      </w:r>
    </w:p>
    <w:p w14:paraId="7C0B0B77">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次干路：东流港路</w:t>
      </w:r>
    </w:p>
    <w:p w14:paraId="01EC41CB">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支路：双港一路、双港二路、双港三路、马湾路、规划三路、马湾北路、双港北路、双港路、双港南路、马湾南路</w:t>
      </w:r>
    </w:p>
    <w:p w14:paraId="5B7ABF82">
      <w:pPr>
        <w:bidi w:val="0"/>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各级道路红线宽分别为：主干路40米，次干路30米，支路15-20米。</w:t>
      </w:r>
    </w:p>
    <w:p w14:paraId="1A585467">
      <w:pPr>
        <w:adjustRightInd w:val="0"/>
        <w:snapToGrid w:val="0"/>
        <w:spacing w:line="360" w:lineRule="auto"/>
        <w:ind w:firstLine="482" w:firstLineChars="200"/>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（2）</w:t>
      </w:r>
      <w:r>
        <w:rPr>
          <w:b/>
          <w:bCs/>
          <w:color w:val="000000" w:themeColor="text1"/>
          <w:sz w:val="24"/>
          <w:szCs w:val="24"/>
          <w:highlight w:val="none"/>
          <w14:textFill>
            <w14:solidFill>
              <w14:schemeClr w14:val="tx1"/>
            </w14:solidFill>
          </w14:textFill>
        </w:rPr>
        <w:t>绿地系统</w:t>
      </w:r>
    </w:p>
    <w:p w14:paraId="6AF9B181">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规划区北侧临郊野游憩型湖泊泥达湖、南侧临东流港，西侧临昌家河，规划区内东流港路、柏君路两侧规划为公园绿地。规划公园绿地面积11.06公顷。</w:t>
      </w:r>
    </w:p>
    <w:p w14:paraId="09160DE7">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规划区以生产功能为主，东流港路、柏君路两侧规划为景观性公共绿地，双港一路与双港北路交界处规划为防护绿地。规划防护绿地面积0.59公顷。</w:t>
      </w:r>
    </w:p>
    <w:p w14:paraId="28916A0B">
      <w:pPr>
        <w:bidi w:val="0"/>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工业企业厂区绿地率不超过20%，一般应在15%左右，厂区严禁建设花园式工厂。</w:t>
      </w:r>
    </w:p>
    <w:p w14:paraId="333A5C25">
      <w:pPr>
        <w:adjustRightInd w:val="0"/>
        <w:snapToGrid w:val="0"/>
        <w:spacing w:line="360" w:lineRule="auto"/>
        <w:ind w:firstLine="482" w:firstLineChars="200"/>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（3）</w:t>
      </w:r>
      <w:r>
        <w:rPr>
          <w:b/>
          <w:bCs/>
          <w:color w:val="000000" w:themeColor="text1"/>
          <w:sz w:val="24"/>
          <w:szCs w:val="24"/>
          <w:highlight w:val="none"/>
          <w14:textFill>
            <w14:solidFill>
              <w14:schemeClr w14:val="tx1"/>
            </w14:solidFill>
          </w14:textFill>
        </w:rPr>
        <w:t>市政</w:t>
      </w:r>
      <w:r>
        <w:rPr>
          <w:rFonts w:hint="eastAsia"/>
          <w:b/>
          <w:bCs/>
          <w:color w:val="000000" w:themeColor="text1"/>
          <w:sz w:val="24"/>
          <w:szCs w:val="24"/>
          <w:highlight w:val="none"/>
          <w14:textFill>
            <w14:solidFill>
              <w14:schemeClr w14:val="tx1"/>
            </w14:solidFill>
          </w14:textFill>
        </w:rPr>
        <w:t>保障</w:t>
      </w:r>
    </w:p>
    <w:p w14:paraId="47A74426">
      <w:pPr>
        <w:bidi w:val="0"/>
        <w:spacing w:line="360" w:lineRule="auto"/>
        <w:ind w:firstLine="482" w:firstLineChars="200"/>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供水：</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规划区由余氏墩水厂供水，余氏墩水厂供水规模为15万吨/日，经张柏路自来水加压泵站向规划区提供，水源取自汉江</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p>
    <w:p w14:paraId="04FD5E61">
      <w:pPr>
        <w:bidi w:val="0"/>
        <w:spacing w:line="360" w:lineRule="auto"/>
        <w:ind w:firstLine="482"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污水</w:t>
      </w:r>
      <w:r>
        <w:rPr>
          <w:rFonts w:hint="eastAsia" w:ascii="Times New Roman" w:hAnsi="Times New Roman" w:eastAsia="宋体" w:cs="Times New Roman"/>
          <w:b/>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采用雨、污水分流制</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充分利用现状地形、水系，新建雨水管渠，使之成为完整、系统的雨水排水体系。规划雨水管道接入临港路的雨水箱涵中，之后沿雨水箱涵排入南侧东流港河、西侧昌家河。规划区污水主要为生产污水，污水经支管收集后排入东流港路污水管道，水流方向由东向西，至东流港路污水提升泵站，最后排入九通路污水主管，最终排入东西湖污水处理厂处理达标后排放。</w:t>
      </w:r>
    </w:p>
    <w:p w14:paraId="43223CC9">
      <w:pPr>
        <w:bidi w:val="0"/>
        <w:spacing w:line="360" w:lineRule="auto"/>
        <w:ind w:firstLine="482"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供电：</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由500KV柏泉变电站经220KV大屋岗变电站接入规划区进行供电。规划区范围内配电网采用环状网络</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6E9BD568">
      <w:pPr>
        <w:bidi w:val="0"/>
        <w:spacing w:line="360" w:lineRule="auto"/>
        <w:ind w:firstLine="482"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供气：</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规划区采用天然气，气源来自柏泉高压调压站，采用中压一级管道供气，输配气干管由东流港路接入，沿双港二路、马湾路等建设中压燃气支管，并设置预留支管和阀门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002BDA9">
      <w:pPr>
        <w:bidi w:val="0"/>
        <w:spacing w:line="360" w:lineRule="auto"/>
        <w:ind w:firstLine="482"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环卫：</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规划区主要生产垃圾类型为工业垃圾。工业垃圾由产生垃圾的企业按类别及规定负责清运转运或处理，没有运力的可委托环卫部门有偿代运。工业垃圾严格按国家规定进行处理，避免环境污染</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1C074569">
      <w:pPr>
        <w:pStyle w:val="3"/>
        <w:rPr>
          <w:rFonts w:eastAsiaTheme="minorEastAsia"/>
          <w:color w:val="000000" w:themeColor="text1"/>
          <w:kern w:val="0"/>
          <w:highlight w:val="none"/>
          <w14:textFill>
            <w14:solidFill>
              <w14:schemeClr w14:val="tx1"/>
            </w14:solidFill>
          </w14:textFill>
        </w:rPr>
      </w:pPr>
      <w:bookmarkStart w:id="272" w:name="_Toc17085"/>
      <w:bookmarkStart w:id="273" w:name="_Toc10246"/>
      <w:r>
        <w:rPr>
          <w:rFonts w:eastAsiaTheme="minorEastAsia"/>
          <w:color w:val="000000" w:themeColor="text1"/>
          <w:kern w:val="0"/>
          <w:highlight w:val="none"/>
          <w14:textFill>
            <w14:solidFill>
              <w14:schemeClr w14:val="tx1"/>
            </w14:solidFill>
          </w14:textFill>
        </w:rPr>
        <w:t>规划协调性分析</w:t>
      </w:r>
      <w:bookmarkEnd w:id="272"/>
      <w:bookmarkEnd w:id="273"/>
    </w:p>
    <w:p w14:paraId="5DFE9C91">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本次评价从发展目标与功能定位、产业定位、空间布局、资源利用和环境保护等方面，分析网安半岛泥达湖片区产业组团规划与国家、湖北省、武汉市及区域上位和同层位规划的协调性。</w:t>
      </w:r>
    </w:p>
    <w:p w14:paraId="0BC95533">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根据分析，《</w:t>
      </w:r>
      <w:r>
        <w:rPr>
          <w:rFonts w:hint="eastAsia" w:eastAsiaTheme="minorEastAsia"/>
          <w:color w:val="000000" w:themeColor="text1"/>
          <w:spacing w:val="-3"/>
          <w:sz w:val="24"/>
          <w:highlight w:val="none"/>
          <w14:textFill>
            <w14:solidFill>
              <w14:schemeClr w14:val="tx1"/>
            </w14:solidFill>
          </w14:textFill>
        </w:rPr>
        <w:t>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eastAsiaTheme="minorEastAsia"/>
          <w:color w:val="000000" w:themeColor="text1"/>
          <w:spacing w:val="-3"/>
          <w:sz w:val="24"/>
          <w:highlight w:val="none"/>
          <w14:textFill>
            <w14:solidFill>
              <w14:schemeClr w14:val="tx1"/>
            </w14:solidFill>
          </w14:textFill>
        </w:rPr>
        <w:t>建设规划</w:t>
      </w:r>
      <w:r>
        <w:rPr>
          <w:rFonts w:eastAsiaTheme="minorEastAsia"/>
          <w:color w:val="000000" w:themeColor="text1"/>
          <w:spacing w:val="-3"/>
          <w:sz w:val="24"/>
          <w:highlight w:val="none"/>
          <w14:textFill>
            <w14:solidFill>
              <w14:schemeClr w14:val="tx1"/>
            </w14:solidFill>
          </w14:textFill>
        </w:rPr>
        <w:t>》规划定位及产业发展方向总体符合</w:t>
      </w:r>
      <w:r>
        <w:rPr>
          <w:rFonts w:hint="eastAsia" w:eastAsiaTheme="minorEastAsia"/>
          <w:color w:val="000000" w:themeColor="text1"/>
          <w:spacing w:val="-3"/>
          <w:sz w:val="24"/>
          <w:highlight w:val="none"/>
          <w14:textFill>
            <w14:solidFill>
              <w14:schemeClr w14:val="tx1"/>
            </w14:solidFill>
          </w14:textFill>
        </w:rPr>
        <w:t>《湖北省国民经济和社会发展第十五个五年规划纲要》《武汉市国民经济和社会发展第十五个五年规划纲要》《武汉市国土空间总体规划（2021-2035年）》</w:t>
      </w:r>
      <w:r>
        <w:rPr>
          <w:rFonts w:hint="eastAsia" w:eastAsiaTheme="minorEastAsia"/>
          <w:color w:val="000000" w:themeColor="text1"/>
          <w:spacing w:val="-3"/>
          <w:sz w:val="24"/>
          <w:highlight w:val="none"/>
          <w:lang w:eastAsia="zh-CN"/>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武汉市生态环境分区管控更新成果（2023年版）</w:t>
      </w:r>
      <w:r>
        <w:rPr>
          <w:rFonts w:hint="eastAsia" w:eastAsiaTheme="minorEastAsia"/>
          <w:color w:val="000000" w:themeColor="text1"/>
          <w:spacing w:val="-3"/>
          <w:sz w:val="24"/>
          <w:highlight w:val="none"/>
          <w:lang w:eastAsia="zh-CN"/>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中华人民共和国长江保护法</w:t>
      </w:r>
      <w:r>
        <w:rPr>
          <w:rFonts w:hint="eastAsia" w:eastAsiaTheme="minorEastAsia"/>
          <w:color w:val="000000" w:themeColor="text1"/>
          <w:spacing w:val="-3"/>
          <w:sz w:val="24"/>
          <w:highlight w:val="none"/>
          <w:lang w:eastAsia="zh-CN"/>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长江经济带发展负面清单指南（试行，2022年版）</w:t>
      </w:r>
      <w:r>
        <w:rPr>
          <w:rFonts w:hint="eastAsia" w:eastAsiaTheme="minorEastAsia"/>
          <w:color w:val="000000" w:themeColor="text1"/>
          <w:spacing w:val="-3"/>
          <w:sz w:val="24"/>
          <w:highlight w:val="none"/>
          <w:lang w:eastAsia="zh-CN"/>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长江经济带发展负面清单指南（试行，2022年版）湖北省实施细则》</w:t>
      </w:r>
      <w:r>
        <w:rPr>
          <w:rFonts w:eastAsiaTheme="minorEastAsia"/>
          <w:color w:val="000000" w:themeColor="text1"/>
          <w:spacing w:val="-3"/>
          <w:sz w:val="24"/>
          <w:highlight w:val="none"/>
          <w14:textFill>
            <w14:solidFill>
              <w14:schemeClr w14:val="tx1"/>
            </w14:solidFill>
          </w14:textFill>
        </w:rPr>
        <w:t>等规划的要求</w:t>
      </w:r>
      <w:r>
        <w:rPr>
          <w:rFonts w:hint="eastAsia" w:eastAsiaTheme="minorEastAsia"/>
          <w:color w:val="000000" w:themeColor="text1"/>
          <w:spacing w:val="-3"/>
          <w:sz w:val="24"/>
          <w:highlight w:val="none"/>
          <w14:textFill>
            <w14:solidFill>
              <w14:schemeClr w14:val="tx1"/>
            </w14:solidFill>
          </w14:textFill>
        </w:rPr>
        <w:t>。</w:t>
      </w:r>
      <w:r>
        <w:rPr>
          <w:rFonts w:eastAsiaTheme="minorEastAsia"/>
          <w:color w:val="000000" w:themeColor="text1"/>
          <w:spacing w:val="-3"/>
          <w:sz w:val="24"/>
          <w:highlight w:val="none"/>
          <w14:textFill>
            <w14:solidFill>
              <w14:schemeClr w14:val="tx1"/>
            </w14:solidFill>
          </w14:textFill>
        </w:rPr>
        <w:t xml:space="preserve"> </w:t>
      </w:r>
    </w:p>
    <w:p w14:paraId="3885E40E">
      <w:p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规划与武汉市“三区三线”划分情况分析，网安半岛泥达湖片区产业组团规划范围全部位于城镇开发边界范围内，不涉及永久基本农田和生态保护红线，规划区不涉及风景名胜区、饮用水水源地保护区等环境敏感区。</w:t>
      </w:r>
    </w:p>
    <w:p w14:paraId="58A6DBB6">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网安半岛泥达湖片区产业组团不涉及生态保护红线，网安半岛泥达湖片区产业组团规划涉及武汉市生态环境分区管控中的径河街道重点管控单元，后期应严格按照生态环境分区管控的要求加强对径河街道重点管控单元的环境管理。</w:t>
      </w:r>
    </w:p>
    <w:p w14:paraId="31048396">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网安半岛泥达湖片区产业组团规划范围不涉及泥达湖湖泊保护区，涉及泥达湖湖泊控制区，湖泊控制区规划为公园绿地，规划应严格执行《湖北省湖泊保护条例》的要求，禁止在湖泊控制区内从事可能对湖泊产生污染的项目建设和其他危害湖泊生态环境的活动，禁止向湖泊排放未经处理或者处理未达标的工业废水、生活污水，切实保护好泥达湖的生态环境。对现状企业管网和片区管网开发建设严格落实雨污分流，确保各类废水全部收集至污水处理厂集中处理。规划区域内企业自建污水处理设施，处理达到相应纳管标准后经市政污水管网排入东西湖污水处理厂，不涉及排入泥达湖。建议加强片区基础设施建设，确保雨、污分流，全收集全处理，工业废水和初期雨水全部进入污水处理厂处理后入府河，不得排入湖泊。</w:t>
      </w:r>
    </w:p>
    <w:p w14:paraId="7E05C162">
      <w:pPr>
        <w:pStyle w:val="2"/>
        <w:pageBreakBefore/>
        <w:tabs>
          <w:tab w:val="clear" w:pos="1701"/>
        </w:tabs>
        <w:ind w:left="425"/>
        <w:rPr>
          <w:rFonts w:eastAsiaTheme="minorEastAsia"/>
          <w:color w:val="000000" w:themeColor="text1"/>
          <w:sz w:val="31"/>
          <w:szCs w:val="31"/>
          <w:highlight w:val="none"/>
          <w14:textFill>
            <w14:solidFill>
              <w14:schemeClr w14:val="tx1"/>
            </w14:solidFill>
          </w14:textFill>
        </w:rPr>
      </w:pPr>
      <w:bookmarkStart w:id="274" w:name="bookmark6"/>
      <w:bookmarkEnd w:id="274"/>
      <w:bookmarkStart w:id="275" w:name="bookmark5"/>
      <w:bookmarkEnd w:id="275"/>
      <w:bookmarkStart w:id="276" w:name="_Toc27158"/>
      <w:bookmarkStart w:id="277" w:name="_Toc27919"/>
      <w:r>
        <w:rPr>
          <w:rFonts w:eastAsiaTheme="minorEastAsia"/>
          <w:color w:val="000000" w:themeColor="text1"/>
          <w:highlight w:val="none"/>
          <w14:textFill>
            <w14:solidFill>
              <w14:schemeClr w14:val="tx1"/>
            </w14:solidFill>
          </w14:textFill>
        </w:rPr>
        <w:t>现状调查与评价</w:t>
      </w:r>
      <w:bookmarkEnd w:id="276"/>
      <w:bookmarkEnd w:id="277"/>
    </w:p>
    <w:p w14:paraId="3DD8BFC4">
      <w:pPr>
        <w:pStyle w:val="3"/>
        <w:rPr>
          <w:rFonts w:eastAsiaTheme="minorEastAsia"/>
          <w:color w:val="000000" w:themeColor="text1"/>
          <w:kern w:val="0"/>
          <w:highlight w:val="none"/>
          <w14:textFill>
            <w14:solidFill>
              <w14:schemeClr w14:val="tx1"/>
            </w14:solidFill>
          </w14:textFill>
        </w:rPr>
      </w:pPr>
      <w:bookmarkStart w:id="278" w:name="_Toc17733"/>
      <w:bookmarkStart w:id="279" w:name="_Toc20350"/>
      <w:r>
        <w:rPr>
          <w:rFonts w:eastAsiaTheme="minorEastAsia"/>
          <w:color w:val="000000" w:themeColor="text1"/>
          <w:kern w:val="0"/>
          <w:highlight w:val="none"/>
          <w14:textFill>
            <w14:solidFill>
              <w14:schemeClr w14:val="tx1"/>
            </w14:solidFill>
          </w14:textFill>
        </w:rPr>
        <w:t>环境质量现状调查与评价</w:t>
      </w:r>
      <w:bookmarkEnd w:id="278"/>
      <w:bookmarkEnd w:id="279"/>
    </w:p>
    <w:p w14:paraId="3F41A316">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（1）环境空气</w:t>
      </w:r>
    </w:p>
    <w:p w14:paraId="3D142AD6">
      <w:pPr>
        <w:pStyle w:val="20"/>
        <w:ind w:firstLine="480"/>
        <w:rPr>
          <w:rFonts w:hint="eastAsia" w:eastAsiaTheme="minorEastAsia"/>
          <w:color w:val="000000" w:themeColor="text1"/>
          <w:spacing w:val="-3"/>
          <w:sz w:val="24"/>
          <w:highlight w:val="none"/>
          <w:lang w:eastAsia="zh-CN"/>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根据武汉市生态环境局发布的《2024年武汉市生态环境状况公报》，公布的武汉市环境空气质量达标情况，评价区域2024年达标判定结果为：不达标区</w:t>
      </w:r>
      <w:r>
        <w:rPr>
          <w:rFonts w:hint="eastAsia" w:eastAsiaTheme="minorEastAsia"/>
          <w:color w:val="000000" w:themeColor="text1"/>
          <w:spacing w:val="-3"/>
          <w:sz w:val="24"/>
          <w:highlight w:val="none"/>
          <w:lang w:eastAsia="zh-CN"/>
          <w14:textFill>
            <w14:solidFill>
              <w14:schemeClr w14:val="tx1"/>
            </w14:solidFill>
          </w14:textFill>
        </w:rPr>
        <w:t>。对比《环境空气质量标准》（GB3095-2026）表1“过渡阶段浓度限值”和“浓度限值”，评价区域2024年达标判定结果为：不达标区。</w:t>
      </w:r>
    </w:p>
    <w:p w14:paraId="5F7BB115">
      <w:pPr>
        <w:pStyle w:val="20"/>
        <w:ind w:firstLine="480"/>
        <w:rPr>
          <w:rFonts w:hint="eastAsia" w:eastAsiaTheme="minorEastAsia"/>
          <w:color w:val="000000" w:themeColor="text1"/>
          <w:spacing w:val="-3"/>
          <w:sz w:val="24"/>
          <w:highlight w:val="none"/>
          <w:lang w:eastAsia="zh-CN"/>
          <w14:textFill>
            <w14:solidFill>
              <w14:schemeClr w14:val="tx1"/>
            </w14:solidFill>
          </w14:textFill>
        </w:rPr>
      </w:pPr>
      <w:r>
        <w:rPr>
          <w:rFonts w:hint="eastAsia" w:eastAsiaTheme="minorEastAsia"/>
          <w:color w:val="000000" w:themeColor="text1"/>
          <w:spacing w:val="-3"/>
          <w:sz w:val="24"/>
          <w:highlight w:val="none"/>
          <w:lang w:eastAsia="zh-CN"/>
          <w14:textFill>
            <w14:solidFill>
              <w14:schemeClr w14:val="tx1"/>
            </w14:solidFill>
          </w14:textFill>
        </w:rPr>
        <w:t>根据东西湖区吴家山空气质量自动监测站（国控点）历年监测数据情况来看，2024年环境空气质量不能满足《环境空气质量标准》（GB3095-2026）“过渡阶段浓度限值”二级标准，PM</w:t>
      </w:r>
      <w:r>
        <w:rPr>
          <w:rFonts w:hint="eastAsia" w:eastAsiaTheme="minorEastAsia"/>
          <w:color w:val="000000" w:themeColor="text1"/>
          <w:spacing w:val="-3"/>
          <w:sz w:val="24"/>
          <w:highlight w:val="none"/>
          <w:vertAlign w:val="subscript"/>
          <w:lang w:eastAsia="zh-CN"/>
          <w14:textFill>
            <w14:solidFill>
              <w14:schemeClr w14:val="tx1"/>
            </w14:solidFill>
          </w14:textFill>
        </w:rPr>
        <w:t>2.5</w:t>
      </w:r>
      <w:r>
        <w:rPr>
          <w:rFonts w:hint="eastAsia" w:eastAsiaTheme="minorEastAsia"/>
          <w:color w:val="000000" w:themeColor="text1"/>
          <w:spacing w:val="-3"/>
          <w:sz w:val="24"/>
          <w:highlight w:val="none"/>
          <w:lang w:eastAsia="zh-CN"/>
          <w14:textFill>
            <w14:solidFill>
              <w14:schemeClr w14:val="tx1"/>
            </w14:solidFill>
          </w14:textFill>
        </w:rPr>
        <w:t>、O</w:t>
      </w:r>
      <w:r>
        <w:rPr>
          <w:rFonts w:hint="eastAsia" w:eastAsiaTheme="minorEastAsia"/>
          <w:color w:val="000000" w:themeColor="text1"/>
          <w:spacing w:val="-3"/>
          <w:sz w:val="24"/>
          <w:highlight w:val="none"/>
          <w:vertAlign w:val="subscript"/>
          <w:lang w:eastAsia="zh-CN"/>
          <w14:textFill>
            <w14:solidFill>
              <w14:schemeClr w14:val="tx1"/>
            </w14:solidFill>
          </w14:textFill>
        </w:rPr>
        <w:t>3</w:t>
      </w:r>
      <w:r>
        <w:rPr>
          <w:rFonts w:hint="eastAsia" w:eastAsiaTheme="minorEastAsia"/>
          <w:color w:val="000000" w:themeColor="text1"/>
          <w:spacing w:val="-3"/>
          <w:sz w:val="24"/>
          <w:highlight w:val="none"/>
          <w:lang w:eastAsia="zh-CN"/>
          <w14:textFill>
            <w14:solidFill>
              <w14:schemeClr w14:val="tx1"/>
            </w14:solidFill>
          </w14:textFill>
        </w:rPr>
        <w:t>存在超标。泾河街道微站2025年环境空气质量不能满足《环境空气质量标准》（GB3095-2026）“过渡阶段浓度限值”二级标准，PM</w:t>
      </w:r>
      <w:r>
        <w:rPr>
          <w:rFonts w:hint="eastAsia" w:eastAsiaTheme="minorEastAsia"/>
          <w:color w:val="000000" w:themeColor="text1"/>
          <w:spacing w:val="-3"/>
          <w:sz w:val="24"/>
          <w:highlight w:val="none"/>
          <w:vertAlign w:val="subscript"/>
          <w:lang w:eastAsia="zh-CN"/>
          <w14:textFill>
            <w14:solidFill>
              <w14:schemeClr w14:val="tx1"/>
            </w14:solidFill>
          </w14:textFill>
        </w:rPr>
        <w:t>2.5</w:t>
      </w:r>
      <w:r>
        <w:rPr>
          <w:rFonts w:hint="eastAsia" w:eastAsiaTheme="minorEastAsia"/>
          <w:color w:val="000000" w:themeColor="text1"/>
          <w:spacing w:val="-3"/>
          <w:sz w:val="24"/>
          <w:highlight w:val="none"/>
          <w:lang w:eastAsia="zh-CN"/>
          <w14:textFill>
            <w14:solidFill>
              <w14:schemeClr w14:val="tx1"/>
            </w14:solidFill>
          </w14:textFill>
        </w:rPr>
        <w:t>、PM</w:t>
      </w:r>
      <w:r>
        <w:rPr>
          <w:rFonts w:hint="eastAsia" w:eastAsiaTheme="minorEastAsia"/>
          <w:color w:val="000000" w:themeColor="text1"/>
          <w:spacing w:val="-3"/>
          <w:sz w:val="24"/>
          <w:highlight w:val="none"/>
          <w:vertAlign w:val="subscript"/>
          <w:lang w:eastAsia="zh-CN"/>
          <w14:textFill>
            <w14:solidFill>
              <w14:schemeClr w14:val="tx1"/>
            </w14:solidFill>
          </w14:textFill>
        </w:rPr>
        <w:t>10</w:t>
      </w:r>
      <w:r>
        <w:rPr>
          <w:rFonts w:hint="eastAsia" w:eastAsiaTheme="minorEastAsia"/>
          <w:color w:val="000000" w:themeColor="text1"/>
          <w:spacing w:val="-3"/>
          <w:sz w:val="24"/>
          <w:highlight w:val="none"/>
          <w:lang w:eastAsia="zh-CN"/>
          <w14:textFill>
            <w14:solidFill>
              <w14:schemeClr w14:val="tx1"/>
            </w14:solidFill>
          </w14:textFill>
        </w:rPr>
        <w:t>存在超标。</w:t>
      </w:r>
    </w:p>
    <w:p w14:paraId="541A5783">
      <w:pPr>
        <w:pStyle w:val="20"/>
        <w:ind w:firstLine="48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lang w:val="en-US" w:eastAsia="zh-CN"/>
          <w14:textFill>
            <w14:solidFill>
              <w14:schemeClr w14:val="tx1"/>
            </w14:solidFill>
          </w14:textFill>
        </w:rPr>
        <w:t>根据2026年6月的补充监测结果，规划区域各监测点各点位中TVOC、甲醛、氨、硫酸雾、氯化氢、氯、硫化氢均能满足《环境影响评价技术导则 大气环境》（HJ2.2-2018）附录D其他污染物空气质量浓度参考限值，氟化物、砷及其化合物可以满足《环境空气质量标准（GB3095-2026）》附录A限值要求，酚类能满足《大气污染物综合排放标准详解》（GB3095-2012）标准限值要求</w:t>
      </w:r>
      <w:r>
        <w:rPr>
          <w:rFonts w:hint="eastAsia" w:cs="Times New Roman"/>
          <w:b w:val="0"/>
          <w:bCs w:val="0"/>
          <w:color w:val="000000" w:themeColor="text1"/>
          <w:lang w:eastAsia="zh-CN"/>
          <w14:textFill>
            <w14:solidFill>
              <w14:schemeClr w14:val="tx1"/>
            </w14:solidFill>
          </w14:textFill>
        </w:rPr>
        <w:t>。</w:t>
      </w:r>
    </w:p>
    <w:p w14:paraId="119C123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（2）地表水</w:t>
      </w:r>
    </w:p>
    <w:p w14:paraId="7D4A759C">
      <w:pPr>
        <w:adjustRightInd w:val="0"/>
        <w:snapToGrid w:val="0"/>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202</w:t>
      </w:r>
      <w:r>
        <w:rPr>
          <w:rFonts w:hint="eastAsia"/>
          <w:color w:val="000000" w:themeColor="text1"/>
          <w:sz w:val="24"/>
          <w:highlight w:val="none"/>
          <w:lang w:val="en-US" w:eastAsia="zh-CN"/>
          <w14:textFill>
            <w14:solidFill>
              <w14:schemeClr w14:val="tx1"/>
            </w14:solidFill>
          </w14:textFill>
        </w:rPr>
        <w:t>0</w:t>
      </w:r>
      <w:r>
        <w:rPr>
          <w:rFonts w:hint="eastAsia"/>
          <w:color w:val="000000" w:themeColor="text1"/>
          <w:sz w:val="24"/>
          <w:highlight w:val="none"/>
          <w14:textFill>
            <w14:solidFill>
              <w14:schemeClr w14:val="tx1"/>
            </w14:solidFill>
          </w14:textFill>
        </w:rPr>
        <w:t>年~2024年府河太平沙、朱家河口断面现状水质可以达到《地表水环境质量标准》（GB3838-2002）</w:t>
      </w:r>
      <w:r>
        <w:rPr>
          <w:rFonts w:hint="default" w:ascii="Times New Roman" w:hAnsi="Times New Roman" w:cs="Times New Roman"/>
          <w:color w:val="000000" w:themeColor="text1"/>
          <w:sz w:val="24"/>
          <w:highlight w:val="none"/>
          <w14:textFill>
            <w14:solidFill>
              <w14:schemeClr w14:val="tx1"/>
            </w14:solidFill>
          </w14:textFill>
        </w:rPr>
        <w:t>Ⅲ</w:t>
      </w:r>
      <w:r>
        <w:rPr>
          <w:rFonts w:hint="eastAsia"/>
          <w:color w:val="000000" w:themeColor="text1"/>
          <w:sz w:val="24"/>
          <w:highlight w:val="none"/>
          <w14:textFill>
            <w14:solidFill>
              <w14:schemeClr w14:val="tx1"/>
            </w14:solidFill>
          </w14:textFill>
        </w:rPr>
        <w:t xml:space="preserve">类标准，满足水环境功能区划要求，同时也满足湖北省《重点流域水生态环境保护规划》重点任务措施清单中府河太平沙、朱家河口2025年水质目标（太平沙为GB3838-2002 </w:t>
      </w:r>
      <w:r>
        <w:rPr>
          <w:rFonts w:hint="default" w:ascii="Times New Roman" w:hAnsi="Times New Roman" w:cs="Times New Roman"/>
          <w:color w:val="000000" w:themeColor="text1"/>
          <w:sz w:val="24"/>
          <w:highlight w:val="none"/>
          <w14:textFill>
            <w14:solidFill>
              <w14:schemeClr w14:val="tx1"/>
            </w14:solidFill>
          </w14:textFill>
        </w:rPr>
        <w:t>Ⅲ</w:t>
      </w:r>
      <w:r>
        <w:rPr>
          <w:rFonts w:hint="eastAsia"/>
          <w:color w:val="000000" w:themeColor="text1"/>
          <w:sz w:val="24"/>
          <w:highlight w:val="none"/>
          <w14:textFill>
            <w14:solidFill>
              <w14:schemeClr w14:val="tx1"/>
            </w14:solidFill>
          </w14:textFill>
        </w:rPr>
        <w:t xml:space="preserve">类，朱家河口为GB3838-2002 </w:t>
      </w:r>
      <w:r>
        <w:rPr>
          <w:rFonts w:hint="default" w:ascii="Times New Roman" w:hAnsi="Times New Roman" w:cs="Times New Roman"/>
          <w:color w:val="000000" w:themeColor="text1"/>
          <w:sz w:val="24"/>
          <w:highlight w:val="none"/>
          <w14:textFill>
            <w14:solidFill>
              <w14:schemeClr w14:val="tx1"/>
            </w14:solidFill>
          </w14:textFill>
        </w:rPr>
        <w:t>Ⅳ</w:t>
      </w:r>
      <w:r>
        <w:rPr>
          <w:rFonts w:hint="eastAsia"/>
          <w:color w:val="000000" w:themeColor="text1"/>
          <w:sz w:val="24"/>
          <w:highlight w:val="none"/>
          <w14:textFill>
            <w14:solidFill>
              <w14:schemeClr w14:val="tx1"/>
            </w14:solidFill>
          </w14:textFill>
        </w:rPr>
        <w:t>类）。泥达湖现状水质为</w:t>
      </w:r>
      <w:r>
        <w:rPr>
          <w:rFonts w:hint="default" w:ascii="Times New Roman" w:hAnsi="Times New Roman" w:cs="Times New Roman"/>
          <w:color w:val="000000" w:themeColor="text1"/>
          <w:sz w:val="24"/>
          <w:highlight w:val="none"/>
          <w14:textFill>
            <w14:solidFill>
              <w14:schemeClr w14:val="tx1"/>
            </w14:solidFill>
          </w14:textFill>
        </w:rPr>
        <w:t>Ⅲ</w:t>
      </w:r>
      <w:r>
        <w:rPr>
          <w:rFonts w:hint="eastAsia"/>
          <w:color w:val="000000" w:themeColor="text1"/>
          <w:sz w:val="24"/>
          <w:highlight w:val="none"/>
          <w14:textFill>
            <w14:solidFill>
              <w14:schemeClr w14:val="tx1"/>
            </w14:solidFill>
          </w14:textFill>
        </w:rPr>
        <w:t>类，泥达湖水环境逐渐好转。</w:t>
      </w:r>
    </w:p>
    <w:p w14:paraId="63C237AD">
      <w:pPr>
        <w:adjustRightInd w:val="0"/>
        <w:snapToGrid w:val="0"/>
        <w:spacing w:line="360" w:lineRule="auto"/>
        <w:ind w:firstLine="468" w:firstLineChars="200"/>
        <w:rPr>
          <w:rFonts w:hint="eastAsia"/>
          <w:color w:val="000000" w:themeColor="text1"/>
          <w:sz w:val="24"/>
          <w:highlight w:val="none"/>
          <w14:textFill>
            <w14:solidFill>
              <w14:schemeClr w14:val="tx1"/>
            </w14:solidFill>
          </w14:textFill>
        </w:rPr>
      </w:pPr>
      <w:r>
        <w:rPr>
          <w:rFonts w:hint="eastAsia" w:eastAsiaTheme="minorEastAsia"/>
          <w:color w:val="000000" w:themeColor="text1"/>
          <w:spacing w:val="-3"/>
          <w:sz w:val="24"/>
          <w:highlight w:val="none"/>
          <w:lang w:val="en-US" w:eastAsia="zh-CN"/>
          <w14:textFill>
            <w14:solidFill>
              <w14:schemeClr w14:val="tx1"/>
            </w14:solidFill>
          </w14:textFill>
        </w:rPr>
        <w:t xml:space="preserve">根据2026年6月的补充监测结果，东流港（位于规划区域南侧350m）断面水质不能满足GB3838-2002 </w:t>
      </w:r>
      <w:r>
        <w:rPr>
          <w:rFonts w:hint="default"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Ⅳ</w:t>
      </w:r>
      <w:r>
        <w:rPr>
          <w:rFonts w:hint="eastAsia" w:eastAsiaTheme="minorEastAsia"/>
          <w:color w:val="000000" w:themeColor="text1"/>
          <w:spacing w:val="-3"/>
          <w:sz w:val="24"/>
          <w:highlight w:val="none"/>
          <w:lang w:val="en-US" w:eastAsia="zh-CN"/>
          <w14:textFill>
            <w14:solidFill>
              <w14:schemeClr w14:val="tx1"/>
            </w14:solidFill>
          </w14:textFill>
        </w:rPr>
        <w:t>类标准，主要超标</w:t>
      </w:r>
      <w:r>
        <w:rPr>
          <w:rFonts w:hint="eastAsia" w:eastAsiaTheme="minorEastAsia"/>
          <w:color w:val="000000" w:themeColor="text1"/>
          <w:spacing w:val="-3"/>
          <w:sz w:val="24"/>
          <w:highlight w:val="none"/>
          <w:lang w:val="en-US" w:eastAsia="zh-CN"/>
          <w14:textFill>
            <w14:solidFill>
              <w14:schemeClr w14:val="tx1"/>
            </w14:solidFill>
          </w14:textFill>
        </w:rPr>
        <w:t>因子</w:t>
      </w:r>
      <w:r>
        <w:rPr>
          <w:rFonts w:hint="eastAsia" w:eastAsiaTheme="minorEastAsia"/>
          <w:color w:val="000000" w:themeColor="text1"/>
          <w:spacing w:val="-3"/>
          <w:sz w:val="24"/>
          <w:highlight w:val="none"/>
          <w:lang w:val="en-US" w:eastAsia="zh-CN"/>
          <w14:textFill>
            <w14:solidFill>
              <w14:schemeClr w14:val="tx1"/>
            </w14:solidFill>
          </w14:textFill>
        </w:rPr>
        <w:t xml:space="preserve">为总氮，昌家河断面水质不能满足GB3838-2002 </w:t>
      </w:r>
      <w:r>
        <w:rPr>
          <w:rFonts w:hint="default"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Ⅴ</w:t>
      </w:r>
      <w:r>
        <w:rPr>
          <w:rFonts w:hint="eastAsia" w:eastAsiaTheme="minorEastAsia"/>
          <w:color w:val="000000" w:themeColor="text1"/>
          <w:spacing w:val="-3"/>
          <w:sz w:val="24"/>
          <w:highlight w:val="none"/>
          <w:lang w:val="en-US" w:eastAsia="zh-CN"/>
          <w14:textFill>
            <w14:solidFill>
              <w14:schemeClr w14:val="tx1"/>
            </w14:solidFill>
          </w14:textFill>
        </w:rPr>
        <w:t>类标准，主要超标</w:t>
      </w:r>
      <w:r>
        <w:rPr>
          <w:rFonts w:hint="eastAsia" w:eastAsiaTheme="minorEastAsia"/>
          <w:color w:val="000000" w:themeColor="text1"/>
          <w:spacing w:val="-3"/>
          <w:sz w:val="24"/>
          <w:highlight w:val="none"/>
          <w:lang w:val="en-US" w:eastAsia="zh-CN"/>
          <w14:textFill>
            <w14:solidFill>
              <w14:schemeClr w14:val="tx1"/>
            </w14:solidFill>
          </w14:textFill>
        </w:rPr>
        <w:t>因子</w:t>
      </w:r>
      <w:r>
        <w:rPr>
          <w:rFonts w:hint="eastAsia" w:eastAsiaTheme="minorEastAsia"/>
          <w:color w:val="000000" w:themeColor="text1"/>
          <w:spacing w:val="-3"/>
          <w:sz w:val="24"/>
          <w:highlight w:val="none"/>
          <w:lang w:val="en-US" w:eastAsia="zh-CN"/>
          <w14:textFill>
            <w14:solidFill>
              <w14:schemeClr w14:val="tx1"/>
            </w14:solidFill>
          </w14:textFill>
        </w:rPr>
        <w:t>为总氮</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水质较差原因可能是周边农业面源污染影响，周边沟渠需加强水体污染治理。后期</w:t>
      </w:r>
      <w:r>
        <w:rPr>
          <w:rFonts w:hint="eastAsia"/>
          <w:color w:val="000000" w:themeColor="text1"/>
          <w:sz w:val="24"/>
          <w:highlight w:val="none"/>
          <w:lang w:val="en-US" w:eastAsia="zh-CN"/>
          <w14:textFill>
            <w14:solidFill>
              <w14:schemeClr w14:val="tx1"/>
            </w14:solidFill>
          </w14:textFill>
        </w:rPr>
        <w:t>径河</w:t>
      </w:r>
      <w:r>
        <w:rPr>
          <w:rFonts w:hint="eastAsia"/>
          <w:color w:val="000000" w:themeColor="text1"/>
          <w:sz w:val="24"/>
          <w:highlight w:val="none"/>
          <w14:textFill>
            <w14:solidFill>
              <w14:schemeClr w14:val="tx1"/>
            </w14:solidFill>
          </w14:textFill>
        </w:rPr>
        <w:t>街道应加强区域管网建设，加强环境管控，防止面源污染。</w:t>
      </w:r>
    </w:p>
    <w:p w14:paraId="289C355E">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（3）声环境</w:t>
      </w:r>
    </w:p>
    <w:p w14:paraId="0BB81066">
      <w:pPr>
        <w:pStyle w:val="19"/>
        <w:rPr>
          <w:rFonts w:eastAsiaTheme="minorEastAsia"/>
          <w:color w:val="000000" w:themeColor="text1"/>
          <w:spacing w:val="-3"/>
          <w:highlight w:val="none"/>
          <w14:textFill>
            <w14:solidFill>
              <w14:schemeClr w14:val="tx1"/>
            </w14:solidFill>
          </w14:textFill>
        </w:rPr>
      </w:pPr>
      <w:r>
        <w:rPr>
          <w:color w:val="000000" w:themeColor="text1"/>
          <w:highlight w:val="none"/>
          <w14:textFill>
            <w14:solidFill>
              <w14:schemeClr w14:val="tx1"/>
            </w14:solidFill>
          </w14:textFill>
        </w:rPr>
        <w:t>根据</w:t>
      </w:r>
      <w:r>
        <w:rPr>
          <w:rFonts w:hint="eastAsia"/>
          <w:color w:val="000000" w:themeColor="text1"/>
          <w:highlight w:val="none"/>
          <w14:textFill>
            <w14:solidFill>
              <w14:schemeClr w14:val="tx1"/>
            </w14:solidFill>
          </w14:textFill>
        </w:rPr>
        <w:t>武汉市</w:t>
      </w:r>
      <w:r>
        <w:rPr>
          <w:color w:val="000000" w:themeColor="text1"/>
          <w:highlight w:val="none"/>
          <w14:textFill>
            <w14:solidFill>
              <w14:schemeClr w14:val="tx1"/>
            </w14:solidFill>
          </w14:textFill>
        </w:rPr>
        <w:t>城区声环境功能区划及现场监测情况：</w:t>
      </w:r>
      <w:bookmarkStart w:id="280" w:name="_Hlk118109955"/>
      <w:bookmarkEnd w:id="280"/>
      <w:r>
        <w:rPr>
          <w:rFonts w:hint="eastAsia"/>
          <w:color w:val="000000" w:themeColor="text1"/>
          <w:highlight w:val="none"/>
          <w14:textFill>
            <w14:solidFill>
              <w14:schemeClr w14:val="tx1"/>
            </w14:solidFill>
          </w14:textFill>
        </w:rPr>
        <w:t>规划区监测点位昼间和夜间声环境质量均能达到《声环境质量标准》（GB3096-2008）中2类功能区的标准限值要求，区域内声环境质量良好</w:t>
      </w:r>
      <w:r>
        <w:rPr>
          <w:color w:val="000000" w:themeColor="text1"/>
          <w:highlight w:val="none"/>
          <w14:textFill>
            <w14:solidFill>
              <w14:schemeClr w14:val="tx1"/>
            </w14:solidFill>
          </w14:textFill>
        </w:rPr>
        <w:t>。</w:t>
      </w:r>
    </w:p>
    <w:p w14:paraId="2F59C3D7">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（4）地下水</w:t>
      </w:r>
    </w:p>
    <w:p w14:paraId="21BADE15">
      <w:pPr>
        <w:adjustRightInd w:val="0"/>
        <w:snapToGrid w:val="0"/>
        <w:spacing w:line="360" w:lineRule="auto"/>
        <w:ind w:firstLine="480" w:firstLineChars="200"/>
        <w:rPr>
          <w:rFonts w:eastAsiaTheme="minorEastAsia"/>
          <w:color w:val="000000" w:themeColor="text1"/>
          <w:spacing w:val="-3"/>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规划区地下水未划定功能区</w:t>
      </w:r>
      <w:r>
        <w:rPr>
          <w:rFonts w:hint="eastAsia"/>
          <w:color w:val="000000" w:themeColor="text1"/>
          <w:sz w:val="24"/>
          <w:highlight w:val="none"/>
          <w:lang w:eastAsia="zh-CN"/>
          <w14:textFill>
            <w14:solidFill>
              <w14:schemeClr w14:val="tx1"/>
            </w14:solidFill>
          </w14:textFill>
        </w:rPr>
        <w:t>，2026年6月网安半岛泥达湖片区产业组团现状监测点位均能满足《地下水质量标准》（GB/T14848-2017）</w:t>
      </w:r>
      <w:r>
        <w:rPr>
          <w:rFonts w:hint="default" w:ascii="Times New Roman" w:hAnsi="Times New Roman" w:cs="Times New Roman"/>
          <w:color w:val="000000" w:themeColor="text1"/>
          <w:sz w:val="24"/>
          <w:highlight w:val="none"/>
          <w:lang w:eastAsia="zh-CN"/>
          <w14:textFill>
            <w14:solidFill>
              <w14:schemeClr w14:val="tx1"/>
            </w14:solidFill>
          </w14:textFill>
        </w:rPr>
        <w:t>Ⅲ</w:t>
      </w:r>
      <w:r>
        <w:rPr>
          <w:rFonts w:hint="eastAsia"/>
          <w:color w:val="000000" w:themeColor="text1"/>
          <w:sz w:val="24"/>
          <w:highlight w:val="none"/>
          <w:lang w:eastAsia="zh-CN"/>
          <w14:textFill>
            <w14:solidFill>
              <w14:schemeClr w14:val="tx1"/>
            </w14:solidFill>
          </w14:textFill>
        </w:rPr>
        <w:t>类标准</w:t>
      </w:r>
      <w:r>
        <w:rPr>
          <w:rFonts w:hint="eastAsia"/>
          <w:color w:val="000000" w:themeColor="text1"/>
          <w:sz w:val="24"/>
          <w:highlight w:val="none"/>
          <w14:textFill>
            <w14:solidFill>
              <w14:schemeClr w14:val="tx1"/>
            </w14:solidFill>
          </w14:textFill>
        </w:rPr>
        <w:t>。</w:t>
      </w:r>
    </w:p>
    <w:p w14:paraId="18E69057">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（5）土壤</w:t>
      </w:r>
    </w:p>
    <w:p w14:paraId="603C22BC">
      <w:pPr>
        <w:adjustRightInd w:val="0"/>
        <w:snapToGrid w:val="0"/>
        <w:spacing w:line="360" w:lineRule="auto"/>
        <w:ind w:firstLine="480" w:firstLineChars="200"/>
        <w:rPr>
          <w:rFonts w:eastAsiaTheme="minorEastAsia"/>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网安半岛泥达湖片区产业组团及周边建设用地S1、S2、1#~5#点位的土壤环境质量均能满足GB36600-2018《土壤环境质量 建设用地土壤污染风险管控标准》第二类用地筛选值的要求，6#点位的土壤环境质量能满足GB36600-2018《土壤环境质量 建设用地土壤污染风险管控标准》第一类用地筛选值的要求，表明该区域土壤环境质量良好。</w:t>
      </w:r>
    </w:p>
    <w:p w14:paraId="7E0D6AE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（6）生态环境</w:t>
      </w:r>
    </w:p>
    <w:p w14:paraId="63CBDDC3">
      <w:pPr>
        <w:adjustRightInd w:val="0"/>
        <w:snapToGrid w:val="0"/>
        <w:spacing w:line="360" w:lineRule="auto"/>
        <w:ind w:firstLine="480" w:firstLineChars="200"/>
        <w:rPr>
          <w:rFonts w:eastAsiaTheme="minorEastAsia"/>
          <w:color w:val="000000" w:themeColor="text1"/>
          <w:spacing w:val="-3"/>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规划区地处亚热带常绿落叶阔叶混交林地带，规划区域可建设用地以未利用地为主，生态结构较单一。</w:t>
      </w:r>
      <w:r>
        <w:rPr>
          <w:rFonts w:eastAsiaTheme="minorEastAsia"/>
          <w:color w:val="000000" w:themeColor="text1"/>
          <w:spacing w:val="-3"/>
          <w:sz w:val="24"/>
          <w:highlight w:val="none"/>
          <w14:textFill>
            <w14:solidFill>
              <w14:schemeClr w14:val="tx1"/>
            </w14:solidFill>
          </w14:textFill>
        </w:rPr>
        <w:t>规划区域不涉及生态保护红线、自然保护地等生态敏感区。</w:t>
      </w:r>
    </w:p>
    <w:p w14:paraId="1F076FC3">
      <w:pPr>
        <w:pStyle w:val="3"/>
        <w:rPr>
          <w:rFonts w:eastAsiaTheme="minorEastAsia"/>
          <w:color w:val="000000" w:themeColor="text1"/>
          <w:kern w:val="0"/>
          <w:highlight w:val="none"/>
          <w14:textFill>
            <w14:solidFill>
              <w14:schemeClr w14:val="tx1"/>
            </w14:solidFill>
          </w14:textFill>
        </w:rPr>
      </w:pPr>
      <w:bookmarkStart w:id="281" w:name="bookmark7"/>
      <w:bookmarkEnd w:id="281"/>
      <w:bookmarkStart w:id="282" w:name="_Toc29169"/>
      <w:bookmarkStart w:id="283" w:name="_Toc27729"/>
      <w:r>
        <w:rPr>
          <w:rFonts w:eastAsiaTheme="minorEastAsia"/>
          <w:color w:val="000000" w:themeColor="text1"/>
          <w:kern w:val="0"/>
          <w:highlight w:val="none"/>
          <w14:textFill>
            <w14:solidFill>
              <w14:schemeClr w14:val="tx1"/>
            </w14:solidFill>
          </w14:textFill>
        </w:rPr>
        <w:t>区域开发现状及污染源现状</w:t>
      </w:r>
      <w:bookmarkEnd w:id="282"/>
      <w:bookmarkEnd w:id="283"/>
    </w:p>
    <w:p w14:paraId="7B575138">
      <w:pPr>
        <w:pStyle w:val="4"/>
        <w:rPr>
          <w:rFonts w:eastAsiaTheme="minorEastAsia"/>
          <w:color w:val="000000" w:themeColor="text1"/>
          <w:spacing w:val="-1"/>
          <w:szCs w:val="24"/>
          <w:highlight w:val="none"/>
          <w14:textFill>
            <w14:solidFill>
              <w14:schemeClr w14:val="tx1"/>
            </w14:solidFill>
          </w14:textFill>
        </w:rPr>
      </w:pPr>
      <w:r>
        <w:rPr>
          <w:rFonts w:hint="eastAsia" w:eastAsiaTheme="minorEastAsia"/>
          <w:color w:val="000000" w:themeColor="text1"/>
          <w:spacing w:val="-1"/>
          <w:szCs w:val="24"/>
          <w:highlight w:val="none"/>
          <w14:textFill>
            <w14:solidFill>
              <w14:schemeClr w14:val="tx1"/>
            </w14:solidFill>
          </w14:textFill>
        </w:rPr>
        <w:t>开发利用</w:t>
      </w:r>
      <w:r>
        <w:rPr>
          <w:rFonts w:eastAsiaTheme="minorEastAsia"/>
          <w:color w:val="000000" w:themeColor="text1"/>
          <w:spacing w:val="-1"/>
          <w:szCs w:val="24"/>
          <w:highlight w:val="none"/>
          <w14:textFill>
            <w14:solidFill>
              <w14:schemeClr w14:val="tx1"/>
            </w14:solidFill>
          </w14:textFill>
        </w:rPr>
        <w:t>现状</w:t>
      </w:r>
    </w:p>
    <w:p w14:paraId="5FD3D930">
      <w:pPr>
        <w:pStyle w:val="18"/>
        <w:ind w:firstLine="480"/>
        <w:rPr>
          <w:rFonts w:hint="eastAsia" w:eastAsia="宋体"/>
          <w:color w:val="000000" w:themeColor="text1"/>
          <w:spacing w:val="-3"/>
          <w:highlight w:val="none"/>
          <w:lang w:eastAsia="zh-CN"/>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根据武汉武汉市东西湖区径河街道办事处及园区企业提供资料，结合现场踏勘，规划区域内共3家现状运行工业生产型企业。</w:t>
      </w:r>
    </w:p>
    <w:p w14:paraId="5D3FEC6A">
      <w:pPr>
        <w:pStyle w:val="4"/>
        <w:rPr>
          <w:rFonts w:eastAsiaTheme="minorEastAsia"/>
          <w:color w:val="000000" w:themeColor="text1"/>
          <w:spacing w:val="-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现有工业污染源分析</w:t>
      </w:r>
    </w:p>
    <w:p w14:paraId="785D8083">
      <w:pPr>
        <w:pStyle w:val="18"/>
        <w:ind w:firstLine="480"/>
        <w:rPr>
          <w:rFonts w:eastAsiaTheme="minorEastAsia"/>
          <w:color w:val="000000" w:themeColor="text1"/>
          <w:spacing w:val="-3"/>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根据现场调查及收集的企业相关资料（企业运行数据等），</w:t>
      </w:r>
      <w:r>
        <w:rPr>
          <w:rFonts w:hint="eastAsia"/>
          <w:color w:val="000000" w:themeColor="text1"/>
          <w:highlight w:val="none"/>
          <w14:textFill>
            <w14:solidFill>
              <w14:schemeClr w14:val="tx1"/>
            </w14:solidFill>
          </w14:textFill>
        </w:rPr>
        <w:t>园区主要污染物排放量VOCS</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0.216 t</w:t>
      </w:r>
      <w:r>
        <w:rPr>
          <w:color w:val="000000" w:themeColor="text1"/>
          <w:highlight w:val="none"/>
          <w14:textFill>
            <w14:solidFill>
              <w14:schemeClr w14:val="tx1"/>
            </w14:solidFill>
          </w14:textFill>
        </w:rPr>
        <w:t>/a</w:t>
      </w:r>
      <w:r>
        <w:rPr>
          <w:rFonts w:hint="eastAsia" w:eastAsiaTheme="minorEastAsia"/>
          <w:color w:val="000000" w:themeColor="text1"/>
          <w:spacing w:val="-3"/>
          <w:highlight w:val="none"/>
          <w14:textFill>
            <w14:solidFill>
              <w14:schemeClr w14:val="tx1"/>
            </w14:solidFill>
          </w14:textFill>
        </w:rPr>
        <w:t>，COD</w:t>
      </w:r>
      <w:r>
        <w:rPr>
          <w:rFonts w:hint="eastAsia" w:eastAsiaTheme="minorEastAsia"/>
          <w:color w:val="000000" w:themeColor="text1"/>
          <w:spacing w:val="-3"/>
          <w:highlight w:val="none"/>
          <w:lang w:val="en-US" w:eastAsia="zh-CN"/>
          <w14:textFill>
            <w14:solidFill>
              <w14:schemeClr w14:val="tx1"/>
            </w14:solidFill>
          </w14:textFill>
        </w:rPr>
        <w:t xml:space="preserve"> </w:t>
      </w:r>
      <w:r>
        <w:rPr>
          <w:rFonts w:hint="eastAsia" w:eastAsiaTheme="minorEastAsia"/>
          <w:color w:val="000000" w:themeColor="text1"/>
          <w:spacing w:val="-3"/>
          <w:highlight w:val="none"/>
          <w14:textFill>
            <w14:solidFill>
              <w14:schemeClr w14:val="tx1"/>
            </w14:solidFill>
          </w14:textFill>
        </w:rPr>
        <w:t>0.1208</w:t>
      </w:r>
      <w:r>
        <w:rPr>
          <w:rFonts w:hint="eastAsia" w:eastAsiaTheme="minorEastAsia"/>
          <w:color w:val="000000" w:themeColor="text1"/>
          <w:spacing w:val="-3"/>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t</w:t>
      </w:r>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w:t>
      </w:r>
      <w:r>
        <w:rPr>
          <w:rFonts w:hint="eastAsia" w:eastAsiaTheme="minorEastAsia"/>
          <w:color w:val="000000" w:themeColor="text1"/>
          <w:spacing w:val="-3"/>
          <w:highlight w:val="none"/>
          <w14:textFill>
            <w14:solidFill>
              <w14:schemeClr w14:val="tx1"/>
            </w14:solidFill>
          </w14:textFill>
        </w:rPr>
        <w:t>氨氮0.01448</w:t>
      </w:r>
      <w:r>
        <w:rPr>
          <w:rFonts w:hint="eastAsia"/>
          <w:color w:val="000000" w:themeColor="text1"/>
          <w:highlight w:val="none"/>
          <w14:textFill>
            <w14:solidFill>
              <w14:schemeClr w14:val="tx1"/>
            </w14:solidFill>
          </w14:textFill>
        </w:rPr>
        <w:t xml:space="preserve"> t</w:t>
      </w:r>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w:t>
      </w:r>
      <w:r>
        <w:rPr>
          <w:rFonts w:hint="eastAsia" w:eastAsiaTheme="minorEastAsia"/>
          <w:color w:val="000000" w:themeColor="text1"/>
          <w:spacing w:val="-3"/>
          <w:highlight w:val="none"/>
          <w14:textFill>
            <w14:solidFill>
              <w14:schemeClr w14:val="tx1"/>
            </w14:solidFill>
          </w14:textFill>
        </w:rPr>
        <w:t>总氮0.05894</w:t>
      </w:r>
      <w:r>
        <w:rPr>
          <w:rFonts w:hint="eastAsia" w:eastAsiaTheme="minor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t</w:t>
      </w:r>
      <w:r>
        <w:rPr>
          <w:color w:val="000000" w:themeColor="text1"/>
          <w:highlight w:val="none"/>
          <w14:textFill>
            <w14:solidFill>
              <w14:schemeClr w14:val="tx1"/>
            </w14:solidFill>
          </w14:textFill>
        </w:rPr>
        <w:t>/a</w:t>
      </w:r>
      <w:r>
        <w:rPr>
          <w:rFonts w:hint="eastAsia" w:eastAsiaTheme="minorEastAsia"/>
          <w:color w:val="000000" w:themeColor="text1"/>
          <w:spacing w:val="-3"/>
          <w:highlight w:val="none"/>
          <w14:textFill>
            <w14:solidFill>
              <w14:schemeClr w14:val="tx1"/>
            </w14:solidFill>
          </w14:textFill>
        </w:rPr>
        <w:t>，总磷0.003908</w:t>
      </w:r>
      <w:r>
        <w:rPr>
          <w:rFonts w:hint="eastAsia" w:eastAsiaTheme="minor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t</w:t>
      </w:r>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w:t>
      </w:r>
    </w:p>
    <w:p w14:paraId="361811E9">
      <w:pPr>
        <w:pStyle w:val="3"/>
        <w:rPr>
          <w:rFonts w:eastAsiaTheme="minorEastAsia"/>
          <w:color w:val="000000" w:themeColor="text1"/>
          <w:kern w:val="0"/>
          <w:highlight w:val="none"/>
          <w14:textFill>
            <w14:solidFill>
              <w14:schemeClr w14:val="tx1"/>
            </w14:solidFill>
          </w14:textFill>
        </w:rPr>
      </w:pPr>
      <w:bookmarkStart w:id="284" w:name="bookmark8"/>
      <w:bookmarkEnd w:id="284"/>
      <w:bookmarkStart w:id="285" w:name="_Toc2198"/>
      <w:bookmarkStart w:id="286" w:name="_Toc21060"/>
      <w:r>
        <w:rPr>
          <w:rFonts w:eastAsiaTheme="minorEastAsia"/>
          <w:color w:val="000000" w:themeColor="text1"/>
          <w:kern w:val="0"/>
          <w:highlight w:val="none"/>
          <w14:textFill>
            <w14:solidFill>
              <w14:schemeClr w14:val="tx1"/>
            </w14:solidFill>
          </w14:textFill>
        </w:rPr>
        <w:t>环境基础设施现状</w:t>
      </w:r>
      <w:bookmarkEnd w:id="285"/>
      <w:bookmarkEnd w:id="286"/>
    </w:p>
    <w:p w14:paraId="5473D5E9">
      <w:pPr>
        <w:pStyle w:val="4"/>
        <w:rPr>
          <w:rFonts w:eastAsiaTheme="minorEastAsia"/>
          <w:color w:val="000000" w:themeColor="text1"/>
          <w:spacing w:val="-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供水现状</w:t>
      </w:r>
    </w:p>
    <w:p w14:paraId="7AE2234F">
      <w:pPr>
        <w:adjustRightInd w:val="0"/>
        <w:snapToGrid w:val="0"/>
        <w:spacing w:line="360" w:lineRule="auto"/>
        <w:ind w:firstLine="480" w:firstLineChars="200"/>
        <w:rPr>
          <w:rFonts w:eastAsiaTheme="minorEastAsia"/>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网安半岛泥达湖片区产业组团规划范围现有供水用途主要为生活用水和工业用水，现状供水来源为余氏墩水厂，余氏墩水厂位于东西湖区慈惠办事处余氏墩，汉江北岸，慈沙路南侧，水源为汉江，现状供水规模15万吨/天。地区内局部供水干管已经形成，待开发建设区域供水管网未建设。现状供水规模可以满足区域发展需求，经张柏路自来水加压泵站向规划区提供。</w:t>
      </w:r>
    </w:p>
    <w:p w14:paraId="50717B78">
      <w:pPr>
        <w:pStyle w:val="4"/>
        <w:rPr>
          <w:rFonts w:eastAsiaTheme="minorEastAsia"/>
          <w:color w:val="000000" w:themeColor="text1"/>
          <w:spacing w:val="-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排水现状</w:t>
      </w:r>
    </w:p>
    <w:p w14:paraId="66E9A910">
      <w:pPr>
        <w:pStyle w:val="20"/>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网安半岛泥达湖片区产业组团规划范围位于东西湖区污水处理厂服务范围，园区内产生的生活污水、生产废水均排入东西湖区污水处理厂处理。东西湖区污水处理厂尾水排放口设置在南十四支沟（北纬30°38'38.02"；东经114°3'21.99"），尾水排放口规模为10万m3/d。尾水经南十四支沟、通航沟、沈家港、夹九支沟等域内渠系，经东流港塔尔头泵站现有排口抽排至府河，沟渠排放长度15.2km。</w:t>
      </w:r>
    </w:p>
    <w:p w14:paraId="3F72A103">
      <w:pPr>
        <w:pStyle w:val="4"/>
        <w:rPr>
          <w:rFonts w:eastAsiaTheme="minorEastAsia"/>
          <w:color w:val="000000" w:themeColor="text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环卫设施现状</w:t>
      </w:r>
    </w:p>
    <w:p w14:paraId="66C7BC48">
      <w:pPr>
        <w:pStyle w:val="20"/>
        <w:ind w:firstLine="480"/>
        <w:rPr>
          <w:rFonts w:hint="default" w:ascii="Times New Roman" w:hAnsi="Times New Roman" w:cs="Times New Roman"/>
          <w:color w:val="000000" w:themeColor="text1"/>
          <w:highlight w:val="none"/>
          <w14:textFill>
            <w14:solidFill>
              <w14:schemeClr w14:val="tx1"/>
            </w14:solidFill>
          </w14:textFill>
        </w:rPr>
      </w:pPr>
      <w:bookmarkStart w:id="287" w:name="bookmark9"/>
      <w:bookmarkEnd w:id="287"/>
      <w:r>
        <w:rPr>
          <w:rFonts w:hint="default" w:ascii="Times New Roman" w:hAnsi="Times New Roman" w:cs="Times New Roman"/>
          <w:color w:val="000000" w:themeColor="text1"/>
          <w:highlight w:val="none"/>
          <w14:textFill>
            <w14:solidFill>
              <w14:schemeClr w14:val="tx1"/>
            </w14:solidFill>
          </w14:textFill>
        </w:rPr>
        <w:t>网安半岛泥达湖片区产业组团产生的区生活垃圾采用垃圾袋或垃圾容器存放至生活垃圾收集点，由环卫部门集中运输。垃圾收集后直接运往新沟垃圾焚烧发电厂。</w:t>
      </w:r>
    </w:p>
    <w:p w14:paraId="7A3E74B7">
      <w:pPr>
        <w:pStyle w:val="3"/>
        <w:rPr>
          <w:rFonts w:eastAsiaTheme="minorEastAsia"/>
          <w:color w:val="000000" w:themeColor="text1"/>
          <w:kern w:val="0"/>
          <w:highlight w:val="none"/>
          <w14:textFill>
            <w14:solidFill>
              <w14:schemeClr w14:val="tx1"/>
            </w14:solidFill>
          </w14:textFill>
        </w:rPr>
      </w:pPr>
      <w:bookmarkStart w:id="288" w:name="_Toc24126"/>
      <w:bookmarkStart w:id="289" w:name="_Toc23351"/>
      <w:r>
        <w:rPr>
          <w:rFonts w:eastAsiaTheme="minorEastAsia"/>
          <w:color w:val="000000" w:themeColor="text1"/>
          <w:kern w:val="0"/>
          <w:highlight w:val="none"/>
          <w14:textFill>
            <w14:solidFill>
              <w14:schemeClr w14:val="tx1"/>
            </w14:solidFill>
          </w14:textFill>
        </w:rPr>
        <w:t>环境管理现状</w:t>
      </w:r>
      <w:bookmarkEnd w:id="288"/>
      <w:bookmarkEnd w:id="289"/>
    </w:p>
    <w:p w14:paraId="4910843F">
      <w:pPr>
        <w:adjustRightInd w:val="0"/>
        <w:snapToGrid w:val="0"/>
        <w:spacing w:line="360" w:lineRule="auto"/>
        <w:ind w:firstLine="468" w:firstLineChars="200"/>
        <w:rPr>
          <w:rFonts w:eastAsiaTheme="minorEastAsia"/>
          <w:color w:val="000000" w:themeColor="text1"/>
          <w:spacing w:val="-3"/>
          <w:sz w:val="24"/>
          <w:szCs w:val="24"/>
          <w:highlight w:val="none"/>
          <w14:textFill>
            <w14:solidFill>
              <w14:schemeClr w14:val="tx1"/>
            </w14:solidFill>
          </w14:textFill>
        </w:rPr>
      </w:pPr>
      <w:bookmarkStart w:id="290" w:name="bookmark10"/>
      <w:bookmarkEnd w:id="290"/>
      <w:r>
        <w:rPr>
          <w:rFonts w:hint="eastAsia" w:eastAsiaTheme="minorEastAsia"/>
          <w:color w:val="000000" w:themeColor="text1"/>
          <w:spacing w:val="-3"/>
          <w:sz w:val="24"/>
          <w:szCs w:val="24"/>
          <w:highlight w:val="none"/>
          <w14:textFill>
            <w14:solidFill>
              <w14:schemeClr w14:val="tx1"/>
            </w14:solidFill>
          </w14:textFill>
        </w:rPr>
        <w:t>经初步调查，网安半岛泥达湖片区产业组团内</w:t>
      </w:r>
      <w:r>
        <w:rPr>
          <w:rFonts w:hint="eastAsia" w:eastAsiaTheme="minorEastAsia"/>
          <w:color w:val="000000" w:themeColor="text1"/>
          <w:spacing w:val="-3"/>
          <w:sz w:val="24"/>
          <w:szCs w:val="24"/>
          <w:highlight w:val="none"/>
          <w:lang w:val="en-US" w:eastAsia="zh-CN"/>
          <w14:textFill>
            <w14:solidFill>
              <w14:schemeClr w14:val="tx1"/>
            </w14:solidFill>
          </w14:textFill>
        </w:rPr>
        <w:t>3</w:t>
      </w:r>
      <w:r>
        <w:rPr>
          <w:rFonts w:hint="eastAsia" w:eastAsiaTheme="minorEastAsia"/>
          <w:color w:val="000000" w:themeColor="text1"/>
          <w:spacing w:val="-3"/>
          <w:sz w:val="24"/>
          <w:szCs w:val="24"/>
          <w:highlight w:val="none"/>
          <w14:textFill>
            <w14:solidFill>
              <w14:schemeClr w14:val="tx1"/>
            </w14:solidFill>
          </w14:textFill>
        </w:rPr>
        <w:t>家</w:t>
      </w:r>
      <w:r>
        <w:rPr>
          <w:rFonts w:hint="default" w:ascii="Times New Roman" w:hAnsi="Times New Roman" w:cs="Times New Roman"/>
          <w:color w:val="000000" w:themeColor="text1"/>
          <w:sz w:val="24"/>
          <w:szCs w:val="24"/>
          <w:highlight w:val="none"/>
          <w14:textFill>
            <w14:solidFill>
              <w14:schemeClr w14:val="tx1"/>
            </w14:solidFill>
          </w14:textFill>
        </w:rPr>
        <w:t>现状运行工业生产型企业</w:t>
      </w:r>
      <w:r>
        <w:rPr>
          <w:rFonts w:hint="eastAsia" w:eastAsiaTheme="minorEastAsia"/>
          <w:color w:val="000000" w:themeColor="text1"/>
          <w:spacing w:val="-3"/>
          <w:sz w:val="24"/>
          <w:szCs w:val="24"/>
          <w:highlight w:val="none"/>
          <w14:textFill>
            <w14:solidFill>
              <w14:schemeClr w14:val="tx1"/>
            </w14:solidFill>
          </w14:textFill>
        </w:rPr>
        <w:t>，其中2家不需要办理环评</w:t>
      </w:r>
      <w:r>
        <w:rPr>
          <w:rFonts w:hint="eastAsia" w:eastAsiaTheme="minorEastAsia"/>
          <w:color w:val="000000" w:themeColor="text1"/>
          <w:spacing w:val="-3"/>
          <w:sz w:val="24"/>
          <w:szCs w:val="24"/>
          <w:highlight w:val="none"/>
          <w:lang w:eastAsia="zh-CN"/>
          <w14:textFill>
            <w14:solidFill>
              <w14:schemeClr w14:val="tx1"/>
            </w14:solidFill>
          </w14:textFill>
        </w:rPr>
        <w:t>、</w:t>
      </w:r>
      <w:r>
        <w:rPr>
          <w:rFonts w:hint="eastAsia" w:eastAsiaTheme="minorEastAsia"/>
          <w:color w:val="000000" w:themeColor="text1"/>
          <w:spacing w:val="-3"/>
          <w:sz w:val="24"/>
          <w:szCs w:val="24"/>
          <w:highlight w:val="none"/>
          <w:lang w:val="en-US" w:eastAsia="zh-CN"/>
          <w14:textFill>
            <w14:solidFill>
              <w14:schemeClr w14:val="tx1"/>
            </w14:solidFill>
          </w14:textFill>
        </w:rPr>
        <w:t>排污许可、</w:t>
      </w:r>
      <w:r>
        <w:rPr>
          <w:rFonts w:hint="eastAsia" w:eastAsiaTheme="minorEastAsia"/>
          <w:color w:val="000000" w:themeColor="text1"/>
          <w:spacing w:val="-3"/>
          <w:sz w:val="24"/>
          <w:szCs w:val="24"/>
          <w:highlight w:val="none"/>
          <w:lang w:eastAsia="zh-CN"/>
          <w14:textFill>
            <w14:solidFill>
              <w14:schemeClr w14:val="tx1"/>
            </w14:solidFill>
          </w14:textFill>
        </w:rPr>
        <w:t>突发环境事件</w:t>
      </w:r>
      <w:r>
        <w:rPr>
          <w:rFonts w:hint="eastAsia" w:eastAsiaTheme="minorEastAsia"/>
          <w:color w:val="000000" w:themeColor="text1"/>
          <w:spacing w:val="-3"/>
          <w:sz w:val="24"/>
          <w:szCs w:val="24"/>
          <w:highlight w:val="none"/>
          <w:lang w:val="en-US" w:eastAsia="zh-CN"/>
          <w14:textFill>
            <w14:solidFill>
              <w14:schemeClr w14:val="tx1"/>
            </w14:solidFill>
          </w14:textFill>
        </w:rPr>
        <w:t>应急预案</w:t>
      </w:r>
      <w:r>
        <w:rPr>
          <w:rFonts w:hint="eastAsia" w:eastAsiaTheme="minorEastAsia"/>
          <w:color w:val="000000" w:themeColor="text1"/>
          <w:spacing w:val="-3"/>
          <w:sz w:val="24"/>
          <w:szCs w:val="24"/>
          <w:highlight w:val="none"/>
          <w14:textFill>
            <w14:solidFill>
              <w14:schemeClr w14:val="tx1"/>
            </w14:solidFill>
          </w14:textFill>
        </w:rPr>
        <w:t>手续，1家暂未办理环评手续</w:t>
      </w:r>
      <w:r>
        <w:rPr>
          <w:rFonts w:hint="eastAsia" w:eastAsiaTheme="minorEastAsia"/>
          <w:color w:val="000000" w:themeColor="text1"/>
          <w:spacing w:val="-3"/>
          <w:sz w:val="24"/>
          <w:szCs w:val="24"/>
          <w:highlight w:val="none"/>
          <w:lang w:val="en-US" w:eastAsia="zh-CN"/>
          <w14:textFill>
            <w14:solidFill>
              <w14:schemeClr w14:val="tx1"/>
            </w14:solidFill>
          </w14:textFill>
        </w:rPr>
        <w:t>、排污许可、</w:t>
      </w:r>
      <w:r>
        <w:rPr>
          <w:rFonts w:hint="eastAsia" w:eastAsiaTheme="minorEastAsia"/>
          <w:color w:val="000000" w:themeColor="text1"/>
          <w:spacing w:val="-3"/>
          <w:sz w:val="24"/>
          <w:szCs w:val="24"/>
          <w:highlight w:val="none"/>
          <w:lang w:eastAsia="zh-CN"/>
          <w14:textFill>
            <w14:solidFill>
              <w14:schemeClr w14:val="tx1"/>
            </w14:solidFill>
          </w14:textFill>
        </w:rPr>
        <w:t>突发环境事件应急预案</w:t>
      </w:r>
      <w:r>
        <w:rPr>
          <w:rFonts w:hint="eastAsia" w:eastAsiaTheme="minorEastAsia"/>
          <w:color w:val="000000" w:themeColor="text1"/>
          <w:spacing w:val="-3"/>
          <w:sz w:val="24"/>
          <w:szCs w:val="24"/>
          <w:highlight w:val="none"/>
          <w:lang w:val="en-US" w:eastAsia="zh-CN"/>
          <w14:textFill>
            <w14:solidFill>
              <w14:schemeClr w14:val="tx1"/>
            </w14:solidFill>
          </w14:textFill>
        </w:rPr>
        <w:t>手续</w:t>
      </w:r>
      <w:r>
        <w:rPr>
          <w:rFonts w:hint="eastAsia" w:eastAsiaTheme="minorEastAsia"/>
          <w:color w:val="000000" w:themeColor="text1"/>
          <w:spacing w:val="-3"/>
          <w:sz w:val="24"/>
          <w:szCs w:val="24"/>
          <w:highlight w:val="none"/>
          <w14:textFill>
            <w14:solidFill>
              <w14:schemeClr w14:val="tx1"/>
            </w14:solidFill>
          </w14:textFill>
        </w:rPr>
        <w:t>。</w:t>
      </w:r>
    </w:p>
    <w:p w14:paraId="19AE30CB">
      <w:pPr>
        <w:pStyle w:val="3"/>
        <w:rPr>
          <w:rFonts w:eastAsiaTheme="minorEastAsia"/>
          <w:color w:val="000000" w:themeColor="text1"/>
          <w:kern w:val="0"/>
          <w:highlight w:val="none"/>
          <w14:textFill>
            <w14:solidFill>
              <w14:schemeClr w14:val="tx1"/>
            </w14:solidFill>
          </w14:textFill>
        </w:rPr>
      </w:pPr>
      <w:bookmarkStart w:id="291" w:name="_Toc461"/>
      <w:bookmarkStart w:id="292" w:name="_Toc32710"/>
      <w:r>
        <w:rPr>
          <w:rFonts w:eastAsiaTheme="minorEastAsia"/>
          <w:color w:val="000000" w:themeColor="text1"/>
          <w:kern w:val="0"/>
          <w:highlight w:val="none"/>
          <w14:textFill>
            <w14:solidFill>
              <w14:schemeClr w14:val="tx1"/>
            </w14:solidFill>
          </w14:textFill>
        </w:rPr>
        <w:t>资源能源开发利用现状调查</w:t>
      </w:r>
      <w:bookmarkEnd w:id="291"/>
      <w:bookmarkEnd w:id="292"/>
    </w:p>
    <w:p w14:paraId="4A928F4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根据</w:t>
      </w:r>
      <w:r>
        <w:rPr>
          <w:rFonts w:hint="eastAsia" w:eastAsiaTheme="minorEastAsia"/>
          <w:color w:val="000000" w:themeColor="text1"/>
          <w:spacing w:val="-3"/>
          <w:sz w:val="24"/>
          <w:highlight w:val="none"/>
          <w14:textFill>
            <w14:solidFill>
              <w14:schemeClr w14:val="tx1"/>
            </w14:solidFill>
          </w14:textFill>
        </w:rPr>
        <w:t>规划</w:t>
      </w:r>
      <w:r>
        <w:rPr>
          <w:rFonts w:eastAsiaTheme="minorEastAsia"/>
          <w:color w:val="000000" w:themeColor="text1"/>
          <w:spacing w:val="-3"/>
          <w:sz w:val="24"/>
          <w:highlight w:val="none"/>
          <w14:textFill>
            <w14:solidFill>
              <w14:schemeClr w14:val="tx1"/>
            </w14:solidFill>
          </w14:textFill>
        </w:rPr>
        <w:t>资料，结合现场调查核实，</w:t>
      </w:r>
      <w:r>
        <w:rPr>
          <w:rFonts w:hint="eastAsia" w:eastAsiaTheme="minorEastAsia"/>
          <w:color w:val="000000" w:themeColor="text1"/>
          <w:spacing w:val="-3"/>
          <w:sz w:val="24"/>
          <w:highlight w:val="none"/>
          <w14:textFill>
            <w14:solidFill>
              <w14:schemeClr w14:val="tx1"/>
            </w14:solidFill>
          </w14:textFill>
        </w:rPr>
        <w:t>园区规划范围内部分工业用地已建成，土地利用现状主要以工业用地为主，还存在部分其他草地、坑塘等。</w:t>
      </w:r>
    </w:p>
    <w:p w14:paraId="73902F3F">
      <w:pPr>
        <w:pStyle w:val="20"/>
        <w:ind w:firstLine="480"/>
        <w:rPr>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网安半岛泥达湖片区产业组团水资源消耗主要为园区工业企业用水、居民生活用水及农田灌溉用水，</w:t>
      </w:r>
      <w:r>
        <w:rPr>
          <w:color w:val="000000" w:themeColor="text1"/>
          <w:highlight w:val="none"/>
          <w14:textFill>
            <w14:solidFill>
              <w14:schemeClr w14:val="tx1"/>
            </w14:solidFill>
          </w14:textFill>
        </w:rPr>
        <w:t>202</w:t>
      </w: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年</w:t>
      </w:r>
      <w:r>
        <w:rPr>
          <w:rFonts w:hint="eastAsia"/>
          <w:color w:val="000000" w:themeColor="text1"/>
          <w:highlight w:val="none"/>
          <w14:textFill>
            <w14:solidFill>
              <w14:schemeClr w14:val="tx1"/>
            </w14:solidFill>
          </w14:textFill>
        </w:rPr>
        <w:t>总用</w:t>
      </w:r>
      <w:r>
        <w:rPr>
          <w:rFonts w:hint="eastAsia"/>
          <w:color w:val="000000" w:themeColor="text1"/>
          <w:szCs w:val="24"/>
          <w:highlight w:val="none"/>
          <w14:textFill>
            <w14:solidFill>
              <w14:schemeClr w14:val="tx1"/>
            </w14:solidFill>
          </w14:textFill>
        </w:rPr>
        <w:t>水量约229.61</w:t>
      </w:r>
      <w:r>
        <w:rPr>
          <w:rFonts w:hint="eastAsia"/>
          <w:color w:val="000000" w:themeColor="text1"/>
          <w:szCs w:val="24"/>
          <w:highlight w:val="none"/>
          <w:lang w:bidi="ar"/>
          <w14:textFill>
            <w14:solidFill>
              <w14:schemeClr w14:val="tx1"/>
            </w14:solidFill>
          </w14:textFill>
        </w:rPr>
        <w:t>万m</w:t>
      </w:r>
      <w:r>
        <w:rPr>
          <w:color w:val="000000" w:themeColor="text1"/>
          <w:szCs w:val="24"/>
          <w:highlight w:val="none"/>
          <w:vertAlign w:val="superscript"/>
          <w:lang w:bidi="ar"/>
          <w14:textFill>
            <w14:solidFill>
              <w14:schemeClr w14:val="tx1"/>
            </w14:solidFill>
          </w14:textFill>
        </w:rPr>
        <w:t>3</w:t>
      </w:r>
      <w:r>
        <w:rPr>
          <w:rFonts w:hint="eastAsia"/>
          <w:color w:val="000000" w:themeColor="text1"/>
          <w:szCs w:val="24"/>
          <w:highlight w:val="none"/>
          <w:lang w:bidi="ar"/>
          <w14:textFill>
            <w14:solidFill>
              <w14:schemeClr w14:val="tx1"/>
            </w14:solidFill>
          </w14:textFill>
        </w:rPr>
        <w:t>。</w:t>
      </w:r>
    </w:p>
    <w:p w14:paraId="7D717F84">
      <w:pPr>
        <w:adjustRightInd w:val="0"/>
        <w:snapToGrid w:val="0"/>
        <w:spacing w:line="360" w:lineRule="auto"/>
        <w:ind w:firstLine="480" w:firstLineChars="200"/>
        <w:rPr>
          <w:rFonts w:eastAsiaTheme="minorEastAsia"/>
          <w:color w:val="000000" w:themeColor="text1"/>
          <w:spacing w:val="-3"/>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规划区域居民能源消耗主要为电力</w:t>
      </w:r>
      <w:r>
        <w:rPr>
          <w:rFonts w:hint="eastAsia"/>
          <w:color w:val="000000" w:themeColor="text1"/>
          <w:sz w:val="24"/>
          <w:szCs w:val="24"/>
          <w:highlight w:val="none"/>
          <w:lang w:eastAsia="zh-CN"/>
          <w14:textFill>
            <w14:solidFill>
              <w14:schemeClr w14:val="tx1"/>
            </w14:solidFill>
          </w14:textFill>
        </w:rPr>
        <w:t>。2025年网安半岛泥达湖片区产业组团现状运营工业企业共消耗能源0.49吨标准煤，其中，能源消费结构中电力占比100%</w:t>
      </w:r>
      <w:r>
        <w:rPr>
          <w:color w:val="000000" w:themeColor="text1"/>
          <w:sz w:val="24"/>
          <w:szCs w:val="24"/>
          <w:highlight w:val="none"/>
          <w14:textFill>
            <w14:solidFill>
              <w14:schemeClr w14:val="tx1"/>
            </w14:solidFill>
          </w14:textFill>
        </w:rPr>
        <w:t>。</w:t>
      </w:r>
    </w:p>
    <w:p w14:paraId="0635E012">
      <w:pPr>
        <w:spacing w:line="219" w:lineRule="auto"/>
        <w:rPr>
          <w:rFonts w:eastAsiaTheme="minorEastAsia"/>
          <w:color w:val="000000" w:themeColor="text1"/>
          <w:sz w:val="24"/>
          <w:szCs w:val="24"/>
          <w:highlight w:val="none"/>
          <w14:textFill>
            <w14:solidFill>
              <w14:schemeClr w14:val="tx1"/>
            </w14:solidFill>
          </w14:textFill>
        </w:rPr>
        <w:sectPr>
          <w:headerReference r:id="rId6" w:type="default"/>
          <w:footerReference r:id="rId7" w:type="default"/>
          <w:pgSz w:w="11907" w:h="16839"/>
          <w:pgMar w:top="1440" w:right="1803" w:bottom="1440" w:left="1803" w:header="651" w:footer="736" w:gutter="0"/>
          <w:pgNumType w:fmt="decimal"/>
          <w:cols w:space="720" w:num="1"/>
        </w:sectPr>
      </w:pPr>
    </w:p>
    <w:p w14:paraId="5BE1C26B">
      <w:pPr>
        <w:pStyle w:val="2"/>
        <w:pageBreakBefore/>
        <w:tabs>
          <w:tab w:val="clear" w:pos="1701"/>
        </w:tabs>
        <w:ind w:left="425"/>
        <w:rPr>
          <w:rFonts w:eastAsiaTheme="minorEastAsia"/>
          <w:color w:val="000000" w:themeColor="text1"/>
          <w:sz w:val="31"/>
          <w:szCs w:val="31"/>
          <w:highlight w:val="none"/>
          <w14:textFill>
            <w14:solidFill>
              <w14:schemeClr w14:val="tx1"/>
            </w14:solidFill>
          </w14:textFill>
        </w:rPr>
      </w:pPr>
      <w:bookmarkStart w:id="293" w:name="bookmark11"/>
      <w:bookmarkEnd w:id="293"/>
      <w:bookmarkStart w:id="294" w:name="bookmark12"/>
      <w:bookmarkEnd w:id="294"/>
      <w:bookmarkStart w:id="295" w:name="_Toc23634"/>
      <w:bookmarkStart w:id="296" w:name="_Toc32186"/>
      <w:r>
        <w:rPr>
          <w:rFonts w:eastAsiaTheme="minorEastAsia"/>
          <w:color w:val="000000" w:themeColor="text1"/>
          <w:highlight w:val="none"/>
          <w14:textFill>
            <w14:solidFill>
              <w14:schemeClr w14:val="tx1"/>
            </w14:solidFill>
          </w14:textFill>
        </w:rPr>
        <w:t>环境影响预测与评价</w:t>
      </w:r>
      <w:bookmarkEnd w:id="295"/>
      <w:bookmarkEnd w:id="296"/>
    </w:p>
    <w:p w14:paraId="7EEC5F54">
      <w:pPr>
        <w:pStyle w:val="3"/>
        <w:rPr>
          <w:rFonts w:eastAsiaTheme="minorEastAsia"/>
          <w:color w:val="000000" w:themeColor="text1"/>
          <w:kern w:val="0"/>
          <w:highlight w:val="none"/>
          <w14:textFill>
            <w14:solidFill>
              <w14:schemeClr w14:val="tx1"/>
            </w14:solidFill>
          </w14:textFill>
        </w:rPr>
      </w:pPr>
      <w:bookmarkStart w:id="297" w:name="_Toc6550"/>
      <w:bookmarkStart w:id="298" w:name="_Toc3762"/>
      <w:r>
        <w:rPr>
          <w:rFonts w:eastAsiaTheme="minorEastAsia"/>
          <w:color w:val="000000" w:themeColor="text1"/>
          <w:kern w:val="0"/>
          <w:highlight w:val="none"/>
          <w14:textFill>
            <w14:solidFill>
              <w14:schemeClr w14:val="tx1"/>
            </w14:solidFill>
          </w14:textFill>
        </w:rPr>
        <w:t>大气环境影响分析</w:t>
      </w:r>
      <w:bookmarkEnd w:id="297"/>
      <w:bookmarkEnd w:id="298"/>
    </w:p>
    <w:p w14:paraId="4D121F43">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本规划大气污染源主要为工业废气，包括SO</w:t>
      </w:r>
      <w:r>
        <w:rPr>
          <w:rFonts w:eastAsiaTheme="minorEastAsia"/>
          <w:color w:val="000000" w:themeColor="text1"/>
          <w:spacing w:val="-3"/>
          <w:sz w:val="24"/>
          <w:highlight w:val="none"/>
          <w:vertAlign w:val="subscript"/>
          <w14:textFill>
            <w14:solidFill>
              <w14:schemeClr w14:val="tx1"/>
            </w14:solidFill>
          </w14:textFill>
        </w:rPr>
        <w:t>2</w:t>
      </w:r>
      <w:r>
        <w:rPr>
          <w:rFonts w:eastAsiaTheme="minorEastAsia"/>
          <w:color w:val="000000" w:themeColor="text1"/>
          <w:spacing w:val="-3"/>
          <w:sz w:val="24"/>
          <w:highlight w:val="none"/>
          <w14:textFill>
            <w14:solidFill>
              <w14:schemeClr w14:val="tx1"/>
            </w14:solidFill>
          </w14:textFill>
        </w:rPr>
        <w:t>、NOx、烟粉尘等基本大气污染物和</w:t>
      </w:r>
      <w:r>
        <w:rPr>
          <w:rFonts w:hint="eastAsia" w:eastAsiaTheme="minorEastAsia"/>
          <w:color w:val="000000" w:themeColor="text1"/>
          <w:spacing w:val="-3"/>
          <w:sz w:val="24"/>
          <w:highlight w:val="none"/>
          <w14:textFill>
            <w14:solidFill>
              <w14:schemeClr w14:val="tx1"/>
            </w14:solidFill>
          </w14:textFill>
        </w:rPr>
        <w:t>TVOC、氨、硫酸雾、氟化物、氯化氢</w:t>
      </w:r>
      <w:r>
        <w:rPr>
          <w:rFonts w:hint="eastAsia" w:eastAsiaTheme="minorEastAsia"/>
          <w:color w:val="000000" w:themeColor="text1"/>
          <w:spacing w:val="-3"/>
          <w:sz w:val="24"/>
          <w:highlight w:val="none"/>
          <w:lang w:val="en-US" w:eastAsia="zh-CN"/>
          <w14:textFill>
            <w14:solidFill>
              <w14:schemeClr w14:val="tx1"/>
            </w14:solidFill>
          </w14:textFill>
        </w:rPr>
        <w:t>其他</w:t>
      </w:r>
      <w:r>
        <w:rPr>
          <w:rFonts w:eastAsiaTheme="minorEastAsia"/>
          <w:color w:val="000000" w:themeColor="text1"/>
          <w:spacing w:val="-3"/>
          <w:sz w:val="24"/>
          <w:highlight w:val="none"/>
          <w14:textFill>
            <w14:solidFill>
              <w14:schemeClr w14:val="tx1"/>
            </w14:solidFill>
          </w14:textFill>
        </w:rPr>
        <w:t>大气污染物两大类。</w:t>
      </w:r>
    </w:p>
    <w:p w14:paraId="4A22700D">
      <w:pPr>
        <w:adjustRightInd w:val="0"/>
        <w:snapToGrid w:val="0"/>
        <w:spacing w:line="360" w:lineRule="auto"/>
        <w:ind w:firstLine="480" w:firstLineChars="200"/>
        <w:rPr>
          <w:rFonts w:hint="eastAsia"/>
          <w:color w:val="000000" w:themeColor="text1"/>
          <w:sz w:val="24"/>
          <w:szCs w:val="32"/>
          <w14:textFill>
            <w14:solidFill>
              <w14:schemeClr w14:val="tx1"/>
            </w14:solidFill>
          </w14:textFill>
        </w:rPr>
      </w:pPr>
      <w:bookmarkStart w:id="299" w:name="bookmark13"/>
      <w:bookmarkEnd w:id="299"/>
      <w:bookmarkStart w:id="300" w:name="OLE_LINK18"/>
      <w:r>
        <w:rPr>
          <w:rFonts w:hint="eastAsia"/>
          <w:color w:val="000000" w:themeColor="text1"/>
          <w:sz w:val="24"/>
          <w:szCs w:val="32"/>
          <w14:textFill>
            <w14:solidFill>
              <w14:schemeClr w14:val="tx1"/>
            </w14:solidFill>
          </w14:textFill>
        </w:rPr>
        <w:t>根据大气环境影响预测结果，规划实施后对区域大气环境影响较小，不会改变周边的大气环境功能，区域规划方案可行。各情景状况下，SO</w:t>
      </w:r>
      <w:r>
        <w:rPr>
          <w:rFonts w:hint="eastAsia"/>
          <w:color w:val="000000" w:themeColor="text1"/>
          <w:sz w:val="24"/>
          <w:szCs w:val="32"/>
          <w:vertAlign w:val="subscript"/>
          <w14:textFill>
            <w14:solidFill>
              <w14:schemeClr w14:val="tx1"/>
            </w14:solidFill>
          </w14:textFill>
        </w:rPr>
        <w:t>2</w:t>
      </w:r>
      <w:r>
        <w:rPr>
          <w:rFonts w:hint="eastAsia"/>
          <w:color w:val="000000" w:themeColor="text1"/>
          <w:sz w:val="24"/>
          <w:szCs w:val="32"/>
          <w14:textFill>
            <w14:solidFill>
              <w14:schemeClr w14:val="tx1"/>
            </w14:solidFill>
          </w14:textFill>
        </w:rPr>
        <w:t>、NO</w:t>
      </w:r>
      <w:r>
        <w:rPr>
          <w:rFonts w:hint="eastAsia"/>
          <w:color w:val="000000" w:themeColor="text1"/>
          <w:sz w:val="24"/>
          <w:szCs w:val="32"/>
          <w:vertAlign w:val="subscript"/>
          <w14:textFill>
            <w14:solidFill>
              <w14:schemeClr w14:val="tx1"/>
            </w14:solidFill>
          </w14:textFill>
        </w:rPr>
        <w:t>2</w:t>
      </w:r>
      <w:r>
        <w:rPr>
          <w:rFonts w:hint="eastAsia"/>
          <w:color w:val="000000" w:themeColor="text1"/>
          <w:sz w:val="24"/>
          <w:szCs w:val="32"/>
          <w14:textFill>
            <w14:solidFill>
              <w14:schemeClr w14:val="tx1"/>
            </w14:solidFill>
          </w14:textFill>
        </w:rPr>
        <w:t>、PM</w:t>
      </w:r>
      <w:r>
        <w:rPr>
          <w:rFonts w:hint="eastAsia"/>
          <w:color w:val="000000" w:themeColor="text1"/>
          <w:sz w:val="24"/>
          <w:szCs w:val="32"/>
          <w:vertAlign w:val="subscript"/>
          <w14:textFill>
            <w14:solidFill>
              <w14:schemeClr w14:val="tx1"/>
            </w14:solidFill>
          </w14:textFill>
        </w:rPr>
        <w:t>10</w:t>
      </w:r>
      <w:r>
        <w:rPr>
          <w:rFonts w:hint="eastAsia"/>
          <w:color w:val="000000" w:themeColor="text1"/>
          <w:sz w:val="24"/>
          <w:szCs w:val="32"/>
          <w14:textFill>
            <w14:solidFill>
              <w14:schemeClr w14:val="tx1"/>
            </w14:solidFill>
          </w14:textFill>
        </w:rPr>
        <w:t>、PM</w:t>
      </w:r>
      <w:r>
        <w:rPr>
          <w:rFonts w:hint="eastAsia"/>
          <w:color w:val="000000" w:themeColor="text1"/>
          <w:sz w:val="24"/>
          <w:szCs w:val="32"/>
          <w:vertAlign w:val="subscript"/>
          <w14:textFill>
            <w14:solidFill>
              <w14:schemeClr w14:val="tx1"/>
            </w14:solidFill>
          </w14:textFill>
        </w:rPr>
        <w:t>2.5</w:t>
      </w:r>
      <w:r>
        <w:rPr>
          <w:rFonts w:hint="eastAsia"/>
          <w:color w:val="000000" w:themeColor="text1"/>
          <w:sz w:val="24"/>
          <w:szCs w:val="32"/>
          <w14:textFill>
            <w14:solidFill>
              <w14:schemeClr w14:val="tx1"/>
            </w14:solidFill>
          </w14:textFill>
        </w:rPr>
        <w:t>、TVOC、氨、硫酸雾、氟化物、氯化氢短期浓度贡献值的最大浓度占标率均小于100%；二氧化硫、二氧化氮、PM</w:t>
      </w:r>
      <w:r>
        <w:rPr>
          <w:rFonts w:hint="eastAsia"/>
          <w:color w:val="000000" w:themeColor="text1"/>
          <w:sz w:val="24"/>
          <w:szCs w:val="32"/>
          <w:vertAlign w:val="subscript"/>
          <w14:textFill>
            <w14:solidFill>
              <w14:schemeClr w14:val="tx1"/>
            </w14:solidFill>
          </w14:textFill>
        </w:rPr>
        <w:t>10</w:t>
      </w:r>
      <w:r>
        <w:rPr>
          <w:rFonts w:hint="eastAsia"/>
          <w:color w:val="000000" w:themeColor="text1"/>
          <w:sz w:val="24"/>
          <w:szCs w:val="32"/>
          <w14:textFill>
            <w14:solidFill>
              <w14:schemeClr w14:val="tx1"/>
            </w14:solidFill>
          </w14:textFill>
        </w:rPr>
        <w:t>、PM</w:t>
      </w:r>
      <w:r>
        <w:rPr>
          <w:rFonts w:hint="eastAsia"/>
          <w:color w:val="000000" w:themeColor="text1"/>
          <w:sz w:val="24"/>
          <w:szCs w:val="32"/>
          <w:vertAlign w:val="subscript"/>
          <w14:textFill>
            <w14:solidFill>
              <w14:schemeClr w14:val="tx1"/>
            </w14:solidFill>
          </w14:textFill>
        </w:rPr>
        <w:t>2.5</w:t>
      </w:r>
      <w:r>
        <w:rPr>
          <w:rFonts w:hint="eastAsia"/>
          <w:color w:val="000000" w:themeColor="text1"/>
          <w:sz w:val="24"/>
          <w:szCs w:val="32"/>
          <w14:textFill>
            <w14:solidFill>
              <w14:schemeClr w14:val="tx1"/>
            </w14:solidFill>
          </w14:textFill>
        </w:rPr>
        <w:t>年均浓度贡献值的最大浓度占标率均小于30%。</w:t>
      </w:r>
    </w:p>
    <w:p w14:paraId="42C04348">
      <w:pPr>
        <w:adjustRightInd w:val="0"/>
        <w:snapToGrid w:val="0"/>
        <w:spacing w:line="360" w:lineRule="auto"/>
        <w:ind w:firstLine="480" w:firstLineChars="200"/>
        <w:rPr>
          <w:rFonts w:hint="eastAsia"/>
          <w:color w:val="000000" w:themeColor="text1"/>
          <w:sz w:val="24"/>
          <w:szCs w:val="32"/>
          <w14:textFill>
            <w14:solidFill>
              <w14:schemeClr w14:val="tx1"/>
            </w14:solidFill>
          </w14:textFill>
        </w:rPr>
      </w:pPr>
      <w:r>
        <w:rPr>
          <w:rFonts w:hint="eastAsia"/>
          <w:color w:val="000000" w:themeColor="text1"/>
          <w:sz w:val="24"/>
          <w:szCs w:val="32"/>
          <w14:textFill>
            <w14:solidFill>
              <w14:schemeClr w14:val="tx1"/>
            </w14:solidFill>
          </w14:textFill>
        </w:rPr>
        <w:t>叠加背景值后，二氧化硫、PM</w:t>
      </w:r>
      <w:r>
        <w:rPr>
          <w:rFonts w:hint="eastAsia"/>
          <w:color w:val="000000" w:themeColor="text1"/>
          <w:sz w:val="24"/>
          <w:szCs w:val="32"/>
          <w:vertAlign w:val="subscript"/>
          <w14:textFill>
            <w14:solidFill>
              <w14:schemeClr w14:val="tx1"/>
            </w14:solidFill>
          </w14:textFill>
        </w:rPr>
        <w:t>10</w:t>
      </w:r>
      <w:r>
        <w:rPr>
          <w:rFonts w:hint="eastAsia"/>
          <w:color w:val="000000" w:themeColor="text1"/>
          <w:sz w:val="24"/>
          <w:szCs w:val="32"/>
          <w14:textFill>
            <w14:solidFill>
              <w14:schemeClr w14:val="tx1"/>
            </w14:solidFill>
          </w14:textFill>
        </w:rPr>
        <w:t>保证率日平均质量浓度及年平均质量浓度均符合《环境空气质量标准》（GB3095-2026）标准限值。叠加背景值后TVOC、氨、硫酸雾、氟化物、氯化氢短期浓度符合环境质量标准。</w:t>
      </w:r>
    </w:p>
    <w:p w14:paraId="4E6E810B">
      <w:pPr>
        <w:adjustRightInd w:val="0"/>
        <w:snapToGrid w:val="0"/>
        <w:spacing w:line="360" w:lineRule="auto"/>
        <w:ind w:firstLine="480" w:firstLineChars="200"/>
        <w:rPr>
          <w:rFonts w:hint="eastAsia"/>
          <w:color w:val="000000" w:themeColor="text1"/>
          <w:sz w:val="24"/>
          <w:szCs w:val="32"/>
          <w14:textFill>
            <w14:solidFill>
              <w14:schemeClr w14:val="tx1"/>
            </w14:solidFill>
          </w14:textFill>
        </w:rPr>
      </w:pPr>
      <w:r>
        <w:rPr>
          <w:rFonts w:hint="eastAsia"/>
          <w:color w:val="000000" w:themeColor="text1"/>
          <w:sz w:val="24"/>
          <w:szCs w:val="32"/>
          <w14:textFill>
            <w14:solidFill>
              <w14:schemeClr w14:val="tx1"/>
            </w14:solidFill>
          </w14:textFill>
        </w:rPr>
        <w:t>叠加背景值后，情景一、情景二、情景三二氧化氮保证率日平均质量浓度超标，根据东西湖区主要污染物的减排计划，计算得到情景一二氧化氮年平均质量浓度变化率k=-70.47%≤-20%，情景二二氧化氮年平均质量浓度变化率k=-55.89%≤-20%，情景三二氧化氮年平均质量浓度变化率k=-64.68%≤-20%。</w:t>
      </w:r>
    </w:p>
    <w:p w14:paraId="3A196517">
      <w:pPr>
        <w:adjustRightInd w:val="0"/>
        <w:snapToGrid w:val="0"/>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32"/>
          <w14:textFill>
            <w14:solidFill>
              <w14:schemeClr w14:val="tx1"/>
            </w14:solidFill>
          </w14:textFill>
        </w:rPr>
        <w:t>叠加背景值后，情景一、情景二、情景三PM</w:t>
      </w:r>
      <w:r>
        <w:rPr>
          <w:rFonts w:hint="eastAsia"/>
          <w:color w:val="000000" w:themeColor="text1"/>
          <w:sz w:val="24"/>
          <w:szCs w:val="32"/>
          <w:vertAlign w:val="subscript"/>
          <w14:textFill>
            <w14:solidFill>
              <w14:schemeClr w14:val="tx1"/>
            </w14:solidFill>
          </w14:textFill>
        </w:rPr>
        <w:t>2.5</w:t>
      </w:r>
      <w:r>
        <w:rPr>
          <w:rFonts w:hint="eastAsia"/>
          <w:color w:val="000000" w:themeColor="text1"/>
          <w:sz w:val="24"/>
          <w:szCs w:val="32"/>
          <w14:textFill>
            <w14:solidFill>
              <w14:schemeClr w14:val="tx1"/>
            </w14:solidFill>
          </w14:textFill>
        </w:rPr>
        <w:t>保证率日平均质量浓度及年平均质量浓度超过《环境空气质量标准》（GB3095-2026）标准限值，根据东西湖区主要污染物的减排计划，计算得到情景一PM</w:t>
      </w:r>
      <w:r>
        <w:rPr>
          <w:rFonts w:hint="eastAsia"/>
          <w:color w:val="000000" w:themeColor="text1"/>
          <w:sz w:val="24"/>
          <w:szCs w:val="32"/>
          <w:vertAlign w:val="subscript"/>
          <w14:textFill>
            <w14:solidFill>
              <w14:schemeClr w14:val="tx1"/>
            </w14:solidFill>
          </w14:textFill>
        </w:rPr>
        <w:t>2.5</w:t>
      </w:r>
      <w:r>
        <w:rPr>
          <w:rFonts w:hint="eastAsia"/>
          <w:color w:val="000000" w:themeColor="text1"/>
          <w:sz w:val="24"/>
          <w:szCs w:val="32"/>
          <w14:textFill>
            <w14:solidFill>
              <w14:schemeClr w14:val="tx1"/>
            </w14:solidFill>
          </w14:textFill>
        </w:rPr>
        <w:t>年平均质量浓度变化率k=-69.9%≤-20%，情景二、情景三PM</w:t>
      </w:r>
      <w:r>
        <w:rPr>
          <w:rFonts w:hint="eastAsia"/>
          <w:color w:val="000000" w:themeColor="text1"/>
          <w:sz w:val="24"/>
          <w:szCs w:val="32"/>
          <w:vertAlign w:val="subscript"/>
          <w14:textFill>
            <w14:solidFill>
              <w14:schemeClr w14:val="tx1"/>
            </w14:solidFill>
          </w14:textFill>
        </w:rPr>
        <w:t>2.5</w:t>
      </w:r>
      <w:r>
        <w:rPr>
          <w:rFonts w:hint="eastAsia"/>
          <w:color w:val="000000" w:themeColor="text1"/>
          <w:sz w:val="24"/>
          <w:szCs w:val="32"/>
          <w14:textFill>
            <w14:solidFill>
              <w14:schemeClr w14:val="tx1"/>
            </w14:solidFill>
          </w14:textFill>
        </w:rPr>
        <w:t>年平均质量浓度变化率k=-55.89%≤-20%。</w:t>
      </w:r>
    </w:p>
    <w:p w14:paraId="27B38399">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实施过程中，严格控制项目准入，入驻企业应优先采取集中供热，无法集中供热的，应采用清洁能源，同时，实行总量控制制度，严格执行本规划环评要求，加强日常环保监管，确保各企业废气达标排放。在规划实施过程中应不</w:t>
      </w:r>
      <w:r>
        <w:rPr>
          <w:rFonts w:hint="eastAsia" w:eastAsiaTheme="minorEastAsia"/>
          <w:color w:val="000000" w:themeColor="text1"/>
          <w:spacing w:val="-3"/>
          <w:sz w:val="24"/>
          <w:highlight w:val="none"/>
          <w14:textFill>
            <w14:solidFill>
              <w14:schemeClr w14:val="tx1"/>
            </w14:solidFill>
          </w14:textFill>
        </w:rPr>
        <w:t>断加强大气污染防治</w:t>
      </w:r>
      <w:r>
        <w:rPr>
          <w:rFonts w:eastAsiaTheme="minorEastAsia"/>
          <w:color w:val="000000" w:themeColor="text1"/>
          <w:spacing w:val="-3"/>
          <w:sz w:val="24"/>
          <w:highlight w:val="none"/>
          <w14:textFill>
            <w14:solidFill>
              <w14:schemeClr w14:val="tx1"/>
            </w14:solidFill>
          </w14:textFill>
        </w:rPr>
        <w:t>，确保企业污染物达标排放，采用清洁能源，削减大气污染物，不断改善环境空气质量。</w:t>
      </w:r>
      <w:bookmarkEnd w:id="300"/>
    </w:p>
    <w:p w14:paraId="309D1517">
      <w:pPr>
        <w:pStyle w:val="3"/>
        <w:rPr>
          <w:rFonts w:eastAsiaTheme="minorEastAsia"/>
          <w:color w:val="000000" w:themeColor="text1"/>
          <w:kern w:val="0"/>
          <w:highlight w:val="none"/>
          <w14:textFill>
            <w14:solidFill>
              <w14:schemeClr w14:val="tx1"/>
            </w14:solidFill>
          </w14:textFill>
        </w:rPr>
      </w:pPr>
      <w:bookmarkStart w:id="301" w:name="_Toc3275"/>
      <w:bookmarkStart w:id="302" w:name="_Toc27514"/>
      <w:r>
        <w:rPr>
          <w:rFonts w:eastAsiaTheme="minorEastAsia"/>
          <w:color w:val="000000" w:themeColor="text1"/>
          <w:kern w:val="0"/>
          <w:highlight w:val="none"/>
          <w14:textFill>
            <w14:solidFill>
              <w14:schemeClr w14:val="tx1"/>
            </w14:solidFill>
          </w14:textFill>
        </w:rPr>
        <w:t>地表水环境影响分析</w:t>
      </w:r>
      <w:bookmarkEnd w:id="301"/>
      <w:bookmarkEnd w:id="302"/>
    </w:p>
    <w:p w14:paraId="153EE76E">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规划实施后，规划区内废水进入</w:t>
      </w:r>
      <w:r>
        <w:rPr>
          <w:rFonts w:hint="eastAsia" w:eastAsiaTheme="minorEastAsia"/>
          <w:color w:val="000000" w:themeColor="text1"/>
          <w:spacing w:val="-3"/>
          <w:sz w:val="24"/>
          <w:highlight w:val="none"/>
          <w:lang w:val="en-US" w:eastAsia="zh-CN"/>
          <w14:textFill>
            <w14:solidFill>
              <w14:schemeClr w14:val="tx1"/>
            </w14:solidFill>
          </w14:textFill>
        </w:rPr>
        <w:t>东西湖</w:t>
      </w:r>
      <w:r>
        <w:rPr>
          <w:rFonts w:hint="eastAsia" w:eastAsiaTheme="minorEastAsia"/>
          <w:color w:val="000000" w:themeColor="text1"/>
          <w:spacing w:val="-3"/>
          <w:sz w:val="24"/>
          <w:highlight w:val="none"/>
          <w:lang w:eastAsia="zh-CN"/>
          <w14:textFill>
            <w14:solidFill>
              <w14:schemeClr w14:val="tx1"/>
            </w14:solidFill>
          </w14:textFill>
        </w:rPr>
        <w:t>污水处理厂</w:t>
      </w:r>
      <w:r>
        <w:rPr>
          <w:rFonts w:eastAsiaTheme="minorEastAsia"/>
          <w:color w:val="000000" w:themeColor="text1"/>
          <w:spacing w:val="-3"/>
          <w:sz w:val="24"/>
          <w:highlight w:val="none"/>
          <w14:textFill>
            <w14:solidFill>
              <w14:schemeClr w14:val="tx1"/>
            </w14:solidFill>
          </w14:textFill>
        </w:rPr>
        <w:t>处理，随着规划的实施，区域内工业企业增加，污水及污染物排放量较现状均有所增加。</w:t>
      </w:r>
      <w:r>
        <w:rPr>
          <w:rFonts w:hint="eastAsia" w:eastAsiaTheme="minorEastAsia"/>
          <w:color w:val="000000" w:themeColor="text1"/>
          <w:spacing w:val="-3"/>
          <w:sz w:val="24"/>
          <w:highlight w:val="none"/>
          <w14:textFill>
            <w14:solidFill>
              <w14:schemeClr w14:val="tx1"/>
            </w14:solidFill>
          </w14:textFill>
        </w:rPr>
        <w:t>网安半岛泥达湖片区产业组团内工业废水和生活污水排入东西湖污水处理厂，尾水经南十四支沟、通航沟、沈家港、夹九支沟等域内渠系，经东流港塔尔头泵站现有排口抽排至府河。</w:t>
      </w:r>
    </w:p>
    <w:p w14:paraId="73B59732">
      <w:pPr>
        <w:pStyle w:val="20"/>
        <w:bidi w:val="0"/>
        <w:rPr>
          <w:rFonts w:hint="eastAsia" w:eastAsiaTheme="minorEastAsia"/>
          <w:color w:val="000000" w:themeColor="text1"/>
          <w:spacing w:val="-3"/>
          <w:highlight w:val="none"/>
          <w14:textFill>
            <w14:solidFill>
              <w14:schemeClr w14:val="tx1"/>
            </w14:solidFill>
          </w14:textFill>
        </w:rPr>
      </w:pPr>
      <w:r>
        <w:rPr>
          <w:rFonts w:hint="eastAsia" w:eastAsiaTheme="minorEastAsia"/>
          <w:color w:val="000000" w:themeColor="text1"/>
          <w:spacing w:val="-3"/>
          <w:highlight w:val="none"/>
          <w14:textFill>
            <w14:solidFill>
              <w14:schemeClr w14:val="tx1"/>
            </w14:solidFill>
          </w14:textFill>
        </w:rPr>
        <w:t>根据预测</w:t>
      </w:r>
      <w:r>
        <w:rPr>
          <w:rFonts w:hint="eastAsia" w:eastAsiaTheme="minorEastAsia"/>
          <w:color w:val="000000" w:themeColor="text1"/>
          <w:spacing w:val="-3"/>
          <w:highlight w:val="none"/>
          <w:lang w:val="en-US" w:eastAsia="zh-CN"/>
          <w14:textFill>
            <w14:solidFill>
              <w14:schemeClr w14:val="tx1"/>
            </w14:solidFill>
          </w14:textFill>
        </w:rPr>
        <w:t>分析</w:t>
      </w:r>
      <w:r>
        <w:rPr>
          <w:rFonts w:hint="eastAsia" w:eastAsiaTheme="minorEastAsia"/>
          <w:color w:val="000000" w:themeColor="text1"/>
          <w:spacing w:val="-3"/>
          <w:highlight w:val="none"/>
          <w14:textFill>
            <w14:solidFill>
              <w14:schemeClr w14:val="tx1"/>
            </w14:solidFill>
          </w14:textFill>
        </w:rPr>
        <w:t>，正常排放</w:t>
      </w:r>
      <w:r>
        <w:rPr>
          <w:rFonts w:hint="eastAsia" w:eastAsiaTheme="minorEastAsia"/>
          <w:color w:val="000000" w:themeColor="text1"/>
          <w:spacing w:val="-3"/>
          <w:highlight w:val="none"/>
          <w:lang w:val="en-US" w:eastAsia="zh-CN"/>
          <w14:textFill>
            <w14:solidFill>
              <w14:schemeClr w14:val="tx1"/>
            </w14:solidFill>
          </w14:textFill>
        </w:rPr>
        <w:t>情况下，</w:t>
      </w:r>
      <w:r>
        <w:rPr>
          <w:rFonts w:hint="eastAsia" w:eastAsiaTheme="minorEastAsia"/>
          <w:color w:val="000000" w:themeColor="text1"/>
          <w:spacing w:val="-3"/>
          <w:highlight w:val="none"/>
          <w14:textFill>
            <w14:solidFill>
              <w14:schemeClr w14:val="tx1"/>
            </w14:solidFill>
          </w14:textFill>
        </w:rPr>
        <w:t>COD浓度预测值在塔尔头泵站排口下游650处为29.9989mg/L，NH</w:t>
      </w:r>
      <w:r>
        <w:rPr>
          <w:rFonts w:hint="eastAsia" w:eastAsiaTheme="minorEastAsia"/>
          <w:color w:val="000000" w:themeColor="text1"/>
          <w:spacing w:val="-3"/>
          <w:highlight w:val="none"/>
          <w:vertAlign w:val="subscript"/>
          <w14:textFill>
            <w14:solidFill>
              <w14:schemeClr w14:val="tx1"/>
            </w14:solidFill>
          </w14:textFill>
        </w:rPr>
        <w:t>3</w:t>
      </w:r>
      <w:r>
        <w:rPr>
          <w:rFonts w:hint="eastAsia" w:eastAsiaTheme="minorEastAsia"/>
          <w:color w:val="000000" w:themeColor="text1"/>
          <w:spacing w:val="-3"/>
          <w:highlight w:val="none"/>
          <w14:textFill>
            <w14:solidFill>
              <w14:schemeClr w14:val="tx1"/>
            </w14:solidFill>
          </w14:textFill>
        </w:rPr>
        <w:t>-N浓度预测值在塔尔头泵站排口下游74处为1.4945mg/L，TP浓度预测值在塔尔头泵站排口下游48m处为0.2997mg/L，可满足GB3838-2002《地表水环境质量标准》</w:t>
      </w:r>
      <w:r>
        <w:rPr>
          <w:rFonts w:hint="default" w:ascii="Times New Roman" w:hAnsi="Times New Roman" w:cs="Times New Roman" w:eastAsiaTheme="minorEastAsia"/>
          <w:color w:val="000000" w:themeColor="text1"/>
          <w:spacing w:val="-3"/>
          <w:highlight w:val="none"/>
          <w14:textFill>
            <w14:solidFill>
              <w14:schemeClr w14:val="tx1"/>
            </w14:solidFill>
          </w14:textFill>
        </w:rPr>
        <w:t>Ⅳ</w:t>
      </w:r>
      <w:r>
        <w:rPr>
          <w:rFonts w:hint="eastAsia" w:eastAsiaTheme="minorEastAsia"/>
          <w:color w:val="000000" w:themeColor="text1"/>
          <w:spacing w:val="-3"/>
          <w:highlight w:val="none"/>
          <w14:textFill>
            <w14:solidFill>
              <w14:schemeClr w14:val="tx1"/>
            </w14:solidFill>
          </w14:textFill>
        </w:rPr>
        <w:t>类标准水质标准要求。</w:t>
      </w:r>
    </w:p>
    <w:p w14:paraId="50332CCF">
      <w:pPr>
        <w:pStyle w:val="20"/>
        <w:bidi w:val="0"/>
        <w:rPr>
          <w:rFonts w:hint="eastAsia" w:eastAsiaTheme="minorEastAsia"/>
          <w:color w:val="000000" w:themeColor="text1"/>
          <w:spacing w:val="-3"/>
          <w:highlight w:val="none"/>
          <w14:textFill>
            <w14:solidFill>
              <w14:schemeClr w14:val="tx1"/>
            </w14:solidFill>
          </w14:textFill>
        </w:rPr>
      </w:pPr>
      <w:r>
        <w:rPr>
          <w:rFonts w:hint="eastAsia" w:eastAsiaTheme="minorEastAsia"/>
          <w:color w:val="000000" w:themeColor="text1"/>
          <w:spacing w:val="-3"/>
          <w:highlight w:val="none"/>
          <w14:textFill>
            <w14:solidFill>
              <w14:schemeClr w14:val="tx1"/>
            </w14:solidFill>
          </w14:textFill>
        </w:rPr>
        <w:t>根据</w:t>
      </w:r>
      <w:r>
        <w:rPr>
          <w:rFonts w:hint="eastAsia" w:eastAsiaTheme="minorEastAsia"/>
          <w:color w:val="000000" w:themeColor="text1"/>
          <w:spacing w:val="-3"/>
          <w:highlight w:val="none"/>
          <w:lang w:val="en-US" w:eastAsia="zh-CN"/>
          <w14:textFill>
            <w14:solidFill>
              <w14:schemeClr w14:val="tx1"/>
            </w14:solidFill>
          </w14:textFill>
        </w:rPr>
        <w:t>预测分析</w:t>
      </w:r>
      <w:r>
        <w:rPr>
          <w:rFonts w:hint="eastAsia" w:eastAsiaTheme="minorEastAsia"/>
          <w:color w:val="000000" w:themeColor="text1"/>
          <w:spacing w:val="-3"/>
          <w:highlight w:val="none"/>
          <w14:textFill>
            <w14:solidFill>
              <w14:schemeClr w14:val="tx1"/>
            </w14:solidFill>
          </w14:textFill>
        </w:rPr>
        <w:t>，非正常排放</w:t>
      </w:r>
      <w:r>
        <w:rPr>
          <w:rFonts w:hint="eastAsia" w:eastAsiaTheme="minorEastAsia"/>
          <w:color w:val="000000" w:themeColor="text1"/>
          <w:spacing w:val="-3"/>
          <w:highlight w:val="none"/>
          <w:lang w:val="en-US" w:eastAsia="zh-CN"/>
          <w14:textFill>
            <w14:solidFill>
              <w14:schemeClr w14:val="tx1"/>
            </w14:solidFill>
          </w14:textFill>
        </w:rPr>
        <w:t>情况下，</w:t>
      </w:r>
      <w:r>
        <w:rPr>
          <w:rFonts w:hint="eastAsia" w:eastAsiaTheme="minorEastAsia"/>
          <w:color w:val="000000" w:themeColor="text1"/>
          <w:spacing w:val="-3"/>
          <w:highlight w:val="none"/>
          <w14:textFill>
            <w14:solidFill>
              <w14:schemeClr w14:val="tx1"/>
            </w14:solidFill>
          </w14:textFill>
        </w:rPr>
        <w:t>COD浓度预测值在塔尔头泵站排口下游685处为29.9761mg/L，NH</w:t>
      </w:r>
      <w:r>
        <w:rPr>
          <w:rFonts w:hint="eastAsia" w:eastAsiaTheme="minorEastAsia"/>
          <w:color w:val="000000" w:themeColor="text1"/>
          <w:spacing w:val="-3"/>
          <w:highlight w:val="none"/>
          <w:vertAlign w:val="subscript"/>
          <w14:textFill>
            <w14:solidFill>
              <w14:schemeClr w14:val="tx1"/>
            </w14:solidFill>
          </w14:textFill>
        </w:rPr>
        <w:t>3</w:t>
      </w:r>
      <w:r>
        <w:rPr>
          <w:rFonts w:hint="eastAsia" w:eastAsiaTheme="minorEastAsia"/>
          <w:color w:val="000000" w:themeColor="text1"/>
          <w:spacing w:val="-3"/>
          <w:highlight w:val="none"/>
          <w14:textFill>
            <w14:solidFill>
              <w14:schemeClr w14:val="tx1"/>
            </w14:solidFill>
          </w14:textFill>
        </w:rPr>
        <w:t>-N浓度预测值在塔尔头泵站排口下游84处为1.4956mg/L，TP浓度预测值在塔尔头泵站排口下游54m处为0.2991mg/L，可满足GB3838-2002《地表水环境质量标准》</w:t>
      </w:r>
      <w:r>
        <w:rPr>
          <w:rFonts w:hint="default" w:ascii="Times New Roman" w:hAnsi="Times New Roman" w:cs="Times New Roman" w:eastAsiaTheme="minorEastAsia"/>
          <w:color w:val="000000" w:themeColor="text1"/>
          <w:spacing w:val="-3"/>
          <w:highlight w:val="none"/>
          <w14:textFill>
            <w14:solidFill>
              <w14:schemeClr w14:val="tx1"/>
            </w14:solidFill>
          </w14:textFill>
        </w:rPr>
        <w:t>Ⅳ</w:t>
      </w:r>
      <w:r>
        <w:rPr>
          <w:rFonts w:hint="eastAsia" w:eastAsiaTheme="minorEastAsia"/>
          <w:color w:val="000000" w:themeColor="text1"/>
          <w:spacing w:val="-3"/>
          <w:highlight w:val="none"/>
          <w14:textFill>
            <w14:solidFill>
              <w14:schemeClr w14:val="tx1"/>
            </w14:solidFill>
          </w14:textFill>
        </w:rPr>
        <w:t>类标准水质标准要求。COD在塔尔头泵站排口下游20595m处恢复到背景浓度，NH</w:t>
      </w:r>
      <w:r>
        <w:rPr>
          <w:rFonts w:hint="eastAsia" w:eastAsiaTheme="minorEastAsia"/>
          <w:color w:val="000000" w:themeColor="text1"/>
          <w:spacing w:val="-3"/>
          <w:highlight w:val="none"/>
          <w:vertAlign w:val="subscript"/>
          <w14:textFill>
            <w14:solidFill>
              <w14:schemeClr w14:val="tx1"/>
            </w14:solidFill>
          </w14:textFill>
        </w:rPr>
        <w:t>3</w:t>
      </w:r>
      <w:r>
        <w:rPr>
          <w:rFonts w:hint="eastAsia" w:eastAsiaTheme="minorEastAsia"/>
          <w:color w:val="000000" w:themeColor="text1"/>
          <w:spacing w:val="-3"/>
          <w:highlight w:val="none"/>
          <w14:textFill>
            <w14:solidFill>
              <w14:schemeClr w14:val="tx1"/>
            </w14:solidFill>
          </w14:textFill>
        </w:rPr>
        <w:t>-N、TP在塔尔头泵站排口下游府河（朱家河口）断面未恢复到背景浓度。</w:t>
      </w:r>
    </w:p>
    <w:p w14:paraId="0BFB1B66">
      <w:pPr>
        <w:pStyle w:val="20"/>
        <w:bidi w:val="0"/>
        <w:rPr>
          <w:rFonts w:hint="eastAsia" w:eastAsiaTheme="minorEastAsia"/>
          <w:color w:val="000000" w:themeColor="text1"/>
          <w:spacing w:val="-3"/>
          <w:highlight w:val="none"/>
          <w14:textFill>
            <w14:solidFill>
              <w14:schemeClr w14:val="tx1"/>
            </w14:solidFill>
          </w14:textFill>
        </w:rPr>
      </w:pPr>
      <w:r>
        <w:rPr>
          <w:rFonts w:hint="eastAsia" w:eastAsiaTheme="minorEastAsia"/>
          <w:color w:val="000000" w:themeColor="text1"/>
          <w:spacing w:val="-3"/>
          <w:highlight w:val="none"/>
          <w14:textFill>
            <w14:solidFill>
              <w14:schemeClr w14:val="tx1"/>
            </w14:solidFill>
          </w14:textFill>
        </w:rPr>
        <w:t>综合以上分析，规划区污水经东西湖污水处理厂处理尾水达到GB18918-2002一级A标准后由塔尔头泵站排口排放，正常排放情况下排放污水不会改变府河当前的水质管理目标，不会对府河（朱家河口）断面产生影响。</w:t>
      </w:r>
    </w:p>
    <w:p w14:paraId="50F7CD4D">
      <w:pPr>
        <w:pStyle w:val="20"/>
        <w:bidi w:val="0"/>
        <w:rPr>
          <w:rFonts w:hint="eastAsia" w:eastAsiaTheme="minorEastAsia"/>
          <w:color w:val="000000" w:themeColor="text1"/>
          <w:spacing w:val="-3"/>
          <w:highlight w:val="none"/>
          <w14:textFill>
            <w14:solidFill>
              <w14:schemeClr w14:val="tx1"/>
            </w14:solidFill>
          </w14:textFill>
        </w:rPr>
      </w:pPr>
      <w:r>
        <w:rPr>
          <w:rFonts w:hint="eastAsia" w:eastAsiaTheme="minorEastAsia"/>
          <w:color w:val="000000" w:themeColor="text1"/>
          <w:spacing w:val="-3"/>
          <w:highlight w:val="none"/>
          <w14:textFill>
            <w14:solidFill>
              <w14:schemeClr w14:val="tx1"/>
            </w14:solidFill>
          </w14:textFill>
        </w:rPr>
        <w:t>综上所述，规划实施后对地表水体的影响可以接受。后期应进一步加强监督管理及日常维护，保证东西湖污水处理厂设备的正常运行，规划期内网安半岛泥达湖片区产业组团应着重加强园区企业排水管理和污水处理厂排水水质日常监管，严禁超标废水排放。当前东西湖污水处理厂已超负荷运行，建议尽快开展东西湖污水处理厂扩建工程，东西湖污水处理厂无处理能力时，规划区域暂停废水排放企业入驻，确保规划区域废水全收集，并纳入东西湖污水处理厂进行处理后达标排放。</w:t>
      </w:r>
    </w:p>
    <w:p w14:paraId="407AD98D">
      <w:pPr>
        <w:pStyle w:val="3"/>
        <w:rPr>
          <w:rFonts w:eastAsiaTheme="minorEastAsia"/>
          <w:color w:val="000000" w:themeColor="text1"/>
          <w:sz w:val="24"/>
          <w:szCs w:val="24"/>
          <w:highlight w:val="none"/>
          <w14:textFill>
            <w14:solidFill>
              <w14:schemeClr w14:val="tx1"/>
            </w14:solidFill>
          </w14:textFill>
        </w:rPr>
      </w:pPr>
      <w:bookmarkStart w:id="303" w:name="bookmark14"/>
      <w:bookmarkEnd w:id="303"/>
      <w:bookmarkStart w:id="304" w:name="_Toc15805"/>
      <w:bookmarkStart w:id="305" w:name="_Toc21910"/>
      <w:r>
        <w:rPr>
          <w:rFonts w:eastAsiaTheme="minorEastAsia"/>
          <w:color w:val="000000" w:themeColor="text1"/>
          <w:kern w:val="0"/>
          <w:sz w:val="24"/>
          <w:szCs w:val="24"/>
          <w:highlight w:val="none"/>
          <w14:textFill>
            <w14:solidFill>
              <w14:schemeClr w14:val="tx1"/>
            </w14:solidFill>
          </w14:textFill>
        </w:rPr>
        <w:t>地下水环境影响分析</w:t>
      </w:r>
      <w:bookmarkEnd w:id="304"/>
      <w:bookmarkEnd w:id="305"/>
    </w:p>
    <w:p w14:paraId="6B0990E9">
      <w:pPr>
        <w:adjustRightInd w:val="0"/>
        <w:snapToGrid w:val="0"/>
        <w:spacing w:line="360" w:lineRule="auto"/>
        <w:ind w:firstLine="468" w:firstLineChars="200"/>
        <w:rPr>
          <w:rFonts w:hint="eastAsia" w:eastAsiaTheme="minorEastAsia"/>
          <w:color w:val="000000" w:themeColor="text1"/>
          <w:spacing w:val="-3"/>
          <w:sz w:val="24"/>
          <w:szCs w:val="24"/>
          <w:highlight w:val="none"/>
          <w14:textFill>
            <w14:solidFill>
              <w14:schemeClr w14:val="tx1"/>
            </w14:solidFill>
          </w14:textFill>
        </w:rPr>
      </w:pPr>
      <w:r>
        <w:rPr>
          <w:rFonts w:hint="eastAsia" w:eastAsiaTheme="minorEastAsia"/>
          <w:color w:val="000000" w:themeColor="text1"/>
          <w:spacing w:val="-3"/>
          <w:sz w:val="24"/>
          <w:szCs w:val="24"/>
          <w:highlight w:val="none"/>
          <w14:textFill>
            <w14:solidFill>
              <w14:schemeClr w14:val="tx1"/>
            </w14:solidFill>
          </w14:textFill>
        </w:rPr>
        <w:t>根据对规划区域饮用水源的调查，区域内使用自来水，地下水开发利用程度较低，无集中式开采利用。因此，目前尚无环境水文地质问题。区域内无集中式饮用水水源地准保护区，也无其它的特殊地下水资源保护区，无地下水环境敏感目标。</w:t>
      </w:r>
    </w:p>
    <w:p w14:paraId="6E65900D">
      <w:pPr>
        <w:adjustRightInd w:val="0"/>
        <w:snapToGrid w:val="0"/>
        <w:spacing w:line="360" w:lineRule="auto"/>
        <w:ind w:firstLine="468" w:firstLineChars="200"/>
        <w:rPr>
          <w:rFonts w:hint="eastAsia" w:eastAsiaTheme="minorEastAsia"/>
          <w:color w:val="000000" w:themeColor="text1"/>
          <w:spacing w:val="-3"/>
          <w:sz w:val="24"/>
          <w:szCs w:val="24"/>
          <w:highlight w:val="none"/>
          <w14:textFill>
            <w14:solidFill>
              <w14:schemeClr w14:val="tx1"/>
            </w14:solidFill>
          </w14:textFill>
        </w:rPr>
      </w:pPr>
      <w:r>
        <w:rPr>
          <w:rFonts w:hint="eastAsia" w:eastAsiaTheme="minorEastAsia"/>
          <w:color w:val="000000" w:themeColor="text1"/>
          <w:spacing w:val="-3"/>
          <w:sz w:val="24"/>
          <w:szCs w:val="24"/>
          <w:highlight w:val="none"/>
          <w14:textFill>
            <w14:solidFill>
              <w14:schemeClr w14:val="tx1"/>
            </w14:solidFill>
          </w14:textFill>
        </w:rPr>
        <w:t>根据《环境影响评价技术导则地下水环境》（HJ610-2016），建设项目对地下水环境影响的程度，将建设项目分为</w:t>
      </w:r>
      <w:r>
        <w:rPr>
          <w:rFonts w:hint="default" w:ascii="Times New Roman" w:hAnsi="Times New Roman" w:cs="Times New Roman" w:eastAsiaTheme="minorEastAsia"/>
          <w:color w:val="000000" w:themeColor="text1"/>
          <w:spacing w:val="-3"/>
          <w:sz w:val="24"/>
          <w:szCs w:val="24"/>
          <w:highlight w:val="none"/>
          <w14:textFill>
            <w14:solidFill>
              <w14:schemeClr w14:val="tx1"/>
            </w14:solidFill>
          </w14:textFill>
        </w:rPr>
        <w:t>Ⅰ类、Ⅱ类、Ⅲ类、Ⅳ类</w:t>
      </w:r>
      <w:r>
        <w:rPr>
          <w:rFonts w:hint="eastAsia" w:eastAsiaTheme="minorEastAsia"/>
          <w:color w:val="000000" w:themeColor="text1"/>
          <w:spacing w:val="-3"/>
          <w:sz w:val="24"/>
          <w:szCs w:val="24"/>
          <w:highlight w:val="none"/>
          <w14:textFill>
            <w14:solidFill>
              <w14:schemeClr w14:val="tx1"/>
            </w14:solidFill>
          </w14:textFill>
        </w:rPr>
        <w:t>。结合本次评价范围内引入产业类型、用地类型及拟引入企业情况，</w:t>
      </w:r>
      <w:r>
        <w:rPr>
          <w:rFonts w:hint="eastAsia" w:eastAsiaTheme="minorEastAsia"/>
          <w:color w:val="000000" w:themeColor="text1"/>
          <w:spacing w:val="-3"/>
          <w:sz w:val="24"/>
          <w:szCs w:val="24"/>
          <w:highlight w:val="none"/>
          <w14:textFill>
            <w14:solidFill>
              <w14:schemeClr w14:val="tx1"/>
            </w14:solidFill>
          </w14:textFill>
        </w:rPr>
        <w:t>规划区工业用地主导产业主要互</w:t>
      </w:r>
      <w:r>
        <w:rPr>
          <w:rFonts w:hint="eastAsia" w:eastAsiaTheme="minorEastAsia"/>
          <w:color w:val="000000" w:themeColor="text1"/>
          <w:spacing w:val="-3"/>
          <w:sz w:val="24"/>
          <w:szCs w:val="24"/>
          <w:highlight w:val="none"/>
          <w14:textFill>
            <w14:solidFill>
              <w14:schemeClr w14:val="tx1"/>
            </w14:solidFill>
          </w14:textFill>
        </w:rPr>
        <w:t>联网数据服务、软件和信息技术服务业、科技推广和应用服务业、计算机制造、电子器件制造、电子元件及电子专用材料制造等产业，涉及的有机溶剂清洗可能会对规划区域地下水环境产生一定的影响。评价范围内计算机制造、电子器件制造、电子元件及电子专用材料制造生产可能涉及</w:t>
      </w:r>
      <w:r>
        <w:rPr>
          <w:rFonts w:hint="default" w:ascii="Times New Roman" w:hAnsi="Times New Roman" w:cs="Times New Roman" w:eastAsiaTheme="minorEastAsia"/>
          <w:color w:val="000000" w:themeColor="text1"/>
          <w:spacing w:val="-3"/>
          <w:sz w:val="24"/>
          <w:szCs w:val="24"/>
          <w:highlight w:val="none"/>
          <w14:textFill>
            <w14:solidFill>
              <w14:schemeClr w14:val="tx1"/>
            </w14:solidFill>
          </w14:textFill>
        </w:rPr>
        <w:t>Ⅱ、Ⅲ、Ⅳ</w:t>
      </w:r>
      <w:r>
        <w:rPr>
          <w:rFonts w:hint="eastAsia" w:eastAsiaTheme="minorEastAsia"/>
          <w:color w:val="000000" w:themeColor="text1"/>
          <w:spacing w:val="-3"/>
          <w:sz w:val="24"/>
          <w:szCs w:val="24"/>
          <w:highlight w:val="none"/>
          <w14:textFill>
            <w14:solidFill>
              <w14:schemeClr w14:val="tx1"/>
            </w14:solidFill>
          </w14:textFill>
        </w:rPr>
        <w:t>类建设项目，电子器件制造（C397）产业可能涉及II类建设项目，对地下水环境影响程度较大。因此，本次评价选取电子器件制造产业作为典型产业类型进行预测影响分析。武汉京东方光电科技有限公司为显示器件制造（C3974）企业，位于园区东北侧约440m，本次引用武汉京东方光电科技有限公司源强对地下水进行预测影响分析。</w:t>
      </w:r>
    </w:p>
    <w:p w14:paraId="5DE074F4">
      <w:pPr>
        <w:adjustRightInd w:val="0"/>
        <w:snapToGrid w:val="0"/>
        <w:spacing w:line="360" w:lineRule="auto"/>
        <w:ind w:firstLine="468" w:firstLineChars="200"/>
        <w:rPr>
          <w:rFonts w:hint="eastAsia" w:eastAsiaTheme="minorEastAsia"/>
          <w:color w:val="000000" w:themeColor="text1"/>
          <w:spacing w:val="-3"/>
          <w:sz w:val="24"/>
          <w:szCs w:val="24"/>
          <w:highlight w:val="none"/>
          <w14:textFill>
            <w14:solidFill>
              <w14:schemeClr w14:val="tx1"/>
            </w14:solidFill>
          </w14:textFill>
        </w:rPr>
      </w:pPr>
      <w:r>
        <w:rPr>
          <w:rFonts w:hint="eastAsia" w:eastAsiaTheme="minorEastAsia"/>
          <w:color w:val="000000" w:themeColor="text1"/>
          <w:spacing w:val="-3"/>
          <w:sz w:val="24"/>
          <w:szCs w:val="24"/>
          <w:highlight w:val="none"/>
          <w14:textFill>
            <w14:solidFill>
              <w14:schemeClr w14:val="tx1"/>
            </w14:solidFill>
          </w14:textFill>
        </w:rPr>
        <w:t>根据污染物浓度随时间变化过程显示</w:t>
      </w:r>
      <w:r>
        <w:rPr>
          <w:rFonts w:hint="eastAsia" w:eastAsiaTheme="minorEastAsia"/>
          <w:color w:val="000000" w:themeColor="text1"/>
          <w:spacing w:val="-3"/>
          <w:sz w:val="24"/>
          <w:szCs w:val="24"/>
          <w:highlight w:val="none"/>
          <w:lang w:eastAsia="zh-CN"/>
          <w14:textFill>
            <w14:solidFill>
              <w14:schemeClr w14:val="tx1"/>
            </w14:solidFill>
          </w14:textFill>
        </w:rPr>
        <w:t>，</w:t>
      </w:r>
      <w:r>
        <w:rPr>
          <w:rFonts w:hint="eastAsia" w:eastAsiaTheme="minorEastAsia"/>
          <w:color w:val="000000" w:themeColor="text1"/>
          <w:spacing w:val="-3"/>
          <w:sz w:val="24"/>
          <w:szCs w:val="24"/>
          <w:highlight w:val="none"/>
          <w14:textFill>
            <w14:solidFill>
              <w14:schemeClr w14:val="tx1"/>
            </w14:solidFill>
          </w14:textFill>
        </w:rPr>
        <w:t>在非正常状态下，污染物迁移距离随时间增加而增大，预测结果均未超标，对地下水影响可接受。</w:t>
      </w:r>
    </w:p>
    <w:p w14:paraId="3B024B1B">
      <w:pPr>
        <w:pStyle w:val="3"/>
        <w:rPr>
          <w:rFonts w:eastAsiaTheme="minorEastAsia"/>
          <w:color w:val="000000" w:themeColor="text1"/>
          <w:kern w:val="0"/>
          <w:highlight w:val="none"/>
          <w14:textFill>
            <w14:solidFill>
              <w14:schemeClr w14:val="tx1"/>
            </w14:solidFill>
          </w14:textFill>
        </w:rPr>
      </w:pPr>
      <w:bookmarkStart w:id="306" w:name="bookmark15"/>
      <w:bookmarkEnd w:id="306"/>
      <w:bookmarkStart w:id="307" w:name="_Toc16725"/>
      <w:bookmarkStart w:id="308" w:name="_Toc11882"/>
      <w:r>
        <w:rPr>
          <w:rFonts w:eastAsiaTheme="minorEastAsia"/>
          <w:color w:val="000000" w:themeColor="text1"/>
          <w:kern w:val="0"/>
          <w:highlight w:val="none"/>
          <w14:textFill>
            <w14:solidFill>
              <w14:schemeClr w14:val="tx1"/>
            </w14:solidFill>
          </w14:textFill>
        </w:rPr>
        <w:t>声环境影响分析</w:t>
      </w:r>
      <w:bookmarkEnd w:id="307"/>
      <w:bookmarkEnd w:id="308"/>
    </w:p>
    <w:p w14:paraId="0A9EF5A3">
      <w:pPr>
        <w:pStyle w:val="2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根据网安半岛泥达湖片区产业组团规划布局和土地利用方案，网安半岛泥达湖片区产业组团内噪声源主要包括工业生产噪声、交通噪声和施工生活噪声。其中工业生产噪声、道路交通噪声影响较大。</w:t>
      </w:r>
    </w:p>
    <w:p w14:paraId="6D6D063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（1）交通噪声环境影响分析</w:t>
      </w:r>
    </w:p>
    <w:p w14:paraId="4EE1DAFD">
      <w:pPr>
        <w:pStyle w:val="20"/>
        <w:bidi w:val="0"/>
        <w:rPr>
          <w:rFonts w:hint="default" w:ascii="Times New Roman" w:hAnsi="Times New Roman" w:cs="Times New Roman"/>
          <w:color w:val="000000" w:themeColor="text1"/>
          <w:highlight w:val="none"/>
          <w:lang w:val="zh-CN"/>
          <w14:textFill>
            <w14:solidFill>
              <w14:schemeClr w14:val="tx1"/>
            </w14:solidFill>
          </w14:textFill>
        </w:rPr>
      </w:pPr>
      <w:r>
        <w:rPr>
          <w:rFonts w:hint="default" w:ascii="Times New Roman" w:hAnsi="Times New Roman" w:cs="Times New Roman"/>
          <w:color w:val="000000" w:themeColor="text1"/>
          <w:highlight w:val="none"/>
          <w:lang w:val="zh-CN"/>
          <w14:textFill>
            <w14:solidFill>
              <w14:schemeClr w14:val="tx1"/>
            </w14:solidFill>
          </w14:textFill>
        </w:rPr>
        <w:t>规划范围内的道路系统由主干路、次干路及支路构成，内部分设了方格网道路，构建起快捷、高效、层次分明的道路交通体系。随着网安半岛泥达湖片区产业组团内企业的增加和道路交通设施的建设，运输原料和产品的重型载重卡车进一步增加，车流量的增加会导致道路交通噪声影响更为突出。因此规划实施过程中应根据道路交通污染特征合理布设线路，并采取相应减噪措施，加强管理，重点做好环境敏感点处的噪声污染防治工作。应严格按照本评价提出的防治措施实施，以确保网安半岛泥达湖片区产业组团域能够满足GB3096-2008《声环境质量标准》中相应功能区的要求。</w:t>
      </w:r>
    </w:p>
    <w:p w14:paraId="3BC64C5A">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（2）工业企业噪声影响分析</w:t>
      </w:r>
    </w:p>
    <w:p w14:paraId="416BE68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规划区内的工业生产噪声主要是</w:t>
      </w:r>
      <w:r>
        <w:rPr>
          <w:rFonts w:hint="eastAsia" w:eastAsiaTheme="minorEastAsia"/>
          <w:color w:val="000000" w:themeColor="text1"/>
          <w:spacing w:val="-3"/>
          <w:sz w:val="24"/>
          <w:highlight w:val="none"/>
          <w14:textFill>
            <w14:solidFill>
              <w14:schemeClr w14:val="tx1"/>
            </w14:solidFill>
          </w14:textFill>
        </w:rPr>
        <w:t>工业企业在生产过程中使用的工艺性固定式生产设备或辅助生产设备产生的噪声，可能产生噪声的生产设备随行业不同而不同，主要包括空压机、各类泵、鼓风机和排风机、冷却机、冷却塔等，噪声源强在70~105dB(A)之间</w:t>
      </w:r>
      <w:r>
        <w:rPr>
          <w:rFonts w:eastAsiaTheme="minorEastAsia"/>
          <w:color w:val="000000" w:themeColor="text1"/>
          <w:spacing w:val="-3"/>
          <w:sz w:val="24"/>
          <w:highlight w:val="none"/>
          <w14:textFill>
            <w14:solidFill>
              <w14:schemeClr w14:val="tx1"/>
            </w14:solidFill>
          </w14:textFill>
        </w:rPr>
        <w:t>。</w:t>
      </w:r>
    </w:p>
    <w:p w14:paraId="537B2911">
      <w:pPr>
        <w:pStyle w:val="20"/>
        <w:bidi w:val="0"/>
        <w:rPr>
          <w:rFonts w:hint="default" w:ascii="Times New Roman" w:hAnsi="Times New Roman" w:cs="Times New Roman"/>
          <w:color w:val="000000" w:themeColor="text1"/>
          <w:highlight w:val="none"/>
          <w14:textFill>
            <w14:solidFill>
              <w14:schemeClr w14:val="tx1"/>
            </w14:solidFill>
          </w14:textFill>
        </w:rPr>
      </w:pPr>
      <w:bookmarkStart w:id="309" w:name="bookmark16"/>
      <w:bookmarkEnd w:id="309"/>
      <w:r>
        <w:rPr>
          <w:rFonts w:hint="default" w:ascii="Times New Roman" w:hAnsi="Times New Roman" w:cs="Times New Roman"/>
          <w:color w:val="000000" w:themeColor="text1"/>
          <w:highlight w:val="none"/>
          <w14:textFill>
            <w14:solidFill>
              <w14:schemeClr w14:val="tx1"/>
            </w14:solidFill>
          </w14:textFill>
        </w:rPr>
        <w:t>建议后续加强监管，要求产生噪声的企业必须加装相应的减震降噪措施，且不同设备声源距厂界距离需大于夜间噪声影响距离；同时从规划区外平面布置来看，规划区外居民点与规划区最近距离约480米，中间有防护绿地及道路相隔，在控制距离、加强噪声减缓措施、工业企业厂界噪声达到GB12348-2008《工业企业厂界环境噪声排放标准》中2类标准要求的前提下，规划区工业企业基本不会对周边敏感目标产生影响。</w:t>
      </w:r>
    </w:p>
    <w:p w14:paraId="0475A7AE">
      <w:pPr>
        <w:adjustRightInd w:val="0"/>
        <w:snapToGrid w:val="0"/>
        <w:spacing w:line="360" w:lineRule="auto"/>
        <w:ind w:firstLine="468" w:firstLineChars="200"/>
        <w:rPr>
          <w:rFonts w:hint="default" w:ascii="Times New Roman" w:hAnsi="Times New Roman" w:cs="Times New Roman" w:eastAsiaTheme="minorEastAsia"/>
          <w:color w:val="000000" w:themeColor="text1"/>
          <w:spacing w:val="-3"/>
          <w:sz w:val="24"/>
          <w:highlight w:val="none"/>
          <w14:textFill>
            <w14:solidFill>
              <w14:schemeClr w14:val="tx1"/>
            </w14:solidFill>
          </w14:textFill>
        </w:rPr>
      </w:pPr>
      <w:bookmarkStart w:id="310" w:name="_Toc17073"/>
      <w:bookmarkStart w:id="311" w:name="_Toc2746"/>
      <w:bookmarkStart w:id="312" w:name="_Toc28983"/>
      <w:bookmarkStart w:id="313" w:name="_Toc3006"/>
      <w:bookmarkStart w:id="314" w:name="_Toc11509"/>
      <w:bookmarkStart w:id="315" w:name="_Toc22281"/>
      <w:r>
        <w:rPr>
          <w:rFonts w:hint="eastAsia" w:ascii="Times New Roman" w:hAnsi="Times New Roman" w:cs="Times New Roman" w:eastAsiaTheme="minorEastAsia"/>
          <w:color w:val="000000" w:themeColor="text1"/>
          <w:spacing w:val="-3"/>
          <w:sz w:val="24"/>
          <w:highlight w:val="none"/>
          <w:lang w:eastAsia="zh-CN"/>
          <w14:textFill>
            <w14:solidFill>
              <w14:schemeClr w14:val="tx1"/>
            </w14:solidFill>
          </w14:textFill>
        </w:rPr>
        <w:t>（</w:t>
      </w: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3</w:t>
      </w:r>
      <w:r>
        <w:rPr>
          <w:rFonts w:hint="eastAsia" w:ascii="Times New Roman" w:hAnsi="Times New Roman" w:cs="Times New Roman" w:eastAsiaTheme="minorEastAsia"/>
          <w:color w:val="000000" w:themeColor="text1"/>
          <w:spacing w:val="-3"/>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pacing w:val="-3"/>
          <w:sz w:val="24"/>
          <w:highlight w:val="none"/>
          <w14:textFill>
            <w14:solidFill>
              <w14:schemeClr w14:val="tx1"/>
            </w14:solidFill>
          </w14:textFill>
        </w:rPr>
        <w:t>施工噪声环境影响分析</w:t>
      </w:r>
      <w:bookmarkEnd w:id="310"/>
      <w:bookmarkEnd w:id="311"/>
      <w:bookmarkEnd w:id="312"/>
      <w:bookmarkEnd w:id="313"/>
      <w:bookmarkEnd w:id="314"/>
      <w:bookmarkEnd w:id="315"/>
    </w:p>
    <w:p w14:paraId="72AECEE4">
      <w:pPr>
        <w:pStyle w:val="2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网安半岛泥达湖片区产业组团是不断滚动开发的，施工噪声主要来源于区域开发建设的施工工地，噪声设备包括推土机、振捣器、搅拌机等，声级为84~99dB。施工噪声应采取降噪措施，严格执行《建筑施工噪声排放标准》（GB12523-2025）的要求，避免对敏感点造成影响。</w:t>
      </w:r>
    </w:p>
    <w:p w14:paraId="0F18EDC2">
      <w:pPr>
        <w:adjustRightInd w:val="0"/>
        <w:snapToGrid w:val="0"/>
        <w:spacing w:line="360" w:lineRule="auto"/>
        <w:ind w:firstLine="468" w:firstLineChars="200"/>
        <w:rPr>
          <w:rFonts w:hint="default" w:ascii="Times New Roman" w:hAnsi="Times New Roman" w:cs="Times New Roman" w:eastAsiaTheme="minorEastAsia"/>
          <w:color w:val="000000" w:themeColor="text1"/>
          <w:spacing w:val="-3"/>
          <w:sz w:val="24"/>
          <w:highlight w:val="none"/>
          <w14:textFill>
            <w14:solidFill>
              <w14:schemeClr w14:val="tx1"/>
            </w14:solidFill>
          </w14:textFill>
        </w:rPr>
      </w:pP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社会生活噪声分析</w:t>
      </w:r>
    </w:p>
    <w:p w14:paraId="3E2A7975">
      <w:pPr>
        <w:pStyle w:val="2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社会生活噪声主要来源于商业服务设施等。管理部门应加强区域内的噪声源管理，预计区域社会生活噪声不会有较大变化。</w:t>
      </w:r>
    </w:p>
    <w:p w14:paraId="1AD9F0F0">
      <w:pPr>
        <w:pStyle w:val="3"/>
        <w:rPr>
          <w:rFonts w:eastAsiaTheme="minorEastAsia"/>
          <w:color w:val="000000" w:themeColor="text1"/>
          <w:kern w:val="0"/>
          <w:highlight w:val="none"/>
          <w14:textFill>
            <w14:solidFill>
              <w14:schemeClr w14:val="tx1"/>
            </w14:solidFill>
          </w14:textFill>
        </w:rPr>
      </w:pPr>
      <w:bookmarkStart w:id="316" w:name="_Toc15757"/>
      <w:bookmarkStart w:id="317" w:name="_Toc10314"/>
      <w:r>
        <w:rPr>
          <w:rFonts w:eastAsiaTheme="minorEastAsia"/>
          <w:color w:val="000000" w:themeColor="text1"/>
          <w:kern w:val="0"/>
          <w:highlight w:val="none"/>
          <w14:textFill>
            <w14:solidFill>
              <w14:schemeClr w14:val="tx1"/>
            </w14:solidFill>
          </w14:textFill>
        </w:rPr>
        <w:t>土壤环境影响分析</w:t>
      </w:r>
      <w:bookmarkEnd w:id="316"/>
      <w:bookmarkEnd w:id="317"/>
    </w:p>
    <w:p w14:paraId="6B1D0C19">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网安半岛泥达湖片区产业组团规划</w:t>
      </w:r>
      <w:r>
        <w:rPr>
          <w:rFonts w:hint="eastAsia"/>
          <w:color w:val="000000" w:themeColor="text1"/>
          <w:sz w:val="24"/>
          <w:highlight w:val="none"/>
          <w14:textFill>
            <w14:solidFill>
              <w14:schemeClr w14:val="tx1"/>
            </w14:solidFill>
          </w14:textFill>
        </w:rPr>
        <w:t>定位为大数据中心、云计算中心、承接网安创新科技产业培育为核心的产业组团</w:t>
      </w:r>
      <w:r>
        <w:rPr>
          <w:rFonts w:hint="eastAsia"/>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工业企业厂区内应严格执行分区防渗要求，涉及危险废物暂存的企业，危废暂存间基本按要求设置了六防措施，垂直入渗对土壤环境的影响较小。在工业企业日常生产过程中，当发生突发事故时，包含一些原料、产品、危险物质的固体废物或废水的意外倾泻、污水处理厂失控导致的超标废水未经处理直接外排或外溢，均有可能造成事故周边土壤环境的污染，但是这些事故的发生概率较低，可通过提升环境管理水平而降低发生概率。本轮规划定位为大数据中心、云计算中心、承接网安创新科技产业培育为核心的产业组团。根据前述分析，废气主要污染物为PM</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10</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2.5</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、SO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TVOC、甲醛、氨、硫酸雾、氯化氢、氯、硫化氢、氟化物、砷及其化合物、酚类、等，废水主要污染物为COD、氨氮、总氮、总磷等。网安半岛泥达湖片区产业组团应按照本次评价提出的环境管理与环境准入要求，按照相关环保要求做好雨污分流、厂区分区防渗，涉及初期雨水的设置初期雨水收集池，减少地面漫流对土壤环境影响；涉及事故废水排放按要求设置事故池；涉及危废暂存的企业，按相关要求设置危废暂存间，在落实各项防护措施的情况下，垂直入渗对土壤环境影响较小。本次评价主要考虑大气沉降对土壤环境影响。土壤大气沉降影响预测因子选取砷。</w:t>
      </w:r>
    </w:p>
    <w:p w14:paraId="4196E5E0">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根据预测结果，规划远期（2035年）砷在土壤中的累积增量叠加背景浓度后远低于《土壤环境质量  建设用地土壤污染风险管控标准（试行）》（GB36600-2018）第二类用地污染风险筛选值。在考虑淋溶、径流排出及生物降解的情况下，挥发性有机物在土壤中的累积量将更小，因此网安半岛泥达湖片区产业组团排放的挥发性有机物污染物进入土壤环境造成的累积量是有限的，在可接受范围内。</w:t>
      </w:r>
    </w:p>
    <w:p w14:paraId="4123D482">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规划区域土壤累积影响在环境可承受范围内。根据现状监测结果，园区土壤未出现超标现象，通过进一步加强管理及污染防控，企业的建设不</w:t>
      </w:r>
      <w:r>
        <w:rPr>
          <w:rFonts w:hint="eastAsia" w:eastAsiaTheme="minorEastAsia"/>
          <w:color w:val="000000" w:themeColor="text1"/>
          <w:spacing w:val="-3"/>
          <w:sz w:val="24"/>
          <w:highlight w:val="none"/>
          <w:lang w:eastAsia="zh-CN"/>
          <w14:textFill>
            <w14:solidFill>
              <w14:schemeClr w14:val="tx1"/>
            </w14:solidFill>
          </w14:textFill>
        </w:rPr>
        <w:t>会对</w:t>
      </w:r>
      <w:r>
        <w:rPr>
          <w:rFonts w:hint="eastAsia" w:eastAsiaTheme="minorEastAsia"/>
          <w:color w:val="000000" w:themeColor="text1"/>
          <w:spacing w:val="-3"/>
          <w:sz w:val="24"/>
          <w:highlight w:val="none"/>
          <w14:textFill>
            <w14:solidFill>
              <w14:schemeClr w14:val="tx1"/>
            </w14:solidFill>
          </w14:textFill>
        </w:rPr>
        <w:t>周边土壤环境造成污染。后期可进一步加强废水、废气环境管理，落实防渗防漏措施，减少对土壤环境的影响。</w:t>
      </w:r>
    </w:p>
    <w:p w14:paraId="169C48CF">
      <w:pPr>
        <w:pStyle w:val="3"/>
        <w:rPr>
          <w:rFonts w:eastAsiaTheme="minorEastAsia"/>
          <w:color w:val="000000" w:themeColor="text1"/>
          <w:kern w:val="0"/>
          <w:highlight w:val="none"/>
          <w14:textFill>
            <w14:solidFill>
              <w14:schemeClr w14:val="tx1"/>
            </w14:solidFill>
          </w14:textFill>
        </w:rPr>
      </w:pPr>
      <w:bookmarkStart w:id="318" w:name="bookmark17"/>
      <w:bookmarkEnd w:id="318"/>
      <w:bookmarkStart w:id="319" w:name="_Toc4470"/>
      <w:bookmarkStart w:id="320" w:name="_Toc5027"/>
      <w:r>
        <w:rPr>
          <w:rFonts w:eastAsiaTheme="minorEastAsia"/>
          <w:color w:val="000000" w:themeColor="text1"/>
          <w:kern w:val="0"/>
          <w:highlight w:val="none"/>
          <w14:textFill>
            <w14:solidFill>
              <w14:schemeClr w14:val="tx1"/>
            </w14:solidFill>
          </w14:textFill>
        </w:rPr>
        <w:t>固废环境影响分析</w:t>
      </w:r>
      <w:bookmarkEnd w:id="319"/>
      <w:bookmarkEnd w:id="320"/>
    </w:p>
    <w:p w14:paraId="04A1EEEA">
      <w:pPr>
        <w:adjustRightInd w:val="0"/>
        <w:snapToGrid w:val="0"/>
        <w:spacing w:line="360" w:lineRule="auto"/>
        <w:ind w:firstLine="468" w:firstLineChars="200"/>
        <w:rPr>
          <w:rFonts w:hint="eastAsia" w:eastAsia="宋体"/>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规划区固体废物的类别可以分成生活垃圾、工业固体废物两大类，工业固体废物又可分为一般工业固体废物和危险固体废物。</w:t>
      </w:r>
    </w:p>
    <w:p w14:paraId="19659531">
      <w:pPr>
        <w:adjustRightInd w:val="0"/>
        <w:snapToGrid w:val="0"/>
        <w:spacing w:line="360" w:lineRule="auto"/>
        <w:ind w:firstLine="468" w:firstLineChars="200"/>
        <w:rPr>
          <w:rFonts w:hint="eastAsia"/>
          <w:color w:val="000000" w:themeColor="text1"/>
          <w:sz w:val="24"/>
          <w14:textFill>
            <w14:solidFill>
              <w14:schemeClr w14:val="tx1"/>
            </w14:solidFill>
          </w14:textFill>
        </w:rPr>
      </w:pP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网安半岛泥达湖片区产业组团生活垃圾实行分类管理，在厂区、办公区、居住区设置专用垃圾收集设施，</w:t>
      </w:r>
      <w:r>
        <w:rPr>
          <w:rFonts w:hint="default" w:ascii="Times New Roman" w:hAnsi="Times New Roman" w:cs="Times New Roman"/>
          <w:color w:val="000000" w:themeColor="text1"/>
          <w:sz w:val="24"/>
          <w:highlight w:val="none"/>
          <w14:textFill>
            <w14:solidFill>
              <w14:schemeClr w14:val="tx1"/>
            </w14:solidFill>
          </w14:textFill>
        </w:rPr>
        <w:t>由相关市政环卫部门统一收集后统一送往新沟垃圾焚烧发电厂集中处置</w:t>
      </w: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w:t>
      </w:r>
      <w:r>
        <w:rPr>
          <w:rFonts w:hint="eastAsia"/>
          <w:color w:val="000000" w:themeColor="text1"/>
          <w:sz w:val="24"/>
          <w14:textFill>
            <w14:solidFill>
              <w14:schemeClr w14:val="tx1"/>
            </w14:solidFill>
          </w14:textFill>
        </w:rPr>
        <w:t>按照《工业固体废物资源综合利用评价管理暂行办法》和《国家工业固体废物资源综合利用产品目录》要求，最大限度的实现一般工业固废的综合利用，满足综合利用技术条件和要求。</w:t>
      </w:r>
      <w:r>
        <w:rPr>
          <w:rFonts w:hint="eastAsia"/>
          <w:color w:val="000000" w:themeColor="text1"/>
          <w:sz w:val="24"/>
          <w:lang w:val="en-US" w:eastAsia="zh-CN"/>
          <w14:textFill>
            <w14:solidFill>
              <w14:schemeClr w14:val="tx1"/>
            </w14:solidFill>
          </w14:textFill>
        </w:rPr>
        <w:t>危险废物</w:t>
      </w:r>
      <w:r>
        <w:rPr>
          <w:rFonts w:hint="eastAsia"/>
          <w:color w:val="000000" w:themeColor="text1"/>
          <w:lang w:val="en-US" w:eastAsia="zh-CN"/>
          <w14:textFill>
            <w14:solidFill>
              <w14:schemeClr w14:val="tx1"/>
            </w14:solidFill>
          </w14:textFill>
        </w:rPr>
        <w:t>严格</w:t>
      </w:r>
      <w:r>
        <w:rPr>
          <w:rFonts w:hint="eastAsia"/>
          <w:color w:val="000000" w:themeColor="text1"/>
          <w:sz w:val="24"/>
          <w:lang w:val="en-US" w:eastAsia="zh-CN"/>
          <w14:textFill>
            <w14:solidFill>
              <w14:schemeClr w14:val="tx1"/>
            </w14:solidFill>
          </w14:textFill>
        </w:rPr>
        <w:t>执行各项规范要求，各企业做好危废贮存场所的防风、防雨、防晒、防腐、防渗、防漏等措施。危险废物实行分类、分区暂存，杜绝混合存放，并委托有资质的单位进行转移、处置等。危险废物移出人、危险废物承运人、危险废物接受人在危险废物转移过程中应当采取防扬散、防流失、防渗漏或者其他防止污染环境的措施，不得擅自倾倒、堆放、丢弃、遗撒危险废物，并对所造成的环境污染及生态破坏依法承担责任。</w:t>
      </w:r>
    </w:p>
    <w:p w14:paraId="50B4985B">
      <w:pPr>
        <w:adjustRightInd w:val="0"/>
        <w:snapToGrid w:val="0"/>
        <w:spacing w:line="360" w:lineRule="auto"/>
        <w:ind w:firstLine="468" w:firstLineChars="200"/>
        <w:rPr>
          <w:rFonts w:hint="eastAsia" w:ascii="Times New Roman" w:hAnsi="Times New Roman" w:eastAsia="宋体" w:cs="Times New Roman"/>
          <w:color w:val="000000" w:themeColor="text1"/>
          <w:spacing w:val="-3"/>
          <w:sz w:val="24"/>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在严格落实一般工业固体废物和危险废物</w:t>
      </w:r>
      <w:r>
        <w:rPr>
          <w:rFonts w:hint="eastAsia" w:cs="Times New Roman" w:eastAsiaTheme="minorEastAsia"/>
          <w:color w:val="000000" w:themeColor="text1"/>
          <w:spacing w:val="-3"/>
          <w:sz w:val="24"/>
          <w:highlight w:val="none"/>
          <w:lang w:val="en-US" w:eastAsia="zh-CN"/>
          <w14:textFill>
            <w14:solidFill>
              <w14:schemeClr w14:val="tx1"/>
            </w14:solidFill>
          </w14:textFill>
        </w:rPr>
        <w:t>、生活垃圾</w:t>
      </w:r>
      <w:r>
        <w:rPr>
          <w:rFonts w:hint="eastAsia" w:ascii="Times New Roman" w:hAnsi="Times New Roman" w:cs="Times New Roman" w:eastAsiaTheme="minorEastAsia"/>
          <w:color w:val="000000" w:themeColor="text1"/>
          <w:spacing w:val="-3"/>
          <w:sz w:val="24"/>
          <w:highlight w:val="none"/>
          <w:lang w:val="en-US" w:eastAsia="zh-CN"/>
          <w14:textFill>
            <w14:solidFill>
              <w14:schemeClr w14:val="tx1"/>
            </w14:solidFill>
          </w14:textFill>
        </w:rPr>
        <w:t>相关环境管理措施的基础上，结合清洁生产审核从源头控制固体废物的产生，实现固体废物的资源循环利用，规划实施能够实现固体废物的安全处理、处置，对区域环境及人体健康影响较小</w:t>
      </w:r>
      <w:r>
        <w:rPr>
          <w:rFonts w:hint="eastAsia"/>
          <w:color w:val="000000" w:themeColor="text1"/>
          <w:lang w:eastAsia="zh-CN"/>
          <w14:textFill>
            <w14:solidFill>
              <w14:schemeClr w14:val="tx1"/>
            </w14:solidFill>
          </w14:textFill>
        </w:rPr>
        <w:t>。</w:t>
      </w:r>
    </w:p>
    <w:p w14:paraId="118296D1">
      <w:pPr>
        <w:pStyle w:val="3"/>
        <w:rPr>
          <w:rFonts w:eastAsiaTheme="minorEastAsia"/>
          <w:color w:val="000000" w:themeColor="text1"/>
          <w:kern w:val="0"/>
          <w:highlight w:val="none"/>
          <w14:textFill>
            <w14:solidFill>
              <w14:schemeClr w14:val="tx1"/>
            </w14:solidFill>
          </w14:textFill>
        </w:rPr>
      </w:pPr>
      <w:bookmarkStart w:id="321" w:name="bookmark18"/>
      <w:bookmarkEnd w:id="321"/>
      <w:bookmarkStart w:id="322" w:name="_Toc20634"/>
      <w:bookmarkStart w:id="323" w:name="_Toc26424"/>
      <w:r>
        <w:rPr>
          <w:rFonts w:eastAsiaTheme="minorEastAsia"/>
          <w:color w:val="000000" w:themeColor="text1"/>
          <w:kern w:val="0"/>
          <w:highlight w:val="none"/>
          <w14:textFill>
            <w14:solidFill>
              <w14:schemeClr w14:val="tx1"/>
            </w14:solidFill>
          </w14:textFill>
        </w:rPr>
        <w:t>生态环境影响分析</w:t>
      </w:r>
      <w:bookmarkEnd w:id="322"/>
      <w:bookmarkEnd w:id="323"/>
    </w:p>
    <w:p w14:paraId="11E291DC">
      <w:pPr>
        <w:pStyle w:val="20"/>
        <w:bidi w:val="0"/>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网安半岛泥达湖片区产业组团</w:t>
      </w:r>
      <w:r>
        <w:rPr>
          <w:rFonts w:hint="default" w:ascii="Times New Roman" w:hAnsi="Times New Roman" w:cs="Times New Roman"/>
          <w:color w:val="000000" w:themeColor="text1"/>
          <w:highlight w:val="none"/>
          <w:lang w:val="en-US" w:eastAsia="zh-CN"/>
          <w14:textFill>
            <w14:solidFill>
              <w14:schemeClr w14:val="tx1"/>
            </w14:solidFill>
          </w14:textFill>
        </w:rPr>
        <w:t>规划实施后，对区域生态环境影响主要体现在开发区域建设过程中对土地利用方式和生态空间结构的改变所导致的生物生活环境与景观的变化，</w:t>
      </w:r>
      <w:r>
        <w:rPr>
          <w:rFonts w:hint="eastAsia" w:cs="Times New Roman"/>
          <w:color w:val="000000" w:themeColor="text1"/>
          <w:lang w:val="en-US" w:eastAsia="zh-CN"/>
          <w14:textFill>
            <w14:solidFill>
              <w14:schemeClr w14:val="tx1"/>
            </w14:solidFill>
          </w14:textFill>
        </w:rPr>
        <w:t>网安半岛泥达湖片区产业组团现状开发程度较低，后续发展过程中将对城镇开发边界内未利用的建设用地进行开发利用，对已开发利用的用地进行优化调整，规划建设可能改变局部用地的土地利用类型，临时或永久性占地将改变土地原有的生态服务功能。</w:t>
      </w:r>
      <w:r>
        <w:rPr>
          <w:rFonts w:hint="default" w:ascii="Times New Roman" w:hAnsi="Times New Roman" w:cs="Times New Roman"/>
          <w:color w:val="000000" w:themeColor="text1"/>
          <w14:textFill>
            <w14:solidFill>
              <w14:schemeClr w14:val="tx1"/>
            </w14:solidFill>
          </w14:textFill>
        </w:rPr>
        <w:t>规划实施后，将进行生态绿化</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种植本土物种，</w:t>
      </w:r>
      <w:r>
        <w:rPr>
          <w:rFonts w:hint="default" w:ascii="Times New Roman" w:hAnsi="Times New Roman" w:cs="Times New Roman"/>
          <w:color w:val="000000" w:themeColor="text1"/>
          <w14:textFill>
            <w14:solidFill>
              <w14:schemeClr w14:val="tx1"/>
            </w14:solidFill>
          </w14:textFill>
        </w:rPr>
        <w:t>建设前后区域的生物量损失小，且考虑到园区建成后，自然植被将被人工植被取代，绿化覆盖率会相对提高，因此，对区域开发建设对陆生生态影响较小。</w:t>
      </w:r>
    </w:p>
    <w:p w14:paraId="3B5E1FF1">
      <w:pPr>
        <w:pStyle w:val="20"/>
        <w:bidi w:val="0"/>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网安半岛泥达湖片区产业组团污水排入东西湖区污水处理厂进行处理，污水处理厂尾水受纳水体均为府河。</w:t>
      </w: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为补偿及优化区内水域生态系统，本次评价建议提升污水管网收集效能，完善管网系统，推进东西湖污水处理厂配套管网系统完善工程；实施东西湖污水处理厂“互联互通”，构建“联通互济、多元互补”的安全排水格局。改造管网系统，对建成区雨水管网系统的各类闸门、应急提排区排涝泵站、道路下穿通道排水泵站等老旧设施设备进行更新改造；结合现状市政雨污水管网，完善市政污水管道和雨水管道建设，填补排水设施空白，提升片区排水能力。推进垃圾分类投放、收集、运输和处理系统建设，加强垃圾无害化资源化处理，推进污泥资源化利用等。在规划实施过程中，进一步推进园区内雨市政污水管道和雨水管道建设建设工作，改善区域内水环境质量，尽可能减少水生物种损失。</w:t>
      </w:r>
    </w:p>
    <w:p w14:paraId="7A83C52B">
      <w:pPr>
        <w:pStyle w:val="3"/>
        <w:rPr>
          <w:rFonts w:eastAsiaTheme="minorEastAsia"/>
          <w:color w:val="000000" w:themeColor="text1"/>
          <w:kern w:val="0"/>
          <w:highlight w:val="none"/>
          <w14:textFill>
            <w14:solidFill>
              <w14:schemeClr w14:val="tx1"/>
            </w14:solidFill>
          </w14:textFill>
        </w:rPr>
      </w:pPr>
      <w:bookmarkStart w:id="324" w:name="bookmark19"/>
      <w:bookmarkEnd w:id="324"/>
      <w:bookmarkStart w:id="325" w:name="_Toc12269"/>
      <w:bookmarkStart w:id="326" w:name="_Toc16094"/>
      <w:r>
        <w:rPr>
          <w:rFonts w:eastAsiaTheme="minorEastAsia"/>
          <w:color w:val="000000" w:themeColor="text1"/>
          <w:kern w:val="0"/>
          <w:highlight w:val="none"/>
          <w14:textFill>
            <w14:solidFill>
              <w14:schemeClr w14:val="tx1"/>
            </w14:solidFill>
          </w14:textFill>
        </w:rPr>
        <w:t>环境风险影响分析</w:t>
      </w:r>
      <w:bookmarkEnd w:id="325"/>
      <w:bookmarkEnd w:id="326"/>
    </w:p>
    <w:p w14:paraId="2C300D9D">
      <w:pPr>
        <w:widowControl/>
        <w:adjustRightInd w:val="0"/>
        <w:snapToGrid w:val="0"/>
        <w:spacing w:line="360" w:lineRule="auto"/>
        <w:ind w:firstLine="480" w:firstLineChars="200"/>
        <w:rPr>
          <w:rFonts w:eastAsiaTheme="minorEastAsia"/>
          <w:color w:val="000000" w:themeColor="text1"/>
          <w:spacing w:val="-3"/>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网安半岛泥达湖片区产业组团主要的风险事故环境影响包括：危险物质泄漏、火灾、爆炸等引发的伴生/次生污染物排放、储运系统、天然气使用等泄漏或火灾造成的环境污染、污染事故排放等。</w:t>
      </w:r>
    </w:p>
    <w:p w14:paraId="19F4F851">
      <w:pPr>
        <w:adjustRightInd w:val="0"/>
        <w:snapToGrid w:val="0"/>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为减少、杜绝污染废水排入外环境，园区及企业应做好雨污分流，并建立环保应急三级防控体系：①一级防控体系必须建设装置区围堰、罐区防火堤及其配套设施（如备用罐、储液池、隔油池、导流设施、清污水切换设施等），防止污染雨水和轻微事故泄漏造成的环境污染。②二级防控体系必须建设应急事故水池、拦污坝及其配套设施（如事故导排系统），防止生产装置（罐区）较大事故泄漏物料和消防废水造成的环境污染。③三级防控体系必须建设末端事故缓冲设施及其配套设施，作为事故状态下的储存与调控手段，将污染物控制在企业内，防止重大事故泄漏物料和污染消防水造成的环境污染。</w:t>
      </w:r>
    </w:p>
    <w:p w14:paraId="18798E33">
      <w:pPr>
        <w:adjustRightInd w:val="0"/>
        <w:snapToGrid w:val="0"/>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为减少废气对外部环境的影响，涉及有毒有害废气排放的企业应配套废气收集处理设施；并对废气收集处理设施定期加强维护，保证污染物的去除效率，使之能够满足达标排放的要求；不允许恶意停止废气处理设施的运转而将废气直接排放。</w:t>
      </w:r>
    </w:p>
    <w:p w14:paraId="18CDBA06">
      <w:pPr>
        <w:adjustRightInd w:val="0"/>
        <w:snapToGrid w:val="0"/>
        <w:spacing w:line="360" w:lineRule="auto"/>
        <w:ind w:firstLine="480" w:firstLineChars="200"/>
        <w:rPr>
          <w:rFonts w:hint="eastAsia" w:eastAsiaTheme="minorEastAsia"/>
          <w:color w:val="000000" w:themeColor="text1"/>
          <w:sz w:val="24"/>
          <w:highlight w:val="none"/>
          <w:lang w:val="en-US" w:eastAsia="zh-CN"/>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为减少风险物质泄漏物、污染废水等对土壤、地下水的影响，园区及企业应做好分区防渗工作，对重点风险单元进行防渗处理，设置围堰等拦截设施。</w:t>
      </w:r>
    </w:p>
    <w:p w14:paraId="4E4EF74C">
      <w:pPr>
        <w:adjustRightInd w:val="0"/>
        <w:snapToGrid w:val="0"/>
        <w:spacing w:line="360" w:lineRule="auto"/>
        <w:ind w:firstLine="480"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t>规划区域在采取风险防控措施后，园区风险整体可控。</w:t>
      </w:r>
    </w:p>
    <w:p w14:paraId="4672003E">
      <w:pPr>
        <w:spacing w:line="220" w:lineRule="auto"/>
        <w:rPr>
          <w:rFonts w:eastAsiaTheme="minorEastAsia"/>
          <w:color w:val="000000" w:themeColor="text1"/>
          <w:sz w:val="24"/>
          <w:highlight w:val="none"/>
          <w14:textFill>
            <w14:solidFill>
              <w14:schemeClr w14:val="tx1"/>
            </w14:solidFill>
          </w14:textFill>
        </w:rPr>
        <w:sectPr>
          <w:footerReference r:id="rId8" w:type="default"/>
          <w:pgSz w:w="11907" w:h="16839"/>
          <w:pgMar w:top="1440" w:right="1803" w:bottom="1440" w:left="1803" w:header="651" w:footer="736" w:gutter="0"/>
          <w:pgNumType w:fmt="decimal"/>
          <w:cols w:space="720" w:num="1"/>
        </w:sectPr>
      </w:pPr>
    </w:p>
    <w:p w14:paraId="1E801800">
      <w:pPr>
        <w:pStyle w:val="2"/>
        <w:pageBreakBefore/>
        <w:tabs>
          <w:tab w:val="clear" w:pos="1701"/>
        </w:tabs>
        <w:ind w:left="425"/>
        <w:rPr>
          <w:rFonts w:eastAsiaTheme="minorEastAsia"/>
          <w:color w:val="000000" w:themeColor="text1"/>
          <w:sz w:val="31"/>
          <w:szCs w:val="31"/>
          <w:highlight w:val="none"/>
          <w14:textFill>
            <w14:solidFill>
              <w14:schemeClr w14:val="tx1"/>
            </w14:solidFill>
          </w14:textFill>
        </w:rPr>
      </w:pPr>
      <w:bookmarkStart w:id="327" w:name="bookmark22"/>
      <w:bookmarkEnd w:id="327"/>
      <w:bookmarkStart w:id="328" w:name="bookmark21"/>
      <w:bookmarkEnd w:id="328"/>
      <w:bookmarkStart w:id="329" w:name="_Toc31890"/>
      <w:bookmarkStart w:id="330" w:name="_Toc30280"/>
      <w:r>
        <w:rPr>
          <w:rFonts w:eastAsiaTheme="minorEastAsia"/>
          <w:color w:val="000000" w:themeColor="text1"/>
          <w:highlight w:val="none"/>
          <w14:textFill>
            <w14:solidFill>
              <w14:schemeClr w14:val="tx1"/>
            </w14:solidFill>
          </w14:textFill>
        </w:rPr>
        <w:t>规划方案综合论证和优化调整建议</w:t>
      </w:r>
      <w:bookmarkEnd w:id="329"/>
      <w:bookmarkEnd w:id="330"/>
    </w:p>
    <w:p w14:paraId="33258ACC">
      <w:pPr>
        <w:pStyle w:val="3"/>
        <w:rPr>
          <w:rFonts w:eastAsiaTheme="minorEastAsia"/>
          <w:color w:val="000000" w:themeColor="text1"/>
          <w:kern w:val="0"/>
          <w:highlight w:val="none"/>
          <w14:textFill>
            <w14:solidFill>
              <w14:schemeClr w14:val="tx1"/>
            </w14:solidFill>
          </w14:textFill>
        </w:rPr>
      </w:pPr>
      <w:bookmarkStart w:id="331" w:name="_Toc28981"/>
      <w:bookmarkStart w:id="332" w:name="_Toc21576"/>
      <w:r>
        <w:rPr>
          <w:rFonts w:eastAsiaTheme="minorEastAsia"/>
          <w:color w:val="000000" w:themeColor="text1"/>
          <w:kern w:val="0"/>
          <w:highlight w:val="none"/>
          <w14:textFill>
            <w14:solidFill>
              <w14:schemeClr w14:val="tx1"/>
            </w14:solidFill>
          </w14:textFill>
        </w:rPr>
        <w:t>规划方案综合论证</w:t>
      </w:r>
      <w:bookmarkEnd w:id="331"/>
      <w:bookmarkEnd w:id="332"/>
    </w:p>
    <w:p w14:paraId="424A82EF">
      <w:pPr>
        <w:pStyle w:val="4"/>
        <w:rPr>
          <w:rFonts w:eastAsiaTheme="minorEastAsia"/>
          <w:color w:val="000000" w:themeColor="text1"/>
          <w:highlight w:val="none"/>
          <w14:textFill>
            <w14:solidFill>
              <w14:schemeClr w14:val="tx1"/>
            </w14:solidFill>
          </w14:textFill>
        </w:rPr>
      </w:pPr>
      <w:r>
        <w:rPr>
          <w:rFonts w:hint="eastAsia" w:eastAsiaTheme="minorEastAsia"/>
          <w:color w:val="000000" w:themeColor="text1"/>
          <w:spacing w:val="-1"/>
          <w:szCs w:val="24"/>
          <w:highlight w:val="none"/>
          <w14:textFill>
            <w14:solidFill>
              <w14:schemeClr w14:val="tx1"/>
            </w14:solidFill>
          </w14:textFill>
        </w:rPr>
        <w:t>规划目标与发展定位的合理性</w:t>
      </w:r>
    </w:p>
    <w:p w14:paraId="09AF30ED">
      <w:pPr>
        <w:adjustRightInd w:val="0"/>
        <w:snapToGrid w:val="0"/>
        <w:spacing w:line="360" w:lineRule="auto"/>
        <w:ind w:firstLine="480" w:firstLineChars="200"/>
        <w:rPr>
          <w:rFonts w:hint="eastAsia"/>
          <w:color w:val="000000" w:themeColor="text1"/>
          <w:sz w:val="24"/>
          <w:highlight w:val="none"/>
          <w14:textFill>
            <w14:solidFill>
              <w14:schemeClr w14:val="tx1"/>
            </w14:solidFill>
          </w14:textFill>
        </w:rPr>
      </w:pPr>
      <w:bookmarkStart w:id="333" w:name="_Hlk200546947"/>
      <w:bookmarkStart w:id="334" w:name="_Hlk200543804"/>
      <w:r>
        <w:rPr>
          <w:rFonts w:hint="eastAsia"/>
          <w:color w:val="000000" w:themeColor="text1"/>
          <w:sz w:val="24"/>
          <w:highlight w:val="none"/>
          <w14:textFill>
            <w14:solidFill>
              <w14:schemeClr w14:val="tx1"/>
            </w14:solidFill>
          </w14:textFill>
        </w:rPr>
        <w:t>党的十八大以来，习近平总书记高度重视中部地区高质量发展，作出了一系列重大战略部署，中央发布《关于新时代推动中部地区高质量发展的意见》，为开创中部地区崛起新局面勾勒蓝图。湖北是中国具有优势的制造业基地，尤其是近些年制造业成长迅猛，湖北省已成为“中部崛起”的发动机。武汉市作为湖北省省会城市，发挥龙头引领作用，加快武汉城市圈同城化发展，辐射带动全省高质量发展。武汉临空港经济技术开发区和国家网络安全人才与创新产业基地作为中国网谷产业核心承载区，强化其作为网络安全人才与创新产业核心引擎与区域协同枢纽的功能，形成特色引领、多链并进的空间布局，突出片区赛道，实现整体协同，扩大产业承载。国家网络安全与人才创新基地是中国网谷产业高质量发展引领区，网安半岛泥达湖片区产业组团作为网安基地二期重要组成部分，是东西湖区高质量发展核心动力源。</w:t>
      </w:r>
    </w:p>
    <w:p w14:paraId="6B2CAFE1">
      <w:pPr>
        <w:adjustRightInd w:val="0"/>
        <w:snapToGrid w:val="0"/>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color w:val="000000" w:themeColor="text1"/>
          <w:sz w:val="24"/>
          <w:highlight w:val="none"/>
          <w14:textFill>
            <w14:solidFill>
              <w14:schemeClr w14:val="tx1"/>
            </w14:solidFill>
          </w14:textFill>
        </w:rPr>
        <w:t>建设规划》围绕网络安全人才与创新产业，形成大数据中心、云计算中心、承接网安创新科技产业培育为核心的产业组团。聚焦大数据、云计算、超算、网安科创及信息服务产业及其上下游链条，统筹算力设施集聚建设，依托网安基地科创资源孵化算法、平台应用、软件研发类企业，发展云计算、基础软件等数字核心产业。积极引入云计算实验室、“专精特新”小微企业研究院、数据库服务器等有代表性的数据应用和超算产业入园，探索以数据资源为基础的信息服务产业的商业化发展模式。</w:t>
      </w:r>
    </w:p>
    <w:p w14:paraId="6F9210E1">
      <w:pPr>
        <w:adjustRightInd w:val="0"/>
        <w:snapToGrid w:val="0"/>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湖北省国民经济和社会发展第十五个五年规划纲要》《武汉市国民经济和社会发展第十五个五年规划纲要》《武汉市国土空间总体规划（2021-2035年）》《武汉市东西湖区国土空间总体规划（2021—2035年）》等上位规划中，网安半岛泥达湖片区产业组团位于东西湖区径河街道，主要布局国家网络安全与人才创新基地。武汉临空港经济技术开发区和国家网络安全人才与创新产业基地作为中国网谷产业核心承载区，强化其作为网络安全人才与创新产业核心引擎与区域协同枢纽的功能，形成特色引领、多链并进的空间布局，突出片区赛道，实现整体协同，扩大产业承载。国家网络安全与人才创新基地是中国网谷产业高质量发展引领区，网安半岛泥达湖片区产业组团作为网安基地二期重要组成部分，是东西湖区高质量发展核心动力源。综上所述，《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color w:val="000000" w:themeColor="text1"/>
          <w:sz w:val="24"/>
          <w:highlight w:val="none"/>
          <w14:textFill>
            <w14:solidFill>
              <w14:schemeClr w14:val="tx1"/>
            </w14:solidFill>
          </w14:textFill>
        </w:rPr>
        <w:t>建设规划》规划目标和发展定位合理。</w:t>
      </w:r>
    </w:p>
    <w:bookmarkEnd w:id="333"/>
    <w:bookmarkEnd w:id="334"/>
    <w:p w14:paraId="420899BD">
      <w:pPr>
        <w:pStyle w:val="4"/>
        <w:rPr>
          <w:rFonts w:eastAsiaTheme="minorEastAsia"/>
          <w:color w:val="000000" w:themeColor="text1"/>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规划</w:t>
      </w:r>
      <w:r>
        <w:rPr>
          <w:rFonts w:hint="eastAsia" w:eastAsiaTheme="minorEastAsia"/>
          <w:color w:val="000000" w:themeColor="text1"/>
          <w:spacing w:val="-1"/>
          <w:szCs w:val="24"/>
          <w:highlight w:val="none"/>
          <w:lang w:val="en-US" w:eastAsia="zh-CN"/>
          <w14:textFill>
            <w14:solidFill>
              <w14:schemeClr w14:val="tx1"/>
            </w14:solidFill>
          </w14:textFill>
        </w:rPr>
        <w:t>空间</w:t>
      </w:r>
      <w:r>
        <w:rPr>
          <w:rFonts w:eastAsiaTheme="minorEastAsia"/>
          <w:color w:val="000000" w:themeColor="text1"/>
          <w:spacing w:val="-1"/>
          <w:szCs w:val="24"/>
          <w:highlight w:val="none"/>
          <w14:textFill>
            <w14:solidFill>
              <w14:schemeClr w14:val="tx1"/>
            </w14:solidFill>
          </w14:textFill>
        </w:rPr>
        <w:t>布局环境合理性分析</w:t>
      </w:r>
    </w:p>
    <w:p w14:paraId="5EFECB8A">
      <w:pPr>
        <w:numPr>
          <w:ilvl w:val="0"/>
          <w:numId w:val="3"/>
        </w:num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与武汉市“三区三线”、《武汉市国土空间总体规划（2021-2035年）》《武汉市东西湖区国土空间总体规划（2021—2035年）》协调性分析</w:t>
      </w:r>
    </w:p>
    <w:p w14:paraId="2341DB69">
      <w:p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经与武汉市“三区三线”对照，网安半岛泥达湖片区产业组团规划范围全部位于城镇开发边界范围内，不涉及永久基本农田和生态保护红线，规划区不涉及风景名胜区、饮用水水源地保护区等环境敏感区。</w:t>
      </w:r>
    </w:p>
    <w:p w14:paraId="6EC4FE58">
      <w:pPr>
        <w:numPr>
          <w:ilvl w:val="0"/>
          <w:numId w:val="3"/>
        </w:num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与湖北省、武汉市生态环境分区管控成果衔接情况</w:t>
      </w:r>
    </w:p>
    <w:p w14:paraId="55CC968F">
      <w:pPr>
        <w:adjustRightInd w:val="0"/>
        <w:snapToGrid w:val="0"/>
        <w:spacing w:line="360" w:lineRule="auto"/>
        <w:ind w:firstLine="480" w:firstLineChars="200"/>
        <w:rPr>
          <w:rFonts w:hint="default" w:ascii="Times New Roman" w:hAnsi="Times New Roman" w:cs="Times New Roman"/>
          <w:bCs/>
          <w:color w:val="000000" w:themeColor="text1"/>
          <w:kern w:val="0"/>
          <w:sz w:val="24"/>
          <w:szCs w:val="24"/>
          <w:highlight w:val="none"/>
          <w14:textFill>
            <w14:solidFill>
              <w14:schemeClr w14:val="tx1"/>
            </w14:solidFill>
          </w14:textFill>
        </w:rPr>
      </w:pPr>
      <w:r>
        <w:rPr>
          <w:rFonts w:hint="default" w:ascii="Times New Roman" w:hAnsi="Times New Roman" w:cs="Times New Roman"/>
          <w:bCs/>
          <w:color w:val="000000" w:themeColor="text1"/>
          <w:kern w:val="0"/>
          <w:sz w:val="24"/>
          <w:szCs w:val="24"/>
          <w:highlight w:val="none"/>
          <w14:textFill>
            <w14:solidFill>
              <w14:schemeClr w14:val="tx1"/>
            </w14:solidFill>
          </w14:textFill>
        </w:rPr>
        <w:t>网安半岛泥达湖片区产业组团不涉及生态保护红线，网安半岛泥达湖片区产业组团规划涉及武汉市生态环境分区管控中的径河街道重点管控单元，后期应严格按照生态环境分区管控的要求加强对径河街道重点管控单元的环境管理。</w:t>
      </w:r>
    </w:p>
    <w:p w14:paraId="3E1C8802">
      <w:pPr>
        <w:numPr>
          <w:ilvl w:val="0"/>
          <w:numId w:val="3"/>
        </w:num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与长江经济带发展与保护相关要求协调性分析</w:t>
      </w:r>
    </w:p>
    <w:p w14:paraId="482EA5E8">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中华人民共和国长江保护法》《长江经济带发展负面清单指南（试行，2022年版）》《长江经济带发展负面清单指南（试行，2022年版）湖北省实施细则》等要求，禁止在合规园区外新建、扩建钢铁、石化、化工、焦化、建材、有色、制浆造纸等高污染项目，网安半岛泥达湖片区产业组团规划聚焦大数据、云计算、超算、网安科创及信息服务产业及其上下游链条，不涉及上述行业项目。</w:t>
      </w:r>
    </w:p>
    <w:p w14:paraId="0D2029F5">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在落实以上要求后，规划布局符合《中华人民共和国长江保护法》《长江经济带发展负面清单指南（试行，2022年版）》《长江经济带发展负面清单指南（试行，2022年版）湖北省实施细则》等要求，具有环境合理性。</w:t>
      </w:r>
    </w:p>
    <w:p w14:paraId="74A5A224">
      <w:pPr>
        <w:numPr>
          <w:ilvl w:val="0"/>
          <w:numId w:val="3"/>
        </w:num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与湖泊保护相关要求协调性分析</w:t>
      </w:r>
    </w:p>
    <w:p w14:paraId="11DC9E9B">
      <w:pPr>
        <w:adjustRightInd w:val="0"/>
        <w:snapToGrid w:val="0"/>
        <w:spacing w:line="360" w:lineRule="auto"/>
        <w:ind w:firstLine="480" w:firstLineChars="200"/>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根据《湖北省湖泊保护条例》，湖泊流域内建设项目应当符合国家和省产业政策；禁止新建造纸、印染、制革、电镀、化工、制药等排放含磷、氮、重金属等污染物的企业和项目；对已有的污染企业，县级以上人民政府及其有关部门应当依法责令其限期整改、转产或者关闭。网安半岛泥达湖片区产业组团规划范围不涉及泥达湖湖泊保护区，涉及泥达湖湖泊控制区，湖泊控制区规划为公园绿地，规划应严格执行《湖北省湖泊保护条例》的要求，禁止在湖泊控制区内从事可能对湖泊产生污染的项目建设和其他危害湖泊生态环境的活动，禁止向湖泊排放未经处理或者处理未达标的工业废水、生活污水，切实保护好泥达湖的生态环境。对现状企业管网和片区管网开发建设严格落实雨污分流，确保各类废水全部收集至污水处理厂集中处理。规划区域内企业自建污水处理设施，处理达到相应纳管标准后经市政污水管网排入东西湖污水处理厂，不涉及排入泥达湖。建议加强片区基础设施建设，确保雨、污分流，全收集全处理，工业废水和初期雨水全部进入污水处理厂处理后入府河，不得排入湖泊。</w:t>
      </w:r>
    </w:p>
    <w:p w14:paraId="3D88E148">
      <w:pPr>
        <w:adjustRightInd w:val="0"/>
        <w:snapToGrid w:val="0"/>
        <w:spacing w:line="360" w:lineRule="auto"/>
        <w:ind w:firstLine="480" w:firstLineChars="200"/>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在落实以上要求后，规划布局符合《湖北省湖泊保护条例》、《武汉市湖泊保护条例》等要求，具有环境合理性。</w:t>
      </w:r>
    </w:p>
    <w:p w14:paraId="7F17449E">
      <w:pPr>
        <w:numPr>
          <w:ilvl w:val="0"/>
          <w:numId w:val="3"/>
        </w:num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周边环境敏感目标的空间位置衔接关系分析</w:t>
      </w:r>
    </w:p>
    <w:p w14:paraId="4D443F16">
      <w:pPr>
        <w:adjustRightInd w:val="0"/>
        <w:snapToGrid w:val="0"/>
        <w:spacing w:line="360" w:lineRule="auto"/>
        <w:ind w:firstLine="480" w:firstLineChars="200"/>
        <w:rPr>
          <w:rFonts w:hint="default" w:ascii="Times New Roman" w:hAnsi="Times New Roman" w:cs="Times New Roman"/>
          <w:bCs/>
          <w:color w:val="000000" w:themeColor="text1"/>
          <w:kern w:val="0"/>
          <w:sz w:val="24"/>
          <w:szCs w:val="24"/>
          <w:highlight w:val="none"/>
          <w14:textFill>
            <w14:solidFill>
              <w14:schemeClr w14:val="tx1"/>
            </w14:solidFill>
          </w14:textFill>
        </w:rPr>
      </w:pPr>
      <w:r>
        <w:rPr>
          <w:rFonts w:hint="default" w:ascii="Times New Roman" w:hAnsi="Times New Roman" w:cs="Times New Roman"/>
          <w:bCs/>
          <w:color w:val="000000" w:themeColor="text1"/>
          <w:kern w:val="0"/>
          <w:sz w:val="24"/>
          <w:szCs w:val="24"/>
          <w:highlight w:val="none"/>
          <w14:textFill>
            <w14:solidFill>
              <w14:schemeClr w14:val="tx1"/>
            </w14:solidFill>
          </w14:textFill>
        </w:rPr>
        <w:t>规划区环境空气敏感点主要为规划范围内及周边现状的居住区、学校、医院等，根据预测结果，规划实施后，规划区内企业生产过程中排放的污染物对区域环境有一定影响，但各污染物的贡献值浓度均能达标，不会使区域的环境空气恶化。从内部布局来看，</w:t>
      </w:r>
      <w:r>
        <w:rPr>
          <w:rFonts w:hint="default" w:ascii="Times New Roman" w:hAnsi="Times New Roman" w:cs="Times New Roman"/>
          <w:bCs/>
          <w:color w:val="000000" w:themeColor="text1"/>
          <w:kern w:val="0"/>
          <w:sz w:val="24"/>
          <w:szCs w:val="24"/>
          <w:highlight w:val="none"/>
          <w14:textFill>
            <w14:solidFill>
              <w14:schemeClr w14:val="tx1"/>
            </w14:solidFill>
          </w14:textFill>
        </w:rPr>
        <w:t>规划区主要规划工业用地</w:t>
      </w:r>
      <w:r>
        <w:rPr>
          <w:rFonts w:hint="default" w:ascii="Times New Roman" w:hAnsi="Times New Roman" w:cs="Times New Roman"/>
          <w:bCs/>
          <w:color w:val="000000" w:themeColor="text1"/>
          <w:kern w:val="0"/>
          <w:sz w:val="24"/>
          <w:szCs w:val="24"/>
          <w:highlight w:val="none"/>
          <w14:textFill>
            <w14:solidFill>
              <w14:schemeClr w14:val="tx1"/>
            </w14:solidFill>
          </w14:textFill>
        </w:rPr>
        <w:t>，集聚发展工业。从周边敏感点来看，规划区域与周边敏感点以沪蓉高速、硚孝高速、四环线、九通路相隔，距离最近的南侧敏感点约480m，北侧、西侧、东侧敏感点相距较远。随着园区的发展、企业的入驻，考虑到邻避效应影响，确保项目入驻前，防护距离（具体以项目环评确定的防护距离为准）范围内居民点等敏感点已拆迁完毕。</w:t>
      </w:r>
    </w:p>
    <w:p w14:paraId="34D52A1E">
      <w:pPr>
        <w:adjustRightInd w:val="0"/>
        <w:snapToGrid w:val="0"/>
        <w:spacing w:line="360" w:lineRule="auto"/>
        <w:ind w:firstLine="480" w:firstLineChars="200"/>
        <w:rPr>
          <w:rFonts w:hint="default" w:ascii="Times New Roman" w:hAnsi="Times New Roman" w:cs="Times New Roman"/>
          <w:bCs/>
          <w:color w:val="000000" w:themeColor="text1"/>
          <w:kern w:val="0"/>
          <w:sz w:val="24"/>
          <w:szCs w:val="24"/>
          <w:highlight w:val="none"/>
          <w14:textFill>
            <w14:solidFill>
              <w14:schemeClr w14:val="tx1"/>
            </w14:solidFill>
          </w14:textFill>
        </w:rPr>
      </w:pPr>
      <w:r>
        <w:rPr>
          <w:rFonts w:hint="default" w:ascii="Times New Roman" w:hAnsi="Times New Roman" w:cs="Times New Roman"/>
          <w:bCs/>
          <w:color w:val="000000" w:themeColor="text1"/>
          <w:kern w:val="0"/>
          <w:sz w:val="24"/>
          <w:szCs w:val="24"/>
          <w:highlight w:val="none"/>
          <w14:textFill>
            <w14:solidFill>
              <w14:schemeClr w14:val="tx1"/>
            </w14:solidFill>
          </w14:textFill>
        </w:rPr>
        <w:t>综上，网安半岛泥达湖片区产业组团空间布局具有一定的环境合理性。本次评价已在规划优化调整建议中提出纳入湖北省、武汉市生态环境分区管控、衔接武汉市“三区三线”、《武汉市国土空间总体规划（2021-2035年）》的要求，同时在项目入驻时应加强环境管理，保障企业入驻满足防护距离的要求，减少对周边敏感点的环境影响。</w:t>
      </w:r>
    </w:p>
    <w:p w14:paraId="304E2B85">
      <w:pPr>
        <w:pStyle w:val="4"/>
        <w:rPr>
          <w:rFonts w:eastAsiaTheme="minorEastAsia"/>
          <w:color w:val="000000" w:themeColor="text1"/>
          <w:spacing w:val="-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基于资源环境承载力的规划规模环境合理性分析</w:t>
      </w:r>
    </w:p>
    <w:p w14:paraId="05E8AC0E">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bookmarkStart w:id="335" w:name="_Hlk200547322"/>
      <w:r>
        <w:rPr>
          <w:rFonts w:hint="default" w:ascii="Times New Roman" w:hAnsi="Times New Roman" w:cs="Times New Roman"/>
          <w:color w:val="000000" w:themeColor="text1"/>
          <w:sz w:val="24"/>
          <w:szCs w:val="24"/>
          <w:highlight w:val="none"/>
          <w14:textFill>
            <w14:solidFill>
              <w14:schemeClr w14:val="tx1"/>
            </w14:solidFill>
          </w14:textFill>
        </w:rPr>
        <w:t>武汉市和东西湖区2024年环境空气质量不能达到《环境空气质量标准》（GB3095—2026）二级标准；根据武汉市生态环境准入清单，单元内建设项目二氧化硫、氮氧化物、烟粉尘、挥发性有机物四项污染物实施区域倍量削减替代。执行倍量替代后，区域污染物排放减小，从大气环境容量的角度而言，大气环境容量满足规划区发展要求。本次评价根据《武汉市生态环境保护“十四五”规划》《武汉市生态环境保护“十五五”规划》（征求意见稿），结合《“十五五”污染减排工作方案编制技术指南》，加强规划区域总量管控。</w:t>
      </w:r>
    </w:p>
    <w:p w14:paraId="7ABD46AB">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根据《武汉市环境状况公报》以及武汉市生态环境局东西湖区分局提供的监测数据进行分析，2024年河流各国控、省控断面水质年均浓度均满足水质目标。</w:t>
      </w:r>
    </w:p>
    <w:p w14:paraId="3CC96F83">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计算，在再生水回用率提升、落实区域水环境治理方案执行下，一定程度上削减区域入河污染物总量，东西湖区污水处理厂入河COD、氨氮、总磷污染物总量排放均小于受纳水体水环境容量，均能满足地表水类水标准和水功能区要求。根据东西湖区污水处理厂2024年、2025年在线监测数据显示，2024年氨氮和总氮、2025年总磷存在个别日期超标，其他出水水质指标可以满足《城镇污水处理厂污染物排放标准》（GB18918-2002）一级A标准。同时，加强园区企业排水管理和污水处理厂排水水质日常监管，严禁超标废水排放。</w:t>
      </w:r>
    </w:p>
    <w:p w14:paraId="48E8A4EA">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综上，地表水及大气环境容量可承载本规划的实施。</w:t>
      </w:r>
    </w:p>
    <w:bookmarkEnd w:id="335"/>
    <w:p w14:paraId="5004485D">
      <w:pPr>
        <w:pStyle w:val="4"/>
        <w:rPr>
          <w:color w:val="000000" w:themeColor="text1"/>
          <w:spacing w:val="-1"/>
          <w:szCs w:val="24"/>
          <w:highlight w:val="none"/>
          <w14:textFill>
            <w14:solidFill>
              <w14:schemeClr w14:val="tx1"/>
            </w14:solidFill>
          </w14:textFill>
        </w:rPr>
      </w:pPr>
      <w:r>
        <w:rPr>
          <w:color w:val="000000" w:themeColor="text1"/>
          <w:spacing w:val="-1"/>
          <w:szCs w:val="24"/>
          <w:highlight w:val="none"/>
          <w14:textFill>
            <w14:solidFill>
              <w14:schemeClr w14:val="tx1"/>
            </w14:solidFill>
          </w14:textFill>
        </w:rPr>
        <w:t>基础设施环境合理性分析</w:t>
      </w:r>
    </w:p>
    <w:p w14:paraId="028E43BD">
      <w:pPr>
        <w:spacing w:line="360" w:lineRule="auto"/>
        <w:ind w:firstLine="480" w:firstLineChars="200"/>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本评价分析了规划区供水设施、供气设施、电力工程、污水工程、雨水工程、环卫工程、环境风险防范措施等配套基础设施的环境合理性，经分析，供水设施、供气设施、电力工程、环卫工程具有环境合理性，污水工程建议尽快开展东西湖污水处理厂扩建工程，东西湖污水处理厂无处理能力时暂停废水排放企业入驻，确保规划区域废水全收集处理。</w:t>
      </w:r>
      <w:r>
        <w:rPr>
          <w:rFonts w:hint="eastAsia"/>
          <w:color w:val="000000" w:themeColor="text1"/>
          <w:sz w:val="24"/>
          <w:highlight w:val="none"/>
          <w:lang w:val="en-US" w:eastAsia="zh-CN"/>
          <w14:textFill>
            <w14:solidFill>
              <w14:schemeClr w14:val="tx1"/>
            </w14:solidFill>
          </w14:textFill>
        </w:rPr>
        <w:t>雨水工程建议实施初期雨水收集处理工程，加强管网建设。</w:t>
      </w:r>
      <w:r>
        <w:rPr>
          <w:rFonts w:hint="eastAsia"/>
          <w:color w:val="000000" w:themeColor="text1"/>
          <w:sz w:val="24"/>
          <w:highlight w:val="none"/>
          <w14:textFill>
            <w14:solidFill>
              <w14:schemeClr w14:val="tx1"/>
            </w14:solidFill>
          </w14:textFill>
        </w:rPr>
        <w:t>环境风险防范</w:t>
      </w:r>
      <w:r>
        <w:rPr>
          <w:rFonts w:hint="eastAsia"/>
          <w:color w:val="000000" w:themeColor="text1"/>
          <w:sz w:val="24"/>
          <w:highlight w:val="none"/>
          <w:lang w:val="en-US" w:eastAsia="zh-CN"/>
          <w14:textFill>
            <w14:solidFill>
              <w14:schemeClr w14:val="tx1"/>
            </w14:solidFill>
          </w14:textFill>
        </w:rPr>
        <w:t>建议加强园区的三级防控体系建设，园区应设置应急事故池及配套设施，园区所有可能外排事故废水的公共雨水排口、污水排口等原则上均应安装闸阀，事故状态下，可及时将事故废水截流在管网内，并通过固定或临时转输设施回抽至就近的事故应急池或废水处理设施。</w:t>
      </w:r>
    </w:p>
    <w:p w14:paraId="21826113">
      <w:pPr>
        <w:pStyle w:val="3"/>
        <w:rPr>
          <w:rFonts w:eastAsiaTheme="minorEastAsia"/>
          <w:color w:val="000000" w:themeColor="text1"/>
          <w:highlight w:val="none"/>
          <w14:textFill>
            <w14:solidFill>
              <w14:schemeClr w14:val="tx1"/>
            </w14:solidFill>
          </w14:textFill>
        </w:rPr>
      </w:pPr>
      <w:bookmarkStart w:id="336" w:name="bookmark23"/>
      <w:bookmarkEnd w:id="336"/>
      <w:bookmarkStart w:id="337" w:name="_Toc15974"/>
      <w:bookmarkStart w:id="338" w:name="_Toc1718"/>
      <w:r>
        <w:rPr>
          <w:rFonts w:eastAsiaTheme="minorEastAsia"/>
          <w:color w:val="000000" w:themeColor="text1"/>
          <w:kern w:val="0"/>
          <w:highlight w:val="none"/>
          <w14:textFill>
            <w14:solidFill>
              <w14:schemeClr w14:val="tx1"/>
            </w14:solidFill>
          </w14:textFill>
        </w:rPr>
        <w:t>规划调整建议</w:t>
      </w:r>
      <w:bookmarkEnd w:id="337"/>
      <w:bookmarkEnd w:id="338"/>
    </w:p>
    <w:p w14:paraId="21D2EA80">
      <w:pPr>
        <w:pStyle w:val="4"/>
        <w:rPr>
          <w:rFonts w:eastAsiaTheme="minorEastAsia"/>
          <w:color w:val="000000" w:themeColor="text1"/>
          <w:spacing w:val="-1"/>
          <w:szCs w:val="24"/>
          <w:highlight w:val="none"/>
          <w14:textFill>
            <w14:solidFill>
              <w14:schemeClr w14:val="tx1"/>
            </w14:solidFill>
          </w14:textFill>
        </w:rPr>
      </w:pPr>
      <w:r>
        <w:rPr>
          <w:rFonts w:hint="eastAsia" w:eastAsiaTheme="minorEastAsia"/>
          <w:color w:val="000000" w:themeColor="text1"/>
          <w:spacing w:val="-1"/>
          <w:szCs w:val="24"/>
          <w:highlight w:val="none"/>
          <w14:textFill>
            <w14:solidFill>
              <w14:schemeClr w14:val="tx1"/>
            </w14:solidFill>
          </w14:textFill>
        </w:rPr>
        <w:t>规划发展目标</w:t>
      </w:r>
      <w:r>
        <w:rPr>
          <w:rFonts w:eastAsiaTheme="minorEastAsia"/>
          <w:color w:val="000000" w:themeColor="text1"/>
          <w:spacing w:val="-1"/>
          <w:szCs w:val="24"/>
          <w:highlight w:val="none"/>
          <w14:textFill>
            <w14:solidFill>
              <w14:schemeClr w14:val="tx1"/>
            </w14:solidFill>
          </w14:textFill>
        </w:rPr>
        <w:t>优化调整建议</w:t>
      </w:r>
    </w:p>
    <w:p w14:paraId="0C83CB85">
      <w:pPr>
        <w:pStyle w:val="19"/>
        <w:snapToGrid w:val="0"/>
        <w:spacing w:after="0"/>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default" w:ascii="Times New Roman" w:hAnsi="Times New Roman" w:cs="Times New Roman"/>
          <w:color w:val="000000" w:themeColor="text1"/>
          <w:highlight w:val="none"/>
          <w14:textFill>
            <w14:solidFill>
              <w14:schemeClr w14:val="tx1"/>
            </w14:solidFill>
          </w14:textFill>
        </w:rPr>
        <w:t>建设规划》未明确环境保护规划指标体系，建议制定环境保护规划指标体系，并衔接本次评价指标体系，补充环境质量、生态建设、污染控制、资源利用、绿色低碳发展、环境风险防范及环境管理等涉及规划发展的指标，如：工业用水重复利用率、万元工业增加值用水量、单位工业增加值二氧化碳排放量等规划发展指标。</w:t>
      </w:r>
    </w:p>
    <w:p w14:paraId="0CF31AB6">
      <w:pPr>
        <w:pStyle w:val="4"/>
        <w:rPr>
          <w:rFonts w:eastAsiaTheme="minorEastAsia"/>
          <w:color w:val="000000" w:themeColor="text1"/>
          <w:spacing w:val="-1"/>
          <w:szCs w:val="24"/>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规划布局调整建议</w:t>
      </w:r>
    </w:p>
    <w:p w14:paraId="6221CD63">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bookmarkStart w:id="339" w:name="_Hlk200548117"/>
      <w:r>
        <w:rPr>
          <w:rFonts w:hint="default" w:ascii="Times New Roman" w:hAnsi="Times New Roman" w:cs="Times New Roman"/>
          <w:bCs/>
          <w:color w:val="000000" w:themeColor="text1"/>
          <w:sz w:val="24"/>
          <w:szCs w:val="24"/>
          <w:highlight w:val="none"/>
          <w14:textFill>
            <w14:solidFill>
              <w14:schemeClr w14:val="tx1"/>
            </w14:solidFill>
          </w14:textFill>
        </w:rPr>
        <w:t>（1）落实湖泊保护要求，强化片区雨污分流及废水管控</w:t>
      </w:r>
    </w:p>
    <w:p w14:paraId="3D4C5571">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规划区北侧涉及泥达湖绿线控制区面积4.15公顷，湖泊控制区规划为公园绿地，规划应严格执行《湖北省湖泊保护条例》的要求，禁止在湖泊控制区内从事可能对湖泊产生污染的项目建设和其他危害湖泊生态环境的活动。禁止向湖泊排放未经处理或者处理未达标的工业废水、生活污水，切实保护好泥达湖的生态环境。对现状企业管网和片区管网开发建设严格落实雨污分流，确保各类废水全部收集至污水处理厂集中处理。规划区域内企业自建污水处理设施，处理达到相应纳管标准后经市政污水管网排入东西湖污水处理厂，不涉及排入泥达湖。建议加强片区基础设施建设，确保雨、污分流，全收集全处理，工业废水和初期雨水全部进入污水处理厂处理后入府河，不得排入湖泊。</w:t>
      </w:r>
    </w:p>
    <w:p w14:paraId="59B5E21B">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（2）结合轨道交通环境影响，优化产业空间布局</w:t>
      </w:r>
    </w:p>
    <w:p w14:paraId="48861BE9">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轨道交通18号线走廊横穿网安半岛泥达湖片区产业组团中部，列车运营过程中将持续产生振动、低频噪声及电磁干扰影响。本片区规划发展计算机制造、电子器件制造、电子元件及电子专用材料制造等产业，其部分生产工序对振动、电磁环境敏感度极高，轨道交通带来的不利影响易导致产品良率降低、加工精度失效等问题，建议将计算机制造、电子器件、电子元件及电子专用材料制造等精密制造类项目与重资产生产厂房，布局至地铁隧道、站点及振动影响范围以外区域，有效规避振动、电磁干扰风险；地铁出入口及站点核心区域，优先布局软件和信息技术服务、互联网数据服务、科技推广和应用服务业等办公属性突出、人员流动密集的产业类型。</w:t>
      </w:r>
    </w:p>
    <w:p w14:paraId="5BD4F0F9">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（3）严格控制规划范围与周边敏感点之间的距离，降低对环境敏感点的影响</w:t>
      </w:r>
    </w:p>
    <w:p w14:paraId="744811E2">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随着园区的发展、企业的入驻，考虑到邻避效应影响，确保项目入驻前，防护距离（具体以项目环评确定的防护距离为准）范围内居民点等敏感点已拆迁完毕。后续规划区域新入驻企业在项目入驻前应按照环评中环境防护距离（具体以项目环评确定的防护距离为准）要求落实防护距离内现有居民点等敏感点的拆迁工作。</w:t>
      </w:r>
    </w:p>
    <w:bookmarkEnd w:id="339"/>
    <w:p w14:paraId="6BD0B347">
      <w:pPr>
        <w:pStyle w:val="4"/>
        <w:rPr>
          <w:rFonts w:eastAsiaTheme="minorEastAsia"/>
          <w:color w:val="000000" w:themeColor="text1"/>
          <w:spacing w:val="-1"/>
          <w:sz w:val="24"/>
          <w:szCs w:val="24"/>
          <w:highlight w:val="none"/>
          <w14:textFill>
            <w14:solidFill>
              <w14:schemeClr w14:val="tx1"/>
            </w14:solidFill>
          </w14:textFill>
        </w:rPr>
      </w:pPr>
      <w:r>
        <w:rPr>
          <w:rFonts w:hint="eastAsia" w:eastAsiaTheme="minorEastAsia"/>
          <w:color w:val="000000" w:themeColor="text1"/>
          <w:spacing w:val="-1"/>
          <w:sz w:val="24"/>
          <w:szCs w:val="24"/>
          <w:highlight w:val="none"/>
          <w14:textFill>
            <w14:solidFill>
              <w14:schemeClr w14:val="tx1"/>
            </w14:solidFill>
          </w14:textFill>
        </w:rPr>
        <w:t>规划产业调整建议</w:t>
      </w:r>
    </w:p>
    <w:p w14:paraId="16EA4B61">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bookmarkStart w:id="340" w:name="_Hlk200548162"/>
      <w:r>
        <w:rPr>
          <w:rFonts w:hint="default" w:ascii="Times New Roman" w:hAnsi="Times New Roman" w:cs="Times New Roman"/>
          <w:color w:val="000000" w:themeColor="text1"/>
          <w:sz w:val="24"/>
          <w:szCs w:val="24"/>
          <w:highlight w:val="none"/>
          <w14:textFill>
            <w14:solidFill>
              <w14:schemeClr w14:val="tx1"/>
            </w14:solidFill>
          </w14:textFill>
        </w:rPr>
        <w:t>《网安半岛泥达湖片区产业组团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default" w:ascii="Times New Roman" w:hAnsi="Times New Roman" w:cs="Times New Roman"/>
          <w:color w:val="000000" w:themeColor="text1"/>
          <w:sz w:val="24"/>
          <w:szCs w:val="24"/>
          <w:highlight w:val="none"/>
          <w14:textFill>
            <w14:solidFill>
              <w14:schemeClr w14:val="tx1"/>
            </w14:solidFill>
          </w14:textFill>
        </w:rPr>
        <w:t>建设规划》主导产业定位为大力发展互联网数据服务、软件和信息技术服务业、科技推广和应用服务业，计算机制造、电子器件制造、电子元件及电子专用材料制造等产业。网安半岛泥达湖片区产业组团规划产业发展方向应严格落实《产业结构调整指导目录（2024年本）》《市场准入负面清单（2025年版）》《外商投资准入特别管理措施（负面清单）（2024年版）》《产业转移指导目录（2018年本）》《长江经济带发展负面清单指南（试行，2022年版）》《长江经济带发展负面清单指南（试行，2022年版）湖北省实施细则》《环境保护综合名录（2021年）》《自然资源要素支撑产业高质量发展指导目录（2024年本）》《“十五五”污染减排工作方案编制技术指南》《省人民政府关于化解产能过剩矛盾的实施意见》（鄂政发〔2014〕20号）等要求及本评价提出的生态环境准入清单要求。</w:t>
      </w:r>
    </w:p>
    <w:bookmarkEnd w:id="340"/>
    <w:p w14:paraId="29DDBA3D">
      <w:pPr>
        <w:pStyle w:val="4"/>
        <w:rPr>
          <w:rFonts w:eastAsiaTheme="minorEastAsia"/>
          <w:color w:val="000000" w:themeColor="text1"/>
          <w:highlight w:val="none"/>
          <w14:textFill>
            <w14:solidFill>
              <w14:schemeClr w14:val="tx1"/>
            </w14:solidFill>
          </w14:textFill>
        </w:rPr>
      </w:pPr>
      <w:r>
        <w:rPr>
          <w:rFonts w:eastAsiaTheme="minorEastAsia"/>
          <w:color w:val="000000" w:themeColor="text1"/>
          <w:spacing w:val="-1"/>
          <w:szCs w:val="24"/>
          <w:highlight w:val="none"/>
          <w14:textFill>
            <w14:solidFill>
              <w14:schemeClr w14:val="tx1"/>
            </w14:solidFill>
          </w14:textFill>
        </w:rPr>
        <w:t>基础设施规划调整建议</w:t>
      </w:r>
    </w:p>
    <w:p w14:paraId="2F425C70">
      <w:pPr>
        <w:widowControl/>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bookmarkStart w:id="341" w:name="_Hlk200548180"/>
      <w:r>
        <w:rPr>
          <w:rFonts w:hint="default" w:ascii="Times New Roman" w:hAnsi="Times New Roman" w:cs="Times New Roman"/>
          <w:color w:val="000000" w:themeColor="text1"/>
          <w:sz w:val="24"/>
          <w:szCs w:val="24"/>
          <w:highlight w:val="none"/>
          <w14:textFill>
            <w14:solidFill>
              <w14:schemeClr w14:val="tx1"/>
            </w14:solidFill>
          </w14:textFill>
        </w:rPr>
        <w:t>基于对规划配套基础设施的环境合理性分析（详见7.1.6章节），网安半岛泥达湖片区产业组团需要进一步完善环境基础设施的规划内容如下：</w:t>
      </w:r>
    </w:p>
    <w:p w14:paraId="7AB23826">
      <w:pPr>
        <w:widowControl/>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按照环保设施先行的原则，建议加快规划区内市政道路、雨污管网、配套燃气管网等，确保企业入驻前，企业可以使用清洁能源，配套的雨污水收集管网建成，企业废水可排入东西湖污水处理厂进行处理。</w:t>
      </w:r>
    </w:p>
    <w:p w14:paraId="29CA02C3">
      <w:pPr>
        <w:widowControl/>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建议尽快开展东西湖污水处理厂扩建工程，东西湖污水处理厂无处理能力时暂停废水排放企业入驻，确保规划区域废水全收集，并纳入东西湖污水处理厂进行处理后达标排放。</w:t>
      </w:r>
    </w:p>
    <w:p w14:paraId="5CFA62BC">
      <w:pPr>
        <w:widowControl/>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建议园区设置初期雨水收集处理设施，加强管网建设，确保在任何情况下规划区污水、初期雨水和事故废水均不排入湖泊。</w:t>
      </w:r>
    </w:p>
    <w:p w14:paraId="4AA90968">
      <w:pPr>
        <w:widowControl/>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议规划区编制突发环境风险应急预案，加强园区的三级防控体系建设，园区应设置应急事故池及配套设施，园区所有可能外排事故废水的公共雨水排口、污水排口等原则上均应安装闸阀，事故状态下，可及时将事故废水截流在管网内，并通过固定或临时转输设施回抽至就近的事故应急池或废水处理设施。</w:t>
      </w:r>
    </w:p>
    <w:bookmarkEnd w:id="341"/>
    <w:p w14:paraId="0F198D7C">
      <w:pPr>
        <w:pStyle w:val="4"/>
        <w:rPr>
          <w:rFonts w:eastAsiaTheme="minorEastAsia"/>
          <w:color w:val="000000" w:themeColor="text1"/>
          <w:spacing w:val="-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细化生态环保规划内容，明确环境目标与管控指标</w:t>
      </w:r>
    </w:p>
    <w:p w14:paraId="1DAFC53B">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建议依据本次评价分析的各环境要素功能区划与环境敏感区、规划协调性分析结论、规划实施不良环境影响减缓对策措施与协同减碳建议、环境管理与环境准入等相关内容，完善生态保护规划内容。</w:t>
      </w:r>
    </w:p>
    <w:p w14:paraId="262583C8">
      <w:pPr>
        <w:adjustRightInd w:val="0"/>
        <w:snapToGrid w:val="0"/>
        <w:spacing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结合近年来新增环境管理要求，并以落实和促进区域环境目标可达为目标，从环境质量、生态建设、污染控制、资源利用、绿色低碳发展、环境风险防范及环境管理等七个方面提出网安半岛泥达湖片区产业组团环境管控及指标要求，可作为网安半岛泥达湖片区产业组团环境保护规划内容的参考依据</w:t>
      </w:r>
      <w:r>
        <w:rPr>
          <w:rFonts w:hint="eastAsia"/>
          <w:color w:val="000000" w:themeColor="text1"/>
          <w:sz w:val="24"/>
          <w:szCs w:val="24"/>
          <w:highlight w:val="none"/>
          <w:lang w:eastAsia="zh-CN"/>
          <w14:textFill>
            <w14:solidFill>
              <w14:schemeClr w14:val="tx1"/>
            </w14:solidFill>
          </w14:textFill>
        </w:rPr>
        <w:t>。</w:t>
      </w:r>
    </w:p>
    <w:p w14:paraId="2338F163">
      <w:pPr>
        <w:adjustRightInd w:val="0"/>
        <w:snapToGrid w:val="0"/>
        <w:spacing w:line="360" w:lineRule="auto"/>
        <w:ind w:firstLine="468" w:firstLineChars="200"/>
        <w:rPr>
          <w:rFonts w:eastAsiaTheme="minorEastAsia"/>
          <w:color w:val="000000" w:themeColor="text1"/>
          <w:spacing w:val="-3"/>
          <w:sz w:val="24"/>
          <w:szCs w:val="24"/>
          <w:highlight w:val="none"/>
          <w14:textFill>
            <w14:solidFill>
              <w14:schemeClr w14:val="tx1"/>
            </w14:solidFill>
          </w14:textFill>
        </w:rPr>
        <w:sectPr>
          <w:headerReference r:id="rId9" w:type="default"/>
          <w:footerReference r:id="rId10" w:type="default"/>
          <w:pgSz w:w="11907" w:h="16839"/>
          <w:pgMar w:top="1440" w:right="1803" w:bottom="1440" w:left="1803" w:header="651" w:footer="736" w:gutter="0"/>
          <w:pgNumType w:fmt="decimal"/>
          <w:cols w:space="720" w:num="1"/>
        </w:sectPr>
      </w:pPr>
    </w:p>
    <w:p w14:paraId="5A912B1F">
      <w:pPr>
        <w:pStyle w:val="2"/>
        <w:pageBreakBefore/>
        <w:tabs>
          <w:tab w:val="clear" w:pos="1701"/>
        </w:tabs>
        <w:ind w:left="425"/>
        <w:rPr>
          <w:rFonts w:eastAsiaTheme="minorEastAsia"/>
          <w:color w:val="000000" w:themeColor="text1"/>
          <w:highlight w:val="none"/>
          <w14:textFill>
            <w14:solidFill>
              <w14:schemeClr w14:val="tx1"/>
            </w14:solidFill>
          </w14:textFill>
        </w:rPr>
      </w:pPr>
      <w:bookmarkStart w:id="342" w:name="bookmark25"/>
      <w:bookmarkEnd w:id="342"/>
      <w:bookmarkStart w:id="343" w:name="bookmark24"/>
      <w:bookmarkEnd w:id="343"/>
      <w:bookmarkStart w:id="344" w:name="_Toc32712"/>
      <w:bookmarkStart w:id="345" w:name="_Toc28089"/>
      <w:r>
        <w:rPr>
          <w:rFonts w:eastAsiaTheme="minorEastAsia"/>
          <w:color w:val="000000" w:themeColor="text1"/>
          <w:highlight w:val="none"/>
          <w14:textFill>
            <w14:solidFill>
              <w14:schemeClr w14:val="tx1"/>
            </w14:solidFill>
          </w14:textFill>
        </w:rPr>
        <w:t>不良环境影响减缓对策措施与协同降碳建议</w:t>
      </w:r>
      <w:bookmarkEnd w:id="344"/>
      <w:bookmarkEnd w:id="345"/>
    </w:p>
    <w:p w14:paraId="0E301B08">
      <w:pPr>
        <w:pStyle w:val="3"/>
        <w:rPr>
          <w:rFonts w:eastAsiaTheme="minorEastAsia"/>
          <w:color w:val="000000" w:themeColor="text1"/>
          <w:kern w:val="0"/>
          <w:highlight w:val="none"/>
          <w14:textFill>
            <w14:solidFill>
              <w14:schemeClr w14:val="tx1"/>
            </w14:solidFill>
          </w14:textFill>
        </w:rPr>
      </w:pPr>
      <w:bookmarkStart w:id="346" w:name="_Toc17022"/>
      <w:bookmarkStart w:id="347" w:name="_Toc4717"/>
      <w:r>
        <w:rPr>
          <w:rFonts w:eastAsiaTheme="minorEastAsia"/>
          <w:color w:val="000000" w:themeColor="text1"/>
          <w:kern w:val="0"/>
          <w:highlight w:val="none"/>
          <w14:textFill>
            <w14:solidFill>
              <w14:schemeClr w14:val="tx1"/>
            </w14:solidFill>
          </w14:textFill>
        </w:rPr>
        <w:t>资源节约利用措施</w:t>
      </w:r>
      <w:bookmarkEnd w:id="346"/>
      <w:bookmarkEnd w:id="347"/>
    </w:p>
    <w:p w14:paraId="4DF46BC5">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建立以电力和天然气为主的清洁能源体系。在工业企业推行清洁生产，减少工业生产中的物料、能源使用量，加强物质的循环使用能力，减少有毒有害物质的排放，最大限度的提高可再生资源的利用率，不同工艺流程间横向耦合，资源共享，变污染负效益为资源正效益。</w:t>
      </w:r>
    </w:p>
    <w:p w14:paraId="4236D9CC">
      <w:pPr>
        <w:pStyle w:val="3"/>
        <w:rPr>
          <w:rFonts w:eastAsiaTheme="minorEastAsia"/>
          <w:color w:val="000000" w:themeColor="text1"/>
          <w:kern w:val="0"/>
          <w:highlight w:val="none"/>
          <w14:textFill>
            <w14:solidFill>
              <w14:schemeClr w14:val="tx1"/>
            </w14:solidFill>
          </w14:textFill>
        </w:rPr>
      </w:pPr>
      <w:bookmarkStart w:id="348" w:name="bookmark26"/>
      <w:bookmarkEnd w:id="348"/>
      <w:bookmarkStart w:id="349" w:name="_Toc8330"/>
      <w:bookmarkStart w:id="350" w:name="_Toc22838"/>
      <w:r>
        <w:rPr>
          <w:rFonts w:eastAsiaTheme="minorEastAsia"/>
          <w:color w:val="000000" w:themeColor="text1"/>
          <w:kern w:val="0"/>
          <w:highlight w:val="none"/>
          <w14:textFill>
            <w14:solidFill>
              <w14:schemeClr w14:val="tx1"/>
            </w14:solidFill>
          </w14:textFill>
        </w:rPr>
        <w:t>碳减排</w:t>
      </w:r>
      <w:bookmarkEnd w:id="349"/>
      <w:bookmarkEnd w:id="350"/>
    </w:p>
    <w:p w14:paraId="4D4E33E9">
      <w:pPr>
        <w:pStyle w:val="19"/>
        <w:rPr>
          <w:rFonts w:eastAsiaTheme="minorEastAsia"/>
          <w:color w:val="000000" w:themeColor="text1"/>
          <w:spacing w:val="-3"/>
          <w:highlight w:val="none"/>
          <w14:textFill>
            <w14:solidFill>
              <w14:schemeClr w14:val="tx1"/>
            </w14:solidFill>
          </w14:textFill>
        </w:rPr>
      </w:pPr>
      <w:r>
        <w:rPr>
          <w:rFonts w:hint="eastAsia" w:eastAsiaTheme="minorEastAsia"/>
          <w:color w:val="000000" w:themeColor="text1"/>
          <w:spacing w:val="-3"/>
          <w:highlight w:val="none"/>
          <w14:textFill>
            <w14:solidFill>
              <w14:schemeClr w14:val="tx1"/>
            </w14:solidFill>
          </w14:textFill>
        </w:rPr>
        <w:t>规划实施过程中，网安半岛泥达湖片区产业组团应强化对碳排放减排工作的重视，实现低碳生产模式的大规模宣传与推广，在园区范围内实现低碳生产的全覆盖，优化资源配置；对规划区内的产业集聚优势进行深度挖掘，开发其最大利用价值，挖掘其共生潜力；优化产业结构，构建循环经济产业链；提升效能技术水平，促进对生产废物的回收利用效果，实现对资源消耗、碳排放的有效控制；确保国家“2030年前碳达峰、2060年前碳中和”目标的实现。</w:t>
      </w:r>
    </w:p>
    <w:p w14:paraId="4C2A5274">
      <w:pPr>
        <w:pStyle w:val="3"/>
        <w:rPr>
          <w:rFonts w:eastAsiaTheme="minorEastAsia"/>
          <w:color w:val="000000" w:themeColor="text1"/>
          <w:highlight w:val="none"/>
          <w14:textFill>
            <w14:solidFill>
              <w14:schemeClr w14:val="tx1"/>
            </w14:solidFill>
          </w14:textFill>
        </w:rPr>
      </w:pPr>
      <w:bookmarkStart w:id="351" w:name="bookmark27"/>
      <w:bookmarkEnd w:id="351"/>
      <w:bookmarkStart w:id="352" w:name="_Toc16222"/>
      <w:bookmarkStart w:id="353" w:name="_Toc17420"/>
      <w:r>
        <w:rPr>
          <w:rFonts w:eastAsiaTheme="minorEastAsia"/>
          <w:color w:val="000000" w:themeColor="text1"/>
          <w:kern w:val="0"/>
          <w:highlight w:val="none"/>
          <w14:textFill>
            <w14:solidFill>
              <w14:schemeClr w14:val="tx1"/>
            </w14:solidFill>
          </w14:textFill>
        </w:rPr>
        <w:t>环境风险防范措施</w:t>
      </w:r>
      <w:bookmarkEnd w:id="352"/>
      <w:bookmarkEnd w:id="353"/>
    </w:p>
    <w:p w14:paraId="0EA9F9B2">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规划区应严格执行《突发环境事件应急管理办法》（环保部第34号）、《企业事业单位突发环境事件应急预案备案管理办法（试行）》（环发〔2015〕4号）、《企业突发环境事件风险分级方法》（HJ941-2018）和《关于发布&lt;湖北省突发环境事件应急预案备案行业名录（2023年版）&gt;的通知》（鄂环办函〔2023〕47号）的有关规定和要求，做好区域内的突发环境事件应急工作</w:t>
      </w:r>
      <w:r>
        <w:rPr>
          <w:rFonts w:eastAsiaTheme="minorEastAsia"/>
          <w:color w:val="000000" w:themeColor="text1"/>
          <w:spacing w:val="-3"/>
          <w:sz w:val="24"/>
          <w:highlight w:val="none"/>
          <w14:textFill>
            <w14:solidFill>
              <w14:schemeClr w14:val="tx1"/>
            </w14:solidFill>
          </w14:textFill>
        </w:rPr>
        <w:t>。</w:t>
      </w:r>
    </w:p>
    <w:p w14:paraId="29DCD511">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default" w:eastAsiaTheme="minorEastAsia"/>
          <w:color w:val="000000" w:themeColor="text1"/>
          <w:spacing w:val="-3"/>
          <w:sz w:val="24"/>
          <w:highlight w:val="none"/>
          <w14:textFill>
            <w14:solidFill>
              <w14:schemeClr w14:val="tx1"/>
            </w14:solidFill>
          </w14:textFill>
        </w:rPr>
        <w:t>规划区内企业应开展环境风险评估，确定企业环境风险等级，制定或完善企业突发环境事件应急预案，组织做好环境应急预案备案及修订工作</w:t>
      </w:r>
      <w:r>
        <w:rPr>
          <w:rFonts w:eastAsiaTheme="minorEastAsia"/>
          <w:color w:val="000000" w:themeColor="text1"/>
          <w:spacing w:val="-3"/>
          <w:sz w:val="24"/>
          <w:highlight w:val="none"/>
          <w14:textFill>
            <w14:solidFill>
              <w14:schemeClr w14:val="tx1"/>
            </w14:solidFill>
          </w14:textFill>
        </w:rPr>
        <w:t>。</w:t>
      </w:r>
    </w:p>
    <w:p w14:paraId="17E6B7E2">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对于生产过程中存储使用化学品物质的风险企业，应制定风险应急预案，应加强风险管理，将化学品物质存在于专用易燃品仓库内，在满足生产要求的前提下，尽量减少贮存量。化学品存储及使用场所四周设置截流渠，其应通往废水收集池，防止消防水外溢。设置泄漏物质、消防水、污染雨水的收集、导流、拦截、降污等环境风险防范设施，制定完善的应急措施，有效防止事故情况下污水扩散至外环境</w:t>
      </w:r>
      <w:r>
        <w:rPr>
          <w:rFonts w:eastAsiaTheme="minorEastAsia"/>
          <w:color w:val="000000" w:themeColor="text1"/>
          <w:spacing w:val="-3"/>
          <w:sz w:val="24"/>
          <w:highlight w:val="none"/>
          <w14:textFill>
            <w14:solidFill>
              <w14:schemeClr w14:val="tx1"/>
            </w14:solidFill>
          </w14:textFill>
        </w:rPr>
        <w:t>。</w:t>
      </w:r>
    </w:p>
    <w:p w14:paraId="09291041">
      <w:pPr>
        <w:pStyle w:val="3"/>
        <w:rPr>
          <w:rFonts w:eastAsiaTheme="minorEastAsia"/>
          <w:color w:val="000000" w:themeColor="text1"/>
          <w:kern w:val="0"/>
          <w:highlight w:val="none"/>
          <w14:textFill>
            <w14:solidFill>
              <w14:schemeClr w14:val="tx1"/>
            </w14:solidFill>
          </w14:textFill>
        </w:rPr>
      </w:pPr>
      <w:bookmarkStart w:id="354" w:name="bookmark28"/>
      <w:bookmarkEnd w:id="354"/>
      <w:bookmarkStart w:id="355" w:name="_Toc20486"/>
      <w:bookmarkStart w:id="356" w:name="_Toc4558"/>
      <w:r>
        <w:rPr>
          <w:rFonts w:eastAsiaTheme="minorEastAsia"/>
          <w:color w:val="000000" w:themeColor="text1"/>
          <w:kern w:val="0"/>
          <w:highlight w:val="none"/>
          <w14:textFill>
            <w14:solidFill>
              <w14:schemeClr w14:val="tx1"/>
            </w14:solidFill>
          </w14:textFill>
        </w:rPr>
        <w:t>大气污染预防与控制措施</w:t>
      </w:r>
      <w:bookmarkEnd w:id="355"/>
      <w:bookmarkEnd w:id="356"/>
    </w:p>
    <w:p w14:paraId="0761351B">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从源头控制规划区废气污染物排放种类及规模，提高产业准入门槛，对区域污染物排放实施总量控制。同时，入驻企业严格落实各项废气污染物防治措施，合理布局企业及厂区平面布置，优化环境防护距离设置，减少对周边敏感区的“邻避”效应。</w:t>
      </w:r>
      <w:r>
        <w:rPr>
          <w:rFonts w:hint="eastAsia" w:eastAsiaTheme="minorEastAsia"/>
          <w:color w:val="000000" w:themeColor="text1"/>
          <w:spacing w:val="-3"/>
          <w:sz w:val="24"/>
          <w:highlight w:val="none"/>
          <w14:textFill>
            <w14:solidFill>
              <w14:schemeClr w14:val="tx1"/>
            </w14:solidFill>
          </w14:textFill>
        </w:rPr>
        <w:t>在产业组团建设中，鼓励发展高科技产品制造，在源头上减少废水和特征大气污染物的产生。鼓励企业采用低挥发性的原辅材料、密闭化的生产工艺以及高效节能的公用设施，将污染物消除在产生环节，从而降低末端治理的压力和园区整体的环境风险</w:t>
      </w:r>
      <w:r>
        <w:rPr>
          <w:rFonts w:hint="eastAsia" w:eastAsiaTheme="minorEastAsia"/>
          <w:color w:val="000000" w:themeColor="text1"/>
          <w:spacing w:val="-3"/>
          <w:sz w:val="24"/>
          <w:highlight w:val="none"/>
          <w:lang w:val="en-US" w:eastAsia="zh-CN"/>
          <w14:textFill>
            <w14:solidFill>
              <w14:schemeClr w14:val="tx1"/>
            </w14:solidFill>
          </w14:textFill>
        </w:rPr>
        <w:t>。</w:t>
      </w:r>
      <w:r>
        <w:rPr>
          <w:rFonts w:eastAsiaTheme="minorEastAsia"/>
          <w:color w:val="000000" w:themeColor="text1"/>
          <w:spacing w:val="-3"/>
          <w:sz w:val="24"/>
          <w:highlight w:val="none"/>
          <w14:textFill>
            <w14:solidFill>
              <w14:schemeClr w14:val="tx1"/>
            </w14:solidFill>
          </w14:textFill>
        </w:rPr>
        <w:t>规划区应加强机动车污染管控，构建绿色低碳交通体系；严格控制扬尘污染。通过采取以上措施，可以有效减少规划区域大气污染物的排放，改善区域大气环境质量。</w:t>
      </w:r>
      <w:r>
        <w:rPr>
          <w:rFonts w:hint="eastAsia" w:eastAsiaTheme="minorEastAsia"/>
          <w:color w:val="000000" w:themeColor="text1"/>
          <w:spacing w:val="-3"/>
          <w:sz w:val="24"/>
          <w:highlight w:val="none"/>
          <w14:textFill>
            <w14:solidFill>
              <w14:schemeClr w14:val="tx1"/>
            </w14:solidFill>
          </w14:textFill>
        </w:rPr>
        <w:t>加强新污染物治理</w:t>
      </w:r>
      <w:r>
        <w:rPr>
          <w:rFonts w:hint="eastAsia" w:eastAsiaTheme="minorEastAsia"/>
          <w:color w:val="000000" w:themeColor="text1"/>
          <w:spacing w:val="-3"/>
          <w:sz w:val="24"/>
          <w:highlight w:val="none"/>
          <w:lang w:eastAsia="zh-CN"/>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严格源头管控，强化过程控制，深化末端治理，防范新污染物产生。</w:t>
      </w:r>
    </w:p>
    <w:p w14:paraId="373EF5B8">
      <w:pPr>
        <w:pStyle w:val="3"/>
        <w:rPr>
          <w:rFonts w:eastAsiaTheme="minorEastAsia"/>
          <w:color w:val="000000" w:themeColor="text1"/>
          <w:kern w:val="0"/>
          <w:highlight w:val="none"/>
          <w14:textFill>
            <w14:solidFill>
              <w14:schemeClr w14:val="tx1"/>
            </w14:solidFill>
          </w14:textFill>
        </w:rPr>
      </w:pPr>
      <w:bookmarkStart w:id="357" w:name="bookmark29"/>
      <w:bookmarkEnd w:id="357"/>
      <w:bookmarkStart w:id="358" w:name="_Toc11892"/>
      <w:bookmarkStart w:id="359" w:name="_Toc31304"/>
      <w:r>
        <w:rPr>
          <w:rFonts w:eastAsiaTheme="minorEastAsia"/>
          <w:color w:val="000000" w:themeColor="text1"/>
          <w:kern w:val="0"/>
          <w:highlight w:val="none"/>
          <w14:textFill>
            <w14:solidFill>
              <w14:schemeClr w14:val="tx1"/>
            </w14:solidFill>
          </w14:textFill>
        </w:rPr>
        <w:t>地表水污染预防与控制措施</w:t>
      </w:r>
      <w:bookmarkEnd w:id="358"/>
      <w:bookmarkEnd w:id="359"/>
    </w:p>
    <w:p w14:paraId="0565746E">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为确保规划产生的污水达标排放水环境质量的持续改善，</w:t>
      </w:r>
      <w:r>
        <w:rPr>
          <w:rFonts w:hint="eastAsia" w:eastAsiaTheme="minorEastAsia"/>
          <w:color w:val="000000" w:themeColor="text1"/>
          <w:spacing w:val="-3"/>
          <w:sz w:val="24"/>
          <w:highlight w:val="none"/>
          <w14:textFill>
            <w14:solidFill>
              <w14:schemeClr w14:val="tx1"/>
            </w14:solidFill>
          </w14:textFill>
        </w:rPr>
        <w:t>应参照《武汉市生态环境保护“十五五”规划》（征求意见稿）《东西湖区生态环境保护“十五五”规划》（初稿）《武汉市生态环境保护“十四五”规划》《武汉市水生态环境保护规划（2023—2025年）》《武汉市水污染防治规划》《工业园区水污染问题排查整治工作指南（试行）》《武汉市大气和水环境质量达标提升攻坚三年行动方案（2023—2025年）》等相关要求，采取以下地表水污染预防与控制措施</w:t>
      </w:r>
      <w:r>
        <w:rPr>
          <w:rFonts w:eastAsiaTheme="minorEastAsia"/>
          <w:color w:val="000000" w:themeColor="text1"/>
          <w:spacing w:val="-3"/>
          <w:sz w:val="24"/>
          <w:highlight w:val="none"/>
          <w14:textFill>
            <w14:solidFill>
              <w14:schemeClr w14:val="tx1"/>
            </w14:solidFill>
          </w14:textFill>
        </w:rPr>
        <w:t>。</w:t>
      </w:r>
      <w:r>
        <w:rPr>
          <w:rFonts w:hint="eastAsia" w:eastAsiaTheme="minorEastAsia"/>
          <w:color w:val="000000" w:themeColor="text1"/>
          <w:spacing w:val="-3"/>
          <w:sz w:val="24"/>
          <w:highlight w:val="none"/>
          <w:lang w:val="en-US" w:eastAsia="zh-CN"/>
          <w14:textFill>
            <w14:solidFill>
              <w14:schemeClr w14:val="tx1"/>
            </w14:solidFill>
          </w14:textFill>
        </w:rPr>
        <w:t>建议尽快开展东西湖</w:t>
      </w:r>
      <w:r>
        <w:rPr>
          <w:rFonts w:hint="eastAsia" w:eastAsiaTheme="minorEastAsia"/>
          <w:color w:val="000000" w:themeColor="text1"/>
          <w:spacing w:val="-3"/>
          <w:sz w:val="24"/>
          <w:highlight w:val="none"/>
          <w:lang w:eastAsia="zh-CN"/>
          <w14:textFill>
            <w14:solidFill>
              <w14:schemeClr w14:val="tx1"/>
            </w14:solidFill>
          </w14:textFill>
        </w:rPr>
        <w:t>污水处理厂</w:t>
      </w:r>
      <w:r>
        <w:rPr>
          <w:rFonts w:hint="eastAsia" w:eastAsiaTheme="minorEastAsia"/>
          <w:color w:val="000000" w:themeColor="text1"/>
          <w:spacing w:val="-3"/>
          <w:sz w:val="24"/>
          <w:highlight w:val="none"/>
          <w14:textFill>
            <w14:solidFill>
              <w14:schemeClr w14:val="tx1"/>
            </w14:solidFill>
          </w14:textFill>
        </w:rPr>
        <w:t>扩建工程，</w:t>
      </w:r>
      <w:r>
        <w:rPr>
          <w:rFonts w:hint="eastAsia" w:eastAsiaTheme="minorEastAsia"/>
          <w:color w:val="000000" w:themeColor="text1"/>
          <w:spacing w:val="-3"/>
          <w:sz w:val="24"/>
          <w:highlight w:val="none"/>
          <w:lang w:val="en-US" w:eastAsia="zh-CN"/>
          <w14:textFill>
            <w14:solidFill>
              <w14:schemeClr w14:val="tx1"/>
            </w14:solidFill>
          </w14:textFill>
        </w:rPr>
        <w:t>规划区域</w:t>
      </w:r>
      <w:r>
        <w:rPr>
          <w:rFonts w:hint="eastAsia" w:eastAsiaTheme="minorEastAsia"/>
          <w:color w:val="000000" w:themeColor="text1"/>
          <w:spacing w:val="-3"/>
          <w:sz w:val="24"/>
          <w:highlight w:val="none"/>
          <w14:textFill>
            <w14:solidFill>
              <w14:schemeClr w14:val="tx1"/>
            </w14:solidFill>
          </w14:textFill>
        </w:rPr>
        <w:t>加快管网的铺设进度，确保项目入驻前污水可纳入</w:t>
      </w:r>
      <w:r>
        <w:rPr>
          <w:rFonts w:hint="eastAsia" w:eastAsiaTheme="minorEastAsia"/>
          <w:color w:val="000000" w:themeColor="text1"/>
          <w:spacing w:val="-3"/>
          <w:sz w:val="24"/>
          <w:highlight w:val="none"/>
          <w:lang w:val="en-US" w:eastAsia="zh-CN"/>
          <w14:textFill>
            <w14:solidFill>
              <w14:schemeClr w14:val="tx1"/>
            </w14:solidFill>
          </w14:textFill>
        </w:rPr>
        <w:t>东西湖</w:t>
      </w:r>
      <w:r>
        <w:rPr>
          <w:rFonts w:hint="eastAsia" w:eastAsiaTheme="minorEastAsia"/>
          <w:color w:val="000000" w:themeColor="text1"/>
          <w:spacing w:val="-3"/>
          <w:sz w:val="24"/>
          <w:highlight w:val="none"/>
          <w:lang w:eastAsia="zh-CN"/>
          <w14:textFill>
            <w14:solidFill>
              <w14:schemeClr w14:val="tx1"/>
            </w14:solidFill>
          </w14:textFill>
        </w:rPr>
        <w:t>污水处理厂</w:t>
      </w:r>
      <w:r>
        <w:rPr>
          <w:rFonts w:hint="eastAsia" w:eastAsiaTheme="minorEastAsia"/>
          <w:color w:val="000000" w:themeColor="text1"/>
          <w:spacing w:val="-3"/>
          <w:sz w:val="24"/>
          <w:highlight w:val="none"/>
          <w14:textFill>
            <w14:solidFill>
              <w14:schemeClr w14:val="tx1"/>
            </w14:solidFill>
          </w14:textFill>
        </w:rPr>
        <w:t>进行处理后达标排放。</w:t>
      </w:r>
      <w:r>
        <w:rPr>
          <w:rFonts w:eastAsiaTheme="minorEastAsia"/>
          <w:color w:val="000000" w:themeColor="text1"/>
          <w:spacing w:val="-3"/>
          <w:sz w:val="24"/>
          <w:highlight w:val="none"/>
          <w14:textFill>
            <w14:solidFill>
              <w14:schemeClr w14:val="tx1"/>
            </w14:solidFill>
          </w14:textFill>
        </w:rPr>
        <w:t>入驻企业严格落实各项水污染物防治措施，加大工业废水重复利用率，减少面源污染排放。</w:t>
      </w:r>
    </w:p>
    <w:p w14:paraId="2030589C">
      <w:pPr>
        <w:pStyle w:val="3"/>
        <w:rPr>
          <w:rFonts w:eastAsiaTheme="minorEastAsia"/>
          <w:color w:val="000000" w:themeColor="text1"/>
          <w:highlight w:val="none"/>
          <w14:textFill>
            <w14:solidFill>
              <w14:schemeClr w14:val="tx1"/>
            </w14:solidFill>
          </w14:textFill>
        </w:rPr>
      </w:pPr>
      <w:bookmarkStart w:id="360" w:name="bookmark30"/>
      <w:bookmarkEnd w:id="360"/>
      <w:bookmarkStart w:id="361" w:name="_Toc29842"/>
      <w:bookmarkStart w:id="362" w:name="_Toc15336"/>
      <w:r>
        <w:rPr>
          <w:rFonts w:eastAsiaTheme="minorEastAsia"/>
          <w:color w:val="000000" w:themeColor="text1"/>
          <w:kern w:val="0"/>
          <w:highlight w:val="none"/>
          <w14:textFill>
            <w14:solidFill>
              <w14:schemeClr w14:val="tx1"/>
            </w14:solidFill>
          </w14:textFill>
        </w:rPr>
        <w:t>地下水及土壤污染预防与控制措施</w:t>
      </w:r>
      <w:bookmarkEnd w:id="361"/>
      <w:bookmarkEnd w:id="362"/>
    </w:p>
    <w:p w14:paraId="79C4186F">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规划区入驻</w:t>
      </w:r>
      <w:r>
        <w:rPr>
          <w:rFonts w:hint="eastAsia" w:eastAsiaTheme="minorEastAsia"/>
          <w:color w:val="000000" w:themeColor="text1"/>
          <w:spacing w:val="-3"/>
          <w:sz w:val="24"/>
          <w:highlight w:val="none"/>
          <w:lang w:eastAsia="zh-CN"/>
          <w14:textFill>
            <w14:solidFill>
              <w14:schemeClr w14:val="tx1"/>
            </w14:solidFill>
          </w14:textFill>
        </w:rPr>
        <w:t>企业</w:t>
      </w:r>
      <w:r>
        <w:rPr>
          <w:rFonts w:eastAsiaTheme="minorEastAsia"/>
          <w:color w:val="000000" w:themeColor="text1"/>
          <w:spacing w:val="-3"/>
          <w:sz w:val="24"/>
          <w:highlight w:val="none"/>
          <w14:textFill>
            <w14:solidFill>
              <w14:schemeClr w14:val="tx1"/>
            </w14:solidFill>
          </w14:textFill>
        </w:rPr>
        <w:t>按照“源头控制、分区防治、污染监控、应急响应”相结合的原则，从污染物的产生、入渗、扩散、应急响应全阶段进行控制，防止地下水、土壤受到污染。严格控制和预防地下水及土壤污染，强化建设用地环境风险管控，增强地下水、土壤环境污染应急能力，加强地下水、土壤环境质量跟踪监测和管理。</w:t>
      </w:r>
    </w:p>
    <w:p w14:paraId="212FFAEE">
      <w:pPr>
        <w:pStyle w:val="3"/>
        <w:rPr>
          <w:rFonts w:eastAsiaTheme="minorEastAsia"/>
          <w:color w:val="000000" w:themeColor="text1"/>
          <w:highlight w:val="none"/>
          <w14:textFill>
            <w14:solidFill>
              <w14:schemeClr w14:val="tx1"/>
            </w14:solidFill>
          </w14:textFill>
        </w:rPr>
      </w:pPr>
      <w:bookmarkStart w:id="363" w:name="bookmark31"/>
      <w:bookmarkEnd w:id="363"/>
      <w:bookmarkStart w:id="364" w:name="_Toc1593"/>
      <w:bookmarkStart w:id="365" w:name="_Toc29957"/>
      <w:r>
        <w:rPr>
          <w:rFonts w:eastAsiaTheme="minorEastAsia"/>
          <w:color w:val="000000" w:themeColor="text1"/>
          <w:kern w:val="0"/>
          <w:highlight w:val="none"/>
          <w14:textFill>
            <w14:solidFill>
              <w14:schemeClr w14:val="tx1"/>
            </w14:solidFill>
          </w14:textFill>
        </w:rPr>
        <w:t>噪声污染预防与控制措施</w:t>
      </w:r>
      <w:bookmarkEnd w:id="364"/>
      <w:bookmarkEnd w:id="365"/>
    </w:p>
    <w:p w14:paraId="48BA4969">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规划区域通过对建筑施工噪声、交通运输噪声、工业企业运营期噪声加强控制，从源头上选用低噪声设备，在传播途径上采取降噪隔声等措施，在临近敏感区合理调整噪声源布局等方式减少噪声污染，从而确保区域声环境质量可以满足《声环境质量标准》中相应标准要求。</w:t>
      </w:r>
    </w:p>
    <w:p w14:paraId="2D9F2FE4">
      <w:pPr>
        <w:pStyle w:val="3"/>
        <w:rPr>
          <w:rFonts w:eastAsiaTheme="minorEastAsia"/>
          <w:color w:val="000000" w:themeColor="text1"/>
          <w:kern w:val="0"/>
          <w:highlight w:val="none"/>
          <w14:textFill>
            <w14:solidFill>
              <w14:schemeClr w14:val="tx1"/>
            </w14:solidFill>
          </w14:textFill>
        </w:rPr>
      </w:pPr>
      <w:bookmarkStart w:id="366" w:name="bookmark32"/>
      <w:bookmarkEnd w:id="366"/>
      <w:bookmarkStart w:id="367" w:name="_Toc15542"/>
      <w:bookmarkStart w:id="368" w:name="_Toc21028"/>
      <w:r>
        <w:rPr>
          <w:rFonts w:eastAsiaTheme="minorEastAsia"/>
          <w:color w:val="000000" w:themeColor="text1"/>
          <w:kern w:val="0"/>
          <w:highlight w:val="none"/>
          <w14:textFill>
            <w14:solidFill>
              <w14:schemeClr w14:val="tx1"/>
            </w14:solidFill>
          </w14:textFill>
        </w:rPr>
        <w:t>固废污染预防与控制措施</w:t>
      </w:r>
      <w:bookmarkEnd w:id="367"/>
      <w:bookmarkEnd w:id="368"/>
    </w:p>
    <w:p w14:paraId="4EFD0323">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固体废物的污染主要通过水、大气或土壤介质影响生物圈，给人类身体健康带来危害。因此对固体废物污染的控制，关键在于解决好特别是危险废物的处理、处置和综合利用问题。首先需要从污染源头进行控制，其次需要强化对危险废物污染的控制，实行从产生到最终无害化处置全过程的严格管理。最后需要提高全民对固体废物污染环境的认识，做好宣传研究和教育工作。</w:t>
      </w:r>
    </w:p>
    <w:p w14:paraId="5B6E303A">
      <w:pPr>
        <w:pStyle w:val="3"/>
        <w:rPr>
          <w:rFonts w:eastAsiaTheme="minorEastAsia"/>
          <w:color w:val="000000" w:themeColor="text1"/>
          <w:kern w:val="0"/>
          <w:highlight w:val="none"/>
          <w14:textFill>
            <w14:solidFill>
              <w14:schemeClr w14:val="tx1"/>
            </w14:solidFill>
          </w14:textFill>
        </w:rPr>
      </w:pPr>
      <w:bookmarkStart w:id="369" w:name="bookmark33"/>
      <w:bookmarkEnd w:id="369"/>
      <w:bookmarkStart w:id="370" w:name="_Toc20629"/>
      <w:bookmarkStart w:id="371" w:name="_Toc23058"/>
      <w:r>
        <w:rPr>
          <w:rFonts w:eastAsiaTheme="minorEastAsia"/>
          <w:color w:val="000000" w:themeColor="text1"/>
          <w:kern w:val="0"/>
          <w:highlight w:val="none"/>
          <w14:textFill>
            <w14:solidFill>
              <w14:schemeClr w14:val="tx1"/>
            </w14:solidFill>
          </w14:textFill>
        </w:rPr>
        <w:t>生态环境保护措施</w:t>
      </w:r>
      <w:bookmarkEnd w:id="370"/>
      <w:bookmarkEnd w:id="371"/>
    </w:p>
    <w:p w14:paraId="2D3D0B18">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生态保护措施主要包括：加强宣传监督，开展截污控污工程，</w:t>
      </w:r>
      <w:r>
        <w:rPr>
          <w:rFonts w:hint="eastAsia" w:eastAsiaTheme="minorEastAsia"/>
          <w:color w:val="000000" w:themeColor="text1"/>
          <w:spacing w:val="-3"/>
          <w:sz w:val="24"/>
          <w:highlight w:val="none"/>
          <w:lang w:eastAsia="zh-CN"/>
          <w14:textFill>
            <w14:solidFill>
              <w14:schemeClr w14:val="tx1"/>
            </w14:solidFill>
          </w14:textFill>
        </w:rPr>
        <w:t>削减</w:t>
      </w:r>
      <w:r>
        <w:rPr>
          <w:rFonts w:eastAsiaTheme="minorEastAsia"/>
          <w:color w:val="000000" w:themeColor="text1"/>
          <w:spacing w:val="-3"/>
          <w:sz w:val="24"/>
          <w:highlight w:val="none"/>
          <w14:textFill>
            <w14:solidFill>
              <w14:schemeClr w14:val="tx1"/>
            </w14:solidFill>
          </w14:textFill>
        </w:rPr>
        <w:t>污染物排放量；在开发过程中，会面临土地占用、土壤环境扰动和侵蚀、植被破坏、野生动物生境扰动等问题。因此，在园区建设中应注意贯彻“和谐共生、可持续发展”的规划原则，积极保护和优化本地区的生态环境，做好生态修复工作。</w:t>
      </w:r>
    </w:p>
    <w:p w14:paraId="19DF7262">
      <w:pPr>
        <w:spacing w:line="219" w:lineRule="auto"/>
        <w:rPr>
          <w:rFonts w:eastAsiaTheme="minorEastAsia"/>
          <w:color w:val="000000" w:themeColor="text1"/>
          <w:sz w:val="24"/>
          <w:highlight w:val="none"/>
          <w14:textFill>
            <w14:solidFill>
              <w14:schemeClr w14:val="tx1"/>
            </w14:solidFill>
          </w14:textFill>
        </w:rPr>
        <w:sectPr>
          <w:headerReference r:id="rId11" w:type="default"/>
          <w:footerReference r:id="rId12" w:type="default"/>
          <w:pgSz w:w="11907" w:h="16839"/>
          <w:pgMar w:top="1440" w:right="1803" w:bottom="1440" w:left="1803" w:header="651" w:footer="736" w:gutter="0"/>
          <w:pgNumType w:fmt="decimal"/>
          <w:cols w:space="720" w:num="1"/>
        </w:sectPr>
      </w:pPr>
    </w:p>
    <w:p w14:paraId="2C33EB33">
      <w:pPr>
        <w:pStyle w:val="2"/>
        <w:pageBreakBefore/>
        <w:tabs>
          <w:tab w:val="clear" w:pos="1701"/>
        </w:tabs>
        <w:ind w:left="425"/>
        <w:rPr>
          <w:rFonts w:eastAsiaTheme="minorEastAsia"/>
          <w:color w:val="000000" w:themeColor="text1"/>
          <w:highlight w:val="none"/>
          <w14:textFill>
            <w14:solidFill>
              <w14:schemeClr w14:val="tx1"/>
            </w14:solidFill>
          </w14:textFill>
        </w:rPr>
      </w:pPr>
      <w:bookmarkStart w:id="372" w:name="bookmark34"/>
      <w:bookmarkEnd w:id="372"/>
      <w:bookmarkStart w:id="373" w:name="_Toc31314"/>
      <w:bookmarkStart w:id="374" w:name="_Toc16864"/>
      <w:r>
        <w:rPr>
          <w:rFonts w:eastAsiaTheme="minorEastAsia"/>
          <w:color w:val="000000" w:themeColor="text1"/>
          <w:highlight w:val="none"/>
          <w14:textFill>
            <w14:solidFill>
              <w14:schemeClr w14:val="tx1"/>
            </w14:solidFill>
          </w14:textFill>
        </w:rPr>
        <w:t>环境管理与环境准入</w:t>
      </w:r>
      <w:bookmarkEnd w:id="373"/>
      <w:bookmarkEnd w:id="374"/>
    </w:p>
    <w:p w14:paraId="5ED2D5F2">
      <w:pPr>
        <w:spacing w:before="10" w:line="29" w:lineRule="exact"/>
        <w:rPr>
          <w:rFonts w:eastAsiaTheme="minorEastAsia"/>
          <w:color w:val="000000" w:themeColor="text1"/>
          <w:highlight w:val="none"/>
          <w14:textFill>
            <w14:solidFill>
              <w14:schemeClr w14:val="tx1"/>
            </w14:solidFill>
          </w14:textFill>
        </w:rPr>
      </w:pPr>
    </w:p>
    <w:p w14:paraId="59669D9F">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为深入贯彻落实习近平总书记系列重要讲话精神，</w:t>
      </w:r>
      <w:r>
        <w:rPr>
          <w:rFonts w:hint="eastAsia" w:eastAsiaTheme="minorEastAsia"/>
          <w:color w:val="000000" w:themeColor="text1"/>
          <w:spacing w:val="-3"/>
          <w:sz w:val="24"/>
          <w:highlight w:val="none"/>
          <w14:textFill>
            <w14:solidFill>
              <w14:schemeClr w14:val="tx1"/>
            </w14:solidFill>
          </w14:textFill>
        </w:rPr>
        <w:t>牢固树立和践行绿水青山就是金山银山的理念，把建设美丽中国摆在强国建设、民族复兴的突出位置，推动城乡人居环境明显改善、美丽中国建设取得显著成效，以高品质生态环境支撑高质量发展，加快推进人与自然和谐共生的现代化</w:t>
      </w:r>
      <w:r>
        <w:rPr>
          <w:rFonts w:eastAsiaTheme="minorEastAsia"/>
          <w:color w:val="000000" w:themeColor="text1"/>
          <w:spacing w:val="-3"/>
          <w:sz w:val="24"/>
          <w:highlight w:val="none"/>
          <w14:textFill>
            <w14:solidFill>
              <w14:schemeClr w14:val="tx1"/>
            </w14:solidFill>
          </w14:textFill>
        </w:rPr>
        <w:t>。通过环境保护主动优化区域发展，根据环境容量和环境敏感程度，充分发挥环保的引导调控作用，建立资源利用上线、环境质量底线、生态保护红线、生态环境准入负面清单的</w:t>
      </w:r>
      <w:r>
        <w:rPr>
          <w:rFonts w:hint="eastAsia" w:eastAsiaTheme="minorEastAsia"/>
          <w:color w:val="000000" w:themeColor="text1"/>
          <w:spacing w:val="-3"/>
          <w:sz w:val="24"/>
          <w:highlight w:val="none"/>
          <w:lang w:val="en-US" w:eastAsia="zh-CN"/>
          <w14:textFill>
            <w14:solidFill>
              <w14:schemeClr w14:val="tx1"/>
            </w14:solidFill>
          </w14:textFill>
        </w:rPr>
        <w:t>生态环境分区管控</w:t>
      </w:r>
      <w:r>
        <w:rPr>
          <w:rFonts w:eastAsiaTheme="minorEastAsia"/>
          <w:color w:val="000000" w:themeColor="text1"/>
          <w:spacing w:val="-3"/>
          <w:sz w:val="24"/>
          <w:highlight w:val="none"/>
          <w14:textFill>
            <w14:solidFill>
              <w14:schemeClr w14:val="tx1"/>
            </w14:solidFill>
          </w14:textFill>
        </w:rPr>
        <w:t>体系。以“生态保护红线、环境质量底线、资源利用上线”为基础，充分考虑</w:t>
      </w:r>
      <w:r>
        <w:rPr>
          <w:rFonts w:hint="eastAsia" w:eastAsiaTheme="minorEastAsia"/>
          <w:color w:val="000000" w:themeColor="text1"/>
          <w:spacing w:val="-3"/>
          <w:sz w:val="24"/>
          <w:highlight w:val="none"/>
          <w14:textFill>
            <w14:solidFill>
              <w14:schemeClr w14:val="tx1"/>
            </w14:solidFill>
          </w14:textFill>
        </w:rPr>
        <w:t>武汉</w:t>
      </w:r>
      <w:r>
        <w:rPr>
          <w:rFonts w:eastAsiaTheme="minorEastAsia"/>
          <w:color w:val="000000" w:themeColor="text1"/>
          <w:spacing w:val="-3"/>
          <w:sz w:val="24"/>
          <w:highlight w:val="none"/>
          <w14:textFill>
            <w14:solidFill>
              <w14:schemeClr w14:val="tx1"/>
            </w14:solidFill>
          </w14:textFill>
        </w:rPr>
        <w:t>市及</w:t>
      </w:r>
      <w:r>
        <w:rPr>
          <w:rFonts w:hint="eastAsia" w:eastAsiaTheme="minorEastAsia"/>
          <w:color w:val="000000" w:themeColor="text1"/>
          <w:spacing w:val="-3"/>
          <w:sz w:val="24"/>
          <w:highlight w:val="none"/>
          <w:lang w:val="en-US" w:eastAsia="zh-CN"/>
          <w14:textFill>
            <w14:solidFill>
              <w14:schemeClr w14:val="tx1"/>
            </w14:solidFill>
          </w14:textFill>
        </w:rPr>
        <w:t>东西湖区</w:t>
      </w:r>
      <w:r>
        <w:rPr>
          <w:rFonts w:eastAsiaTheme="minorEastAsia"/>
          <w:color w:val="000000" w:themeColor="text1"/>
          <w:spacing w:val="-3"/>
          <w:sz w:val="24"/>
          <w:highlight w:val="none"/>
          <w14:textFill>
            <w14:solidFill>
              <w14:schemeClr w14:val="tx1"/>
            </w14:solidFill>
          </w14:textFill>
        </w:rPr>
        <w:t>经济社会发展现状，优化规划区域空间布局及产业结构，强化资源保护，促进合理利用。同时，兼顾区域生态环境、地理区位、资源禀赋、规划区现有产业布局等因素，围绕规划区功能定位、发展方向及国家产业政策要求，衔接湖北省</w:t>
      </w:r>
      <w:r>
        <w:rPr>
          <w:rFonts w:hint="eastAsia" w:eastAsiaTheme="minorEastAsia"/>
          <w:color w:val="000000" w:themeColor="text1"/>
          <w:spacing w:val="-3"/>
          <w:sz w:val="24"/>
          <w:highlight w:val="none"/>
          <w14:textFill>
            <w14:solidFill>
              <w14:schemeClr w14:val="tx1"/>
            </w14:solidFill>
          </w14:textFill>
        </w:rPr>
        <w:t>、武汉市</w:t>
      </w:r>
      <w:r>
        <w:rPr>
          <w:rFonts w:eastAsiaTheme="minorEastAsia"/>
          <w:color w:val="000000" w:themeColor="text1"/>
          <w:spacing w:val="-3"/>
          <w:sz w:val="24"/>
          <w:highlight w:val="none"/>
          <w14:textFill>
            <w14:solidFill>
              <w14:schemeClr w14:val="tx1"/>
            </w14:solidFill>
          </w14:textFill>
        </w:rPr>
        <w:t>生态环境分区管控要求，建立环境准入负面清单，从源头优化产业布局，促进产业结构调整，推动环境质量改善，加快推进生态文明建设和经济发展绿色化，提出</w:t>
      </w:r>
      <w:r>
        <w:rPr>
          <w:rFonts w:hint="eastAsia" w:eastAsiaTheme="minorEastAsia"/>
          <w:color w:val="000000" w:themeColor="text1"/>
          <w:spacing w:val="-3"/>
          <w:sz w:val="24"/>
          <w:highlight w:val="none"/>
          <w14:textFill>
            <w14:solidFill>
              <w14:schemeClr w14:val="tx1"/>
            </w14:solidFill>
          </w14:textFill>
        </w:rPr>
        <w:t>网安半岛泥达湖片区产业组团</w:t>
      </w:r>
      <w:r>
        <w:rPr>
          <w:rFonts w:eastAsiaTheme="minorEastAsia"/>
          <w:color w:val="000000" w:themeColor="text1"/>
          <w:spacing w:val="-3"/>
          <w:sz w:val="24"/>
          <w:highlight w:val="none"/>
          <w14:textFill>
            <w14:solidFill>
              <w14:schemeClr w14:val="tx1"/>
            </w14:solidFill>
          </w14:textFill>
        </w:rPr>
        <w:t>清单式管理试点工作成果框架要求。</w:t>
      </w:r>
    </w:p>
    <w:p w14:paraId="50B9CE81">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eastAsiaTheme="minorEastAsia"/>
          <w:color w:val="000000" w:themeColor="text1"/>
          <w:spacing w:val="-3"/>
          <w:sz w:val="24"/>
          <w:highlight w:val="none"/>
          <w14:textFill>
            <w14:solidFill>
              <w14:schemeClr w14:val="tx1"/>
            </w14:solidFill>
          </w14:textFill>
        </w:rPr>
        <w:t>具体内容包括生态空间清单、环境质量底线清单、污染物排放总量管控限值清单、资源利用上线、环境准入条件清单</w:t>
      </w:r>
      <w:r>
        <w:rPr>
          <w:rFonts w:hint="eastAsia" w:eastAsiaTheme="minorEastAsia"/>
          <w:color w:val="000000" w:themeColor="text1"/>
          <w:spacing w:val="-3"/>
          <w:sz w:val="24"/>
          <w:highlight w:val="none"/>
          <w:lang w:val="en-US" w:eastAsia="zh-CN"/>
          <w14:textFill>
            <w14:solidFill>
              <w14:schemeClr w14:val="tx1"/>
            </w14:solidFill>
          </w14:textFill>
        </w:rPr>
        <w:t>等</w:t>
      </w:r>
      <w:r>
        <w:rPr>
          <w:rFonts w:eastAsiaTheme="minorEastAsia"/>
          <w:color w:val="000000" w:themeColor="text1"/>
          <w:spacing w:val="-3"/>
          <w:sz w:val="24"/>
          <w:highlight w:val="none"/>
          <w14:textFill>
            <w14:solidFill>
              <w14:schemeClr w14:val="tx1"/>
            </w14:solidFill>
          </w14:textFill>
        </w:rPr>
        <w:t>。</w:t>
      </w:r>
      <w:r>
        <w:rPr>
          <w:rFonts w:hint="eastAsia" w:eastAsiaTheme="minorEastAsia"/>
          <w:color w:val="000000" w:themeColor="text1"/>
          <w:spacing w:val="-3"/>
          <w:sz w:val="24"/>
          <w:highlight w:val="none"/>
          <w14:textFill>
            <w14:solidFill>
              <w14:schemeClr w14:val="tx1"/>
            </w14:solidFill>
          </w14:textFill>
        </w:rPr>
        <w:t>本次评价制定的生态环境分区管控目的是推进园区现代化环境治理体系，建立以生态环境分区管控为核心的生态环境分区管控体系，以改善生态环境质量和提升区域资源环境承载能力为底线，统筹优化园区生态、城镇、工业、农业等功能空间布局，强化环境约束，优先保障生态环境质量持续改善。同时，随着绿色发展理念深化、生态文明建设推进、环境保护要求提升、社会经济技术进步等因素变化，生态环境分区管控相关管理要求需逐步完善、动态更新。</w:t>
      </w:r>
    </w:p>
    <w:p w14:paraId="4305FE20">
      <w:pPr>
        <w:adjustRightInd w:val="0"/>
        <w:snapToGrid w:val="0"/>
        <w:spacing w:line="360" w:lineRule="auto"/>
        <w:ind w:firstLine="468" w:firstLineChars="200"/>
        <w:rPr>
          <w:rFonts w:hint="default" w:ascii="Times New Roman" w:hAnsi="Times New Roman" w:cs="Times New Roman" w:eastAsiaTheme="minorEastAsia"/>
          <w:color w:val="000000" w:themeColor="text1"/>
          <w:spacing w:val="-3"/>
          <w:kern w:val="2"/>
          <w:sz w:val="24"/>
          <w:szCs w:val="24"/>
          <w:highlight w:val="none"/>
          <w:lang w:val="en-US" w:eastAsia="zh-CN" w:bidi="ar"/>
          <w14:textFill>
            <w14:solidFill>
              <w14:schemeClr w14:val="tx1"/>
            </w14:solidFill>
          </w14:textFill>
        </w:rPr>
      </w:pPr>
      <w:r>
        <w:rPr>
          <w:rFonts w:hint="default" w:ascii="Times New Roman" w:hAnsi="Times New Roman" w:cs="Times New Roman" w:eastAsiaTheme="minorEastAsia"/>
          <w:color w:val="000000" w:themeColor="text1"/>
          <w:spacing w:val="-3"/>
          <w:kern w:val="2"/>
          <w:sz w:val="24"/>
          <w:szCs w:val="24"/>
          <w:highlight w:val="none"/>
          <w:lang w:val="en-US" w:eastAsia="zh-CN" w:bidi="ar"/>
          <w14:textFill>
            <w14:solidFill>
              <w14:schemeClr w14:val="tx1"/>
            </w14:solidFill>
          </w14:textFill>
        </w:rPr>
        <w:t>（1）衔接湖北省、武汉市生态环境分区管控最新发布成果，不一致处以最新发布成果为准。</w:t>
      </w:r>
    </w:p>
    <w:p w14:paraId="6B8A1F5E">
      <w:pPr>
        <w:adjustRightInd w:val="0"/>
        <w:snapToGrid w:val="0"/>
        <w:spacing w:line="360" w:lineRule="auto"/>
        <w:ind w:firstLine="468" w:firstLineChars="200"/>
        <w:rPr>
          <w:rFonts w:hint="default" w:ascii="Times New Roman" w:hAnsi="Times New Roman" w:cs="Times New Roman" w:eastAsiaTheme="minorEastAsia"/>
          <w:color w:val="000000" w:themeColor="text1"/>
          <w:spacing w:val="-3"/>
          <w:kern w:val="2"/>
          <w:sz w:val="24"/>
          <w:szCs w:val="24"/>
          <w:highlight w:val="none"/>
          <w:lang w:val="en-US" w:eastAsia="zh-CN" w:bidi="ar"/>
          <w14:textFill>
            <w14:solidFill>
              <w14:schemeClr w14:val="tx1"/>
            </w14:solidFill>
          </w14:textFill>
        </w:rPr>
      </w:pPr>
      <w:r>
        <w:rPr>
          <w:rFonts w:hint="default" w:ascii="Times New Roman" w:hAnsi="Times New Roman" w:cs="Times New Roman" w:eastAsiaTheme="minorEastAsia"/>
          <w:color w:val="000000" w:themeColor="text1"/>
          <w:spacing w:val="-3"/>
          <w:kern w:val="2"/>
          <w:sz w:val="24"/>
          <w:szCs w:val="24"/>
          <w:highlight w:val="none"/>
          <w:lang w:val="en-US" w:eastAsia="zh-CN" w:bidi="ar"/>
          <w14:textFill>
            <w14:solidFill>
              <w14:schemeClr w14:val="tx1"/>
            </w14:solidFill>
          </w14:textFill>
        </w:rPr>
        <w:t>（2）生态环境分区管控方案实施期内，符合下列情形之一的，可以对生态环境分区管控方案中相关联的内容进行动态更新。1）法律法规有新规定的；2）生态保护红线、饮用水水源保护区、自然保护地等依法依规调整的；3）国民经济和社会发展规划、国土空间规划、重大战略、生态环境保护目标等发生变化的；4）其他经论证后确需更新的情形。生态环境分区管控方案调整更新后按新的要求执行。</w:t>
      </w:r>
    </w:p>
    <w:p w14:paraId="25A16AFE">
      <w:pPr>
        <w:pStyle w:val="2"/>
        <w:pageBreakBefore/>
        <w:tabs>
          <w:tab w:val="clear" w:pos="1701"/>
        </w:tabs>
        <w:ind w:left="425"/>
        <w:rPr>
          <w:rFonts w:eastAsiaTheme="minorEastAsia"/>
          <w:color w:val="000000" w:themeColor="text1"/>
          <w:highlight w:val="none"/>
          <w14:textFill>
            <w14:solidFill>
              <w14:schemeClr w14:val="tx1"/>
            </w14:solidFill>
          </w14:textFill>
        </w:rPr>
      </w:pPr>
      <w:bookmarkStart w:id="375" w:name="bookmark35"/>
      <w:bookmarkEnd w:id="375"/>
      <w:bookmarkStart w:id="376" w:name="_Toc11896"/>
      <w:bookmarkStart w:id="377" w:name="_Toc28581"/>
      <w:r>
        <w:rPr>
          <w:rFonts w:eastAsiaTheme="minorEastAsia"/>
          <w:color w:val="000000" w:themeColor="text1"/>
          <w:highlight w:val="none"/>
          <w14:textFill>
            <w14:solidFill>
              <w14:schemeClr w14:val="tx1"/>
            </w14:solidFill>
          </w14:textFill>
        </w:rPr>
        <w:t>结论</w:t>
      </w:r>
      <w:bookmarkEnd w:id="376"/>
      <w:bookmarkEnd w:id="377"/>
    </w:p>
    <w:p w14:paraId="5B6E5CCD">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在严格落实本规划环评提出的规划优化调整建议和环境影响减缓措施后，《网安半岛泥达湖片区产业组团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eastAsiaTheme="minorEastAsia"/>
          <w:color w:val="000000" w:themeColor="text1"/>
          <w:spacing w:val="-3"/>
          <w:sz w:val="24"/>
          <w:highlight w:val="none"/>
          <w14:textFill>
            <w14:solidFill>
              <w14:schemeClr w14:val="tx1"/>
            </w14:solidFill>
          </w14:textFill>
        </w:rPr>
        <w:t>建设规划》总体上符合长江大保护、《武汉市生态环境分区管控更新成果（2023年版）》《武汉市国土空间总体规划（2021-2035年）》、《武汉市东西湖区国土空间总体规划（2021—2035年）》等的相关要求。</w:t>
      </w:r>
    </w:p>
    <w:p w14:paraId="0D4E1D8D">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规划实施后，区域内废气、废水及固废排放量将增加，大气、水污染物总量减排和环境质量改善的压力将增加。另外，规划区域雨污管网、燃气等基础设施不完善，规划区域不涉及泥达湖蓝线、绿线和湖泊保护区，规划范围涉及湖泊控制区，规划区域具有一定生态敏感性。规划区域应严格执行《湖北省湖泊保护条例》《武汉市湖泊保护条例》等相关管控要求，充分考虑本评价提出的各项建议，严格环境准入要求，按照国家、省要求实施规划区主要污染物排放总量控制。坚持废气治理、废水处理、固废处置等环保基础设施建设先于项目投入使用原则，确保不会污染和破坏规划区及周边生态环境。</w:t>
      </w:r>
    </w:p>
    <w:p w14:paraId="4C012279">
      <w:pPr>
        <w:adjustRightInd w:val="0"/>
        <w:snapToGrid w:val="0"/>
        <w:spacing w:line="360" w:lineRule="auto"/>
        <w:ind w:firstLine="468" w:firstLineChars="200"/>
        <w:rPr>
          <w:rFonts w:hint="eastAsia"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区域的开发活动应秉承控规提出的生态环境保护建议和环境保护与治理措施，引入先进的环境管理和污染防治技术；加快实施环保基础设施建设；集约利用土地，提高土地效用；加强区域突发环境风险联防联控；规划区入驻项目开展环评工作时，可根据相关文件要求适当简化评价内容，并重点关注本评价要求需重点关注的内容。</w:t>
      </w:r>
    </w:p>
    <w:p w14:paraId="312FE72C">
      <w:pPr>
        <w:adjustRightInd w:val="0"/>
        <w:snapToGrid w:val="0"/>
        <w:spacing w:line="360" w:lineRule="auto"/>
        <w:ind w:firstLine="468" w:firstLineChars="200"/>
        <w:rPr>
          <w:rFonts w:eastAsiaTheme="minorEastAsia"/>
          <w:color w:val="000000" w:themeColor="text1"/>
          <w:spacing w:val="-3"/>
          <w:sz w:val="24"/>
          <w:highlight w:val="none"/>
          <w14:textFill>
            <w14:solidFill>
              <w14:schemeClr w14:val="tx1"/>
            </w14:solidFill>
          </w14:textFill>
        </w:rPr>
      </w:pPr>
      <w:r>
        <w:rPr>
          <w:rFonts w:hint="eastAsia" w:eastAsiaTheme="minorEastAsia"/>
          <w:color w:val="000000" w:themeColor="text1"/>
          <w:spacing w:val="-3"/>
          <w:sz w:val="24"/>
          <w:highlight w:val="none"/>
          <w14:textFill>
            <w14:solidFill>
              <w14:schemeClr w14:val="tx1"/>
            </w14:solidFill>
          </w14:textFill>
        </w:rPr>
        <w:t>综上所述，从资源环境、区域经济发展、产业定位及规划布局综合评价，《网安半岛泥达湖片区产业组团</w:t>
      </w:r>
      <w:r>
        <w:rPr>
          <w:rFonts w:hint="eastAsia"/>
          <w:color w:val="000000" w:themeColor="text1"/>
          <w:sz w:val="24"/>
          <w:szCs w:val="24"/>
          <w:highlight w:val="none"/>
          <w:lang w:val="en-US" w:eastAsia="zh-CN"/>
          <w14:textFill>
            <w14:solidFill>
              <w14:schemeClr w14:val="tx1"/>
            </w14:solidFill>
          </w14:textFill>
        </w:rPr>
        <w:t>开发</w:t>
      </w:r>
      <w:r>
        <w:rPr>
          <w:rFonts w:hint="eastAsia" w:eastAsiaTheme="minorEastAsia"/>
          <w:color w:val="000000" w:themeColor="text1"/>
          <w:spacing w:val="-3"/>
          <w:sz w:val="24"/>
          <w:highlight w:val="none"/>
          <w14:textFill>
            <w14:solidFill>
              <w14:schemeClr w14:val="tx1"/>
            </w14:solidFill>
          </w14:textFill>
        </w:rPr>
        <w:t>建设规划》总体可行。规划的完善和实施过程中应充分采纳环境主管部门和本评价提出的各项建议，加强环境管理及风险防控要求，关注各项环境保护规划和措施的落实。在规划实施过程中，每隔五年进行一次环境影响跟踪评价，规划修编或规划方案发生调整时应重新开展环境影响评价工作。</w:t>
      </w:r>
    </w:p>
    <w:p w14:paraId="3A6DAD3A">
      <w:pPr>
        <w:rPr>
          <w:color w:val="000000" w:themeColor="text1"/>
          <w:highlight w:val="none"/>
          <w14:textFill>
            <w14:solidFill>
              <w14:schemeClr w14:val="tx1"/>
            </w14:solidFill>
          </w14:textFill>
        </w:rPr>
      </w:pPr>
    </w:p>
    <w:sectPr>
      <w:headerReference r:id="rId13" w:type="default"/>
      <w:footerReference r:id="rId14" w:type="default"/>
      <w:pgSz w:w="11907" w:h="16839"/>
      <w:pgMar w:top="1440" w:right="1803" w:bottom="1440" w:left="1803" w:header="651" w:footer="73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34E1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B28B3">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112A2">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0F112A2">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A94FA">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D15B9">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4DD15B9">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196A6">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B6C31">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00B6C31">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C049">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07DBC">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C807DBC">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480BE">
    <w:pPr>
      <w:spacing w:line="176" w:lineRule="auto"/>
      <w:ind w:left="4636"/>
      <w:rPr>
        <w:rFonts w:eastAsia="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0F175">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B70F175">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12A84">
    <w:pPr>
      <w:pStyle w:val="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26FBC">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226FBC">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F84B3">
    <w:pPr>
      <w:spacing w:line="231" w:lineRule="auto"/>
      <w:ind w:left="711"/>
      <w:jc w:val="right"/>
      <w:rPr>
        <w:rFonts w:ascii="宋体" w:hAnsi="宋体" w:cs="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76D62">
    <w:pPr>
      <w:spacing w:line="231" w:lineRule="auto"/>
      <w:ind w:left="711"/>
      <w:rPr>
        <w:rFonts w:ascii="宋体" w:hAnsi="宋体" w:cs="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9C59D">
    <w:pPr>
      <w:spacing w:line="231" w:lineRule="auto"/>
      <w:ind w:left="907"/>
      <w:rPr>
        <w:rFonts w:ascii="宋体" w:hAnsi="宋体"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6E41D">
    <w:pPr>
      <w:spacing w:line="231" w:lineRule="auto"/>
      <w:ind w:left="711"/>
      <w:rPr>
        <w:rFonts w:ascii="宋体" w:hAnsi="宋体" w:cs="宋体"/>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6E112">
    <w:pPr>
      <w:spacing w:line="231" w:lineRule="auto"/>
      <w:ind w:left="711"/>
      <w:rPr>
        <w:rFonts w:ascii="宋体" w:hAnsi="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8D209"/>
    <w:multiLevelType w:val="multilevel"/>
    <w:tmpl w:val="80B8D209"/>
    <w:lvl w:ilvl="0" w:tentative="0">
      <w:start w:val="1"/>
      <w:numFmt w:val="decimal"/>
      <w:suff w:val="nothing"/>
      <w:lvlText w:val="%1"/>
      <w:lvlJc w:val="left"/>
      <w:pPr>
        <w:tabs>
          <w:tab w:val="left" w:pos="420"/>
        </w:tabs>
        <w:ind w:left="0" w:leftChars="0" w:firstLine="0" w:firstLineChars="0"/>
      </w:pPr>
      <w:rPr>
        <w:rFonts w:hint="default"/>
      </w:rPr>
    </w:lvl>
    <w:lvl w:ilvl="1" w:tentative="0">
      <w:start w:val="1"/>
      <w:numFmt w:val="decimal"/>
      <w:suff w:val="nothing"/>
      <w:lvlText w:val="%1.%2."/>
      <w:lvlJc w:val="left"/>
      <w:pPr>
        <w:tabs>
          <w:tab w:val="left" w:pos="0"/>
        </w:tabs>
        <w:ind w:left="0" w:leftChars="0" w:firstLine="0" w:firstLineChars="0"/>
      </w:pPr>
      <w:rPr>
        <w:rFonts w:hint="default"/>
      </w:rPr>
    </w:lvl>
    <w:lvl w:ilvl="2" w:tentative="0">
      <w:start w:val="1"/>
      <w:numFmt w:val="decimal"/>
      <w:suff w:val="nothing"/>
      <w:lvlText w:val="%1.%2.%3."/>
      <w:lvlJc w:val="left"/>
      <w:pPr>
        <w:tabs>
          <w:tab w:val="left" w:pos="0"/>
        </w:tabs>
        <w:ind w:left="0" w:leftChars="0" w:firstLine="0" w:firstLineChars="0"/>
      </w:pPr>
      <w:rPr>
        <w:rFonts w:hint="default"/>
      </w:rPr>
    </w:lvl>
    <w:lvl w:ilvl="3" w:tentative="0">
      <w:start w:val="1"/>
      <w:numFmt w:val="decimal"/>
      <w:pStyle w:val="5"/>
      <w:lvlText w:val="%1.%2.%3.%4."/>
      <w:lvlJc w:val="left"/>
      <w:pPr>
        <w:ind w:left="864" w:hanging="864"/>
      </w:pPr>
      <w:rPr>
        <w:rFonts w:hint="default"/>
      </w:rPr>
    </w:lvl>
    <w:lvl w:ilvl="4" w:tentative="0">
      <w:start w:val="1"/>
      <w:numFmt w:val="decimal"/>
      <w:lvlText w:val="（%5）"/>
      <w:lvlJc w:val="left"/>
      <w:pPr>
        <w:tabs>
          <w:tab w:val="left" w:pos="0"/>
        </w:tabs>
        <w:ind w:left="420" w:leftChars="0" w:hanging="420" w:firstLineChars="0"/>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956C18B4"/>
    <w:multiLevelType w:val="singleLevel"/>
    <w:tmpl w:val="956C18B4"/>
    <w:lvl w:ilvl="0" w:tentative="0">
      <w:start w:val="1"/>
      <w:numFmt w:val="decimal"/>
      <w:suff w:val="nothing"/>
      <w:lvlText w:val="（%1）"/>
      <w:lvlJc w:val="left"/>
    </w:lvl>
  </w:abstractNum>
  <w:abstractNum w:abstractNumId="2">
    <w:nsid w:val="44DD0A6F"/>
    <w:multiLevelType w:val="multilevel"/>
    <w:tmpl w:val="44DD0A6F"/>
    <w:lvl w:ilvl="0" w:tentative="0">
      <w:start w:val="1"/>
      <w:numFmt w:val="decimal"/>
      <w:pStyle w:val="2"/>
      <w:lvlText w:val="%1."/>
      <w:lvlJc w:val="left"/>
      <w:pPr>
        <w:tabs>
          <w:tab w:val="left" w:pos="1701"/>
        </w:tabs>
        <w:ind w:left="1701" w:hanging="425"/>
      </w:pPr>
    </w:lvl>
    <w:lvl w:ilvl="1" w:tentative="0">
      <w:start w:val="1"/>
      <w:numFmt w:val="decimal"/>
      <w:pStyle w:val="3"/>
      <w:lvlText w:val="%1.%2."/>
      <w:lvlJc w:val="left"/>
      <w:pPr>
        <w:tabs>
          <w:tab w:val="left" w:pos="1276"/>
        </w:tabs>
        <w:ind w:left="1276" w:hanging="567"/>
      </w:pPr>
    </w:lvl>
    <w:lvl w:ilvl="2" w:tentative="0">
      <w:start w:val="1"/>
      <w:numFmt w:val="decimal"/>
      <w:pStyle w:val="4"/>
      <w:lvlText w:val="%1.%2.%3."/>
      <w:lvlJc w:val="left"/>
      <w:pPr>
        <w:tabs>
          <w:tab w:val="left" w:pos="709"/>
        </w:tabs>
        <w:ind w:left="709" w:hanging="709"/>
      </w:pPr>
    </w:lvl>
    <w:lvl w:ilvl="3" w:tentative="0">
      <w:start w:val="1"/>
      <w:numFmt w:val="decimal"/>
      <w:lvlText w:val="%1.%2.%3.%4."/>
      <w:lvlJc w:val="left"/>
      <w:pPr>
        <w:tabs>
          <w:tab w:val="left" w:pos="851"/>
        </w:tabs>
        <w:ind w:left="851" w:hanging="851"/>
      </w:pPr>
      <w:rPr>
        <w:rFonts w:hint="default"/>
        <w:color w:val="auto"/>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B3AF2"/>
    <w:rsid w:val="00BE1545"/>
    <w:rsid w:val="017254B7"/>
    <w:rsid w:val="06AD0CCB"/>
    <w:rsid w:val="06F85728"/>
    <w:rsid w:val="08375DFF"/>
    <w:rsid w:val="0971422A"/>
    <w:rsid w:val="0A6E4559"/>
    <w:rsid w:val="0CC122C8"/>
    <w:rsid w:val="0D390087"/>
    <w:rsid w:val="0FAD1102"/>
    <w:rsid w:val="116E74B5"/>
    <w:rsid w:val="11A402E3"/>
    <w:rsid w:val="12716000"/>
    <w:rsid w:val="135D699C"/>
    <w:rsid w:val="18A8170A"/>
    <w:rsid w:val="1A5D681E"/>
    <w:rsid w:val="1B7C4D63"/>
    <w:rsid w:val="1D434E54"/>
    <w:rsid w:val="1D673088"/>
    <w:rsid w:val="1EA416D1"/>
    <w:rsid w:val="205E0EF8"/>
    <w:rsid w:val="20B6613C"/>
    <w:rsid w:val="216E5D35"/>
    <w:rsid w:val="24376D95"/>
    <w:rsid w:val="29223698"/>
    <w:rsid w:val="297A31A8"/>
    <w:rsid w:val="2B5A3008"/>
    <w:rsid w:val="2DF170E2"/>
    <w:rsid w:val="2E27395D"/>
    <w:rsid w:val="32230959"/>
    <w:rsid w:val="32716FC3"/>
    <w:rsid w:val="33A855B9"/>
    <w:rsid w:val="340D18C0"/>
    <w:rsid w:val="37ED7324"/>
    <w:rsid w:val="38E304F8"/>
    <w:rsid w:val="395A1708"/>
    <w:rsid w:val="3A0F4CC8"/>
    <w:rsid w:val="3A8548D4"/>
    <w:rsid w:val="3D085D3C"/>
    <w:rsid w:val="416A59DD"/>
    <w:rsid w:val="43974F60"/>
    <w:rsid w:val="45777D92"/>
    <w:rsid w:val="47962993"/>
    <w:rsid w:val="47F661D4"/>
    <w:rsid w:val="489A5A50"/>
    <w:rsid w:val="496930A0"/>
    <w:rsid w:val="4B682F7C"/>
    <w:rsid w:val="4DB05702"/>
    <w:rsid w:val="4F6C798B"/>
    <w:rsid w:val="4F8457C7"/>
    <w:rsid w:val="52B4067B"/>
    <w:rsid w:val="54F324F8"/>
    <w:rsid w:val="57884570"/>
    <w:rsid w:val="580B3AF2"/>
    <w:rsid w:val="58240C14"/>
    <w:rsid w:val="5AB86E4F"/>
    <w:rsid w:val="5C114991"/>
    <w:rsid w:val="5C2B3F8B"/>
    <w:rsid w:val="5F90475F"/>
    <w:rsid w:val="603C33F7"/>
    <w:rsid w:val="62FA589E"/>
    <w:rsid w:val="635A4332"/>
    <w:rsid w:val="64855C0F"/>
    <w:rsid w:val="65B43A94"/>
    <w:rsid w:val="660A76F0"/>
    <w:rsid w:val="6874548F"/>
    <w:rsid w:val="69B17214"/>
    <w:rsid w:val="6A2E4F7B"/>
    <w:rsid w:val="6B791B51"/>
    <w:rsid w:val="6BBE101C"/>
    <w:rsid w:val="6C15366E"/>
    <w:rsid w:val="6F953946"/>
    <w:rsid w:val="74EB17BC"/>
    <w:rsid w:val="756A1B73"/>
    <w:rsid w:val="78C55892"/>
    <w:rsid w:val="79C25E0D"/>
    <w:rsid w:val="7A026577"/>
    <w:rsid w:val="7B6969A9"/>
    <w:rsid w:val="7D373304"/>
    <w:rsid w:val="7E276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numPr>
        <w:ilvl w:val="0"/>
        <w:numId w:val="1"/>
      </w:numPr>
      <w:pBdr>
        <w:bottom w:val="single" w:color="auto" w:sz="12" w:space="1"/>
      </w:pBdr>
      <w:tabs>
        <w:tab w:val="left" w:leader="dot" w:pos="0"/>
        <w:tab w:val="left" w:pos="425"/>
      </w:tabs>
      <w:spacing w:before="960" w:after="960"/>
      <w:outlineLvl w:val="0"/>
    </w:pPr>
    <w:rPr>
      <w:rFonts w:eastAsia="黑体"/>
      <w:b/>
      <w:bCs/>
      <w:kern w:val="44"/>
      <w:sz w:val="32"/>
      <w:szCs w:val="44"/>
    </w:rPr>
  </w:style>
  <w:style w:type="paragraph" w:styleId="3">
    <w:name w:val="heading 2"/>
    <w:basedOn w:val="1"/>
    <w:next w:val="1"/>
    <w:qFormat/>
    <w:uiPriority w:val="9"/>
    <w:pPr>
      <w:keepNext/>
      <w:keepLines/>
      <w:numPr>
        <w:ilvl w:val="1"/>
        <w:numId w:val="1"/>
      </w:numPr>
      <w:tabs>
        <w:tab w:val="left" w:pos="425"/>
        <w:tab w:val="left" w:pos="567"/>
        <w:tab w:val="left" w:pos="1418"/>
        <w:tab w:val="left" w:pos="1701"/>
      </w:tabs>
      <w:spacing w:after="60" w:line="360" w:lineRule="auto"/>
      <w:outlineLvl w:val="1"/>
    </w:pPr>
    <w:rPr>
      <w:rFonts w:eastAsia="黑体"/>
      <w:b/>
      <w:bCs/>
      <w:sz w:val="24"/>
    </w:rPr>
  </w:style>
  <w:style w:type="paragraph" w:styleId="4">
    <w:name w:val="heading 3"/>
    <w:basedOn w:val="1"/>
    <w:next w:val="1"/>
    <w:qFormat/>
    <w:uiPriority w:val="9"/>
    <w:pPr>
      <w:keepNext/>
      <w:keepLines/>
      <w:numPr>
        <w:ilvl w:val="2"/>
        <w:numId w:val="1"/>
      </w:numPr>
      <w:tabs>
        <w:tab w:val="left" w:pos="425"/>
        <w:tab w:val="left" w:pos="1701"/>
      </w:tabs>
      <w:spacing w:after="60" w:line="360" w:lineRule="auto"/>
      <w:outlineLvl w:val="2"/>
    </w:pPr>
    <w:rPr>
      <w:b/>
      <w:bCs/>
      <w:sz w:val="24"/>
      <w:szCs w:val="32"/>
    </w:rPr>
  </w:style>
  <w:style w:type="paragraph" w:styleId="5">
    <w:name w:val="heading 4"/>
    <w:basedOn w:val="1"/>
    <w:qFormat/>
    <w:uiPriority w:val="0"/>
    <w:pPr>
      <w:keepNext/>
      <w:keepLines/>
      <w:numPr>
        <w:ilvl w:val="3"/>
        <w:numId w:val="2"/>
      </w:numPr>
      <w:adjustRightInd w:val="0"/>
      <w:snapToGrid w:val="0"/>
      <w:spacing w:line="360" w:lineRule="auto"/>
      <w:ind w:left="0" w:firstLine="0" w:firstLineChars="0"/>
      <w:outlineLvl w:val="3"/>
    </w:pPr>
    <w:rPr>
      <w:rFonts w:ascii="Times New Roman" w:hAnsi="Times New Roman" w:eastAsia="宋体" w:cs="Times New Roman"/>
      <w:b/>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index 5"/>
    <w:basedOn w:val="1"/>
    <w:next w:val="1"/>
    <w:qFormat/>
    <w:uiPriority w:val="0"/>
    <w:pPr>
      <w:widowControl/>
      <w:suppressAutoHyphens/>
      <w:adjustRightInd w:val="0"/>
      <w:spacing w:line="300" w:lineRule="auto"/>
      <w:ind w:left="1680" w:firstLine="200" w:firstLineChars="200"/>
      <w:jc w:val="left"/>
    </w:pPr>
    <w:rPr>
      <w:rFonts w:ascii="仿宋_GB2312" w:hAnsi="宋体" w:eastAsia="仿宋_GB2312" w:cs="宋体"/>
      <w:kern w:val="28"/>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qFormat/>
    <w:uiPriority w:val="99"/>
    <w:rPr>
      <w:color w:val="333333"/>
      <w:u w:val="none"/>
    </w:rPr>
  </w:style>
  <w:style w:type="paragraph" w:customStyle="1" w:styleId="16">
    <w:name w:val="Default"/>
    <w:basedOn w:val="1"/>
    <w:next w:val="8"/>
    <w:autoRedefine/>
    <w:qFormat/>
    <w:uiPriority w:val="0"/>
    <w:pPr>
      <w:autoSpaceDE w:val="0"/>
      <w:autoSpaceDN w:val="0"/>
      <w:spacing w:line="360" w:lineRule="auto"/>
      <w:ind w:firstLine="883" w:firstLineChars="200"/>
    </w:pPr>
    <w:rPr>
      <w:rFonts w:ascii="Times New Roman" w:hAnsi="Times New Roman" w:eastAsia="宋体" w:cs="宋体"/>
      <w:color w:val="000000"/>
      <w:sz w:val="24"/>
    </w:rPr>
  </w:style>
  <w:style w:type="paragraph" w:customStyle="1" w:styleId="17">
    <w:name w:val="目录"/>
    <w:basedOn w:val="18"/>
    <w:next w:val="18"/>
    <w:qFormat/>
    <w:uiPriority w:val="99"/>
    <w:pPr>
      <w:pBdr>
        <w:bottom w:val="single" w:color="auto" w:sz="12" w:space="1"/>
      </w:pBdr>
      <w:spacing w:before="960" w:after="960"/>
      <w:ind w:firstLine="0" w:firstLineChars="0"/>
      <w:jc w:val="right"/>
    </w:pPr>
    <w:rPr>
      <w:rFonts w:eastAsia="黑体"/>
      <w:b/>
      <w:i/>
      <w:sz w:val="32"/>
    </w:rPr>
  </w:style>
  <w:style w:type="paragraph" w:customStyle="1" w:styleId="18">
    <w:name w:val="君邦正文"/>
    <w:basedOn w:val="1"/>
    <w:qFormat/>
    <w:uiPriority w:val="0"/>
    <w:pPr>
      <w:spacing w:after="60" w:line="360" w:lineRule="auto"/>
      <w:ind w:firstLine="200" w:firstLineChars="200"/>
    </w:pPr>
    <w:rPr>
      <w:bCs/>
      <w:snapToGrid w:val="0"/>
      <w:sz w:val="24"/>
      <w:szCs w:val="28"/>
    </w:rPr>
  </w:style>
  <w:style w:type="paragraph" w:customStyle="1" w:styleId="19">
    <w:name w:val="样式12君邦正文"/>
    <w:basedOn w:val="18"/>
    <w:qFormat/>
    <w:uiPriority w:val="0"/>
    <w:pPr>
      <w:widowControl/>
      <w:ind w:firstLine="480"/>
    </w:pPr>
    <w:rPr>
      <w:szCs w:val="24"/>
    </w:rPr>
  </w:style>
  <w:style w:type="paragraph" w:customStyle="1" w:styleId="20">
    <w:name w:val="0正文-cs"/>
    <w:qFormat/>
    <w:uiPriority w:val="0"/>
    <w:pPr>
      <w:spacing w:line="360" w:lineRule="auto"/>
      <w:ind w:firstLine="803" w:firstLineChars="200"/>
      <w:jc w:val="both"/>
    </w:pPr>
    <w:rPr>
      <w:rFonts w:ascii="Times New Roman" w:hAnsi="Times New Roman" w:eastAsia="宋体" w:cs="Times New Roman"/>
      <w:sz w:val="24"/>
      <w:lang w:val="en-US" w:eastAsia="zh-CN" w:bidi="ar-SA"/>
    </w:rPr>
  </w:style>
  <w:style w:type="paragraph" w:customStyle="1" w:styleId="21">
    <w:name w:val="0表内格式-cs"/>
    <w:basedOn w:val="1"/>
    <w:autoRedefine/>
    <w:qFormat/>
    <w:uiPriority w:val="0"/>
    <w:pPr>
      <w:widowControl/>
      <w:spacing w:line="240" w:lineRule="auto"/>
      <w:ind w:firstLine="0" w:firstLineChars="0"/>
      <w:jc w:val="center"/>
    </w:pPr>
    <w:rPr>
      <w:rFonts w:ascii="Times New Roman" w:hAnsi="Times New Roman" w:eastAsia="宋体" w:cs="宋体"/>
      <w:bCs/>
      <w:kern w:val="0"/>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e0c05aa7-6357-44a8-9bee-8a534264e906</errorID>
      <errorWord> </errorWord>
      <group>L1_AI</group>
      <groupName>深度校对</groupName>
      <ability>L2_AI_Punc</ability>
      <abilityName>标点纠错</abilityName>
      <candidateList>
        <item>·</item>
      </candidateList>
      <explain/>
      <paraID>3CBBC71E</paraID>
      <start>3</start>
      <end>4</end>
      <status>unmodified</status>
      <modifiedWord/>
      <trackRevisions>false</trackRevisions>
    </reviewItem>
    <reviewItem>
      <errorID>5aabe909-27d7-40d0-b834-d6e9324e1bc1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3CBBC71E</paraID>
      <start>25</start>
      <end>26</end>
      <status>unmodified</status>
      <modifiedWord/>
      <trackRevisions>false</trackRevisions>
    </reviewItem>
    <reviewItem>
      <errorID>e39027c5-5a93-4c4b-a55a-b6a42526897a</errorID>
      <errorWord> </errorWord>
      <group>L1_AI</group>
      <groupName>深度校对</groupName>
      <ability>L2_AI_Punc</ability>
      <abilityName>标点纠错</abilityName>
      <candidateList>
        <item>·</item>
      </candidateList>
      <explain/>
      <paraID> 789D4AF</paraID>
      <start>2</start>
      <end>3</end>
      <status>unmodified</status>
      <modifiedWord/>
      <trackRevisions>false</trackRevisions>
    </reviewItem>
    <reviewItem>
      <errorID>29699c18-6f51-4c3d-afed-715a4e3f023e</errorID>
      <errorWord>兴起</errorWord>
      <group>L1_AI</group>
      <groupName>深度校对</groupName>
      <ability>L2_AI_Word</ability>
      <abilityName>字词纠错</abilityName>
      <candidateList>
        <item>兴旺</item>
      </candidateList>
      <explain/>
      <paraID> 789D4AF</paraID>
      <start>81</start>
      <end>83</end>
      <status>unmodified</status>
      <modifiedWord/>
      <trackRevisions>false</trackRevisions>
    </reviewItem>
    <reviewItem>
      <errorID>38f583cd-cc87-47c3-90dc-ca38415215bf</errorID>
      <errorWord> </errorWord>
      <group>L1_AI</group>
      <groupName>深度校对</groupName>
      <ability>L2_AI_Punc</ability>
      <abilityName>标点纠错</abilityName>
      <candidateList>
        <item>·</item>
      </candidateList>
      <explain/>
      <paraID>541E2F7F</paraID>
      <start>27</start>
      <end>28</end>
      <status>unmodified</status>
      <modifiedWord/>
      <trackRevisions>false</trackRevisions>
    </reviewItem>
    <reviewItem>
      <errorID>6321fb65-2cd4-4624-9bf0-f056bd0d8bdd</errorID>
      <errorWord> </errorWord>
      <group>L1_AI</group>
      <groupName>深度校对</groupName>
      <ability>L2_AI_Punc</ability>
      <abilityName>标点纠错</abilityName>
      <candidateList>
        <item>·</item>
      </candidateList>
      <explain/>
      <paraID>541E2F7F</paraID>
      <start>51</start>
      <end>52</end>
      <status>unmodified</status>
      <modifiedWord/>
      <trackRevisions>false</trackRevisions>
    </reviewItem>
    <reviewItem>
      <errorID>ecb934ce-fc69-4715-b29c-0e03038b29f3</errorID>
      <errorWord>国家发改委</errorWord>
      <group>L1_Knowledge</group>
      <groupName>知识性问题</groupName>
      <ability>L2_Knowledge</ability>
      <abilityName>其他知识</abilityName>
      <candidateList>
        <item>国家发展改革委</item>
      </candidateList>
      <explain/>
      <paraID>5343D3A6</paraID>
      <start>76</start>
      <end>81</end>
      <status>unmodified</status>
      <modifiedWord/>
      <trackRevisions>false</trackRevisions>
    </reviewItem>
    <reviewItem>
      <errorID>30c60f90-8809-4a38-b25c-264ee6728e81</errorID>
      <errorWord> </errorWord>
      <group>L1_AI</group>
      <groupName>深度校对</groupName>
      <ability>L2_AI_Punc</ability>
      <abilityName>标点纠错</abilityName>
      <candidateList>
        <item>·</item>
      </candidateList>
      <explain/>
      <paraID>377C8C34</paraID>
      <start>2</start>
      <end>3</end>
      <status>unmodified</status>
      <modifiedWord/>
      <trackRevisions>false</trackRevisions>
    </reviewItem>
    <reviewItem>
      <errorID>b9d67b35-d7fa-4b2b-86c1-ac2e087d361c</errorID>
      <errorWord> </errorWord>
      <group>L1_AI</group>
      <groupName>深度校对</groupName>
      <ability>L2_AI_Punc</ability>
      <abilityName>标点纠错</abilityName>
      <candidateList>
        <item>·</item>
      </candidateList>
      <explain/>
      <paraID>377C8C34</paraID>
      <start>181</start>
      <end>182</end>
      <status>unmodified</status>
      <modifiedWord/>
      <trackRevisions>false</trackRevisions>
    </reviewItem>
    <reviewItem>
      <errorID>6bfdcf26-ae50-4abe-8e2c-20a1bf0bba19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377C8C34</paraID>
      <start>203</start>
      <end>204</end>
      <status>unmodified</status>
      <modifiedWord/>
      <trackRevisions>false</trackRevisions>
    </reviewItem>
    <reviewItem>
      <errorID>07f06918-246b-43f7-a6bf-79d5a4c0011d</errorID>
      <errorWord> </errorWord>
      <group>L1_AI</group>
      <groupName>深度校对</groupName>
      <ability>L2_AI_Punc</ability>
      <abilityName>标点纠错</abilityName>
      <candidateList>
        <item>·</item>
      </candidateList>
      <explain/>
      <paraID>3E0B8C43</paraID>
      <start>196</start>
      <end>197</end>
      <status>unmodified</status>
      <modifiedWord/>
      <trackRevisions>false</trackRevisions>
    </reviewItem>
    <reviewItem>
      <errorID>6221ec01-03bd-46e6-8011-68191bcee0ae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3E0B8C43</paraID>
      <start>218</start>
      <end>219</end>
      <status>unmodified</status>
      <modifiedWord/>
      <trackRevisions>false</trackRevisions>
    </reviewItem>
    <reviewItem>
      <errorID>634ba53f-37a5-4b19-8f87-f56806c75c82</errorID>
      <errorWord>将</errorWord>
      <group>L1_AI</group>
      <groupName>深度校对</groupName>
      <ability>L2_AI_Word</ability>
      <abilityName>字词纠错</abilityName>
      <candidateList>
        <item>把</item>
      </candidateList>
      <explain/>
      <paraID>3D2397AE</paraID>
      <start>7</start>
      <end>8</end>
      <status>unmodified</status>
      <modifiedWord/>
      <trackRevisions>false</trackRevisions>
    </reviewItem>
    <reviewItem>
      <errorID>c544f02a-2e1a-4d74-8be8-8311b5965b1d</errorID>
      <errorWord>：</errorWord>
      <group>L1_AI</group>
      <groupName>深度校对</groupName>
      <ability>L2_AI_Word</ability>
      <abilityName>字词纠错</abilityName>
      <candidateList>
        <item>为：</item>
      </candidateList>
      <explain/>
      <paraID>5A557EA4</paraID>
      <start>6</start>
      <end>7</end>
      <status>unmodified</status>
      <modifiedWord/>
      <trackRevisions>false</trackRevisions>
    </reviewItem>
    <reviewItem>
      <errorID>04db728f-112a-445e-ba0b-ae3048216555</errorID>
      <errorWord>-</errorWord>
      <group>L1_Format</group>
      <groupName>格式问题</groupName>
      <ability>L2_HalfPunc</ability>
      <abilityName>全半角检查</abilityName>
      <candidateList>
        <item>－</item>
      </candidateList>
      <explain>文本全半角错误。</explain>
      <paraID>134BE3D3</paraID>
      <start>7</start>
      <end>8</end>
      <status>unmodified</status>
      <modifiedWord/>
      <trackRevisions>false</trackRevisions>
    </reviewItem>
    <reviewItem>
      <errorID>e9fc4ba3-4fe1-40d8-a900-620a2641826a</errorID>
      <errorWord> </errorWord>
      <group>L1_AI</group>
      <groupName>深度校对</groupName>
      <ability>L2_AI_Punc</ability>
      <abilityName>标点纠错</abilityName>
      <candidateList>
        <item>·</item>
      </candidateList>
      <explain/>
      <paraID>5C27F357</paraID>
      <start>5</start>
      <end>6</end>
      <status>unmodified</status>
      <modifiedWord/>
      <trackRevisions>false</trackRevisions>
    </reviewItem>
    <reviewItem>
      <errorID>bb54bb92-64c3-4ed3-b140-f23b6d7ae735</errorID>
      <errorWord> </errorWord>
      <group>L1_AI</group>
      <groupName>深度校对</groupName>
      <ability>L2_AI_Punc</ability>
      <abilityName>标点纠错</abilityName>
      <candidateList>
        <item>·</item>
      </candidateList>
      <explain/>
      <paraID>5DFE9C91</paraID>
      <start>42</start>
      <end>43</end>
      <status>unmodified</status>
      <modifiedWord/>
      <trackRevisions>false</trackRevisions>
    </reviewItem>
    <reviewItem>
      <errorID>27349cd1-44cf-44c4-a104-aaa4eb750899</errorID>
      <errorWord> </errorWord>
      <group>L1_AI</group>
      <groupName>深度校对</groupName>
      <ability>L2_AI_Punc</ability>
      <abilityName>标点纠错</abilityName>
      <candidateList>
        <item>·</item>
      </candidateList>
      <explain/>
      <paraID> BC95533</paraID>
      <start>8</start>
      <end>9</end>
      <status>unmodified</status>
      <modifiedWord/>
      <trackRevisions>false</trackRevisions>
    </reviewItem>
    <reviewItem>
      <errorID>970a4beb-5837-4edb-bd08-499530a30a73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BC95533</paraID>
      <start>30</start>
      <end>31</end>
      <status>unmodified</status>
      <modifiedWord/>
      <trackRevisions>false</trackRevisions>
    </reviewItem>
    <reviewItem>
      <errorID>7c26f0f5-87e2-466e-8b60-01897bcdef0c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BC95533</paraID>
      <start>138</start>
      <end>139</end>
      <status>unmodified</status>
      <modifiedWord/>
      <trackRevisions>false</trackRevisions>
    </reviewItem>
    <reviewItem>
      <errorID>30e3c801-d24c-4b00-94b3-13b861e6a9bd</errorID>
      <errorWord> </errorWord>
      <group>L1_AI</group>
      <groupName>深度校对</groupName>
      <ability>L2_AI_Punc</ability>
      <abilityName>标点纠错</abilityName>
      <candidateList>
        <item>·</item>
      </candidateList>
      <explain/>
      <paraID>3885E40E</paraID>
      <start>22</start>
      <end>23</end>
      <status>unmodified</status>
      <modifiedWord/>
      <trackRevisions>false</trackRevisions>
    </reviewItem>
    <reviewItem>
      <errorID>4a7361cb-6f92-4a3e-af26-08281d13ebcc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63C237AD</paraID>
      <start>5</start>
      <end>6</end>
      <status>unmodified</status>
      <modifiedWord/>
      <trackRevisions>false</trackRevisions>
    </reviewItem>
    <reviewItem>
      <errorID>b8b12a39-4823-47eb-8b50-9bdbdfb9288f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63C237AD</paraID>
      <start>54</start>
      <end>55</end>
      <status>unmodified</status>
      <modifiedWord/>
      <trackRevisions>false</trackRevisions>
    </reviewItem>
    <reviewItem>
      <errorID>cd206670-ac69-49b6-a6d3-d5637f3f5fe0</errorID>
      <errorWord>截止</errorWord>
      <group>L1_Word</group>
      <groupName>字词问题</groupName>
      <ability>L2_Typo</ability>
      <abilityName>字词错误</abilityName>
      <candidateList>
        <item>截至</item>
      </candidateList>
      <explain>存在发音相同字词的误用。</explain>
      <paraID>5FD3D930</paraID>
      <start>25</start>
      <end>27</end>
      <status>unmodified</status>
      <modifiedWord/>
      <trackRevisions>false</trackRevisions>
    </reviewItem>
    <reviewItem>
      <errorID>a1a7f0c5-ee86-41e8-9639-1b896de85082</errorID>
      <errorWord>苯</errorWord>
      <group>L1_Word</group>
      <groupName>字词问题</groupName>
      <ability>L2_Typo</ability>
      <abilityName>字词错误</abilityName>
      <candidateList>
        <item>苯等</item>
      </candidateList>
      <explain/>
      <paraID>4D121F43</paraID>
      <start>51</start>
      <end>52</end>
      <status>unmodified</status>
      <modifiedWord/>
      <trackRevisions>false</trackRevisions>
    </reviewItem>
    <reviewItem>
      <errorID>aa7cc91b-13b9-483e-ad91-c20f95fe8215</errorID>
      <errorWord>(</errorWord>
      <group>L1_Format</group>
      <groupName>格式问题</groupName>
      <ability>L2_HalfPunc</ability>
      <abilityName>全半角检查</abilityName>
      <candidateList>
        <item>（</item>
      </candidateList>
      <explain>文本全半角错误。</explain>
      <paraID>4EA48B36</paraID>
      <start>118</start>
      <end>119</end>
      <status>unmodified</status>
      <modifiedWord/>
      <trackRevisions>false</trackRevisions>
    </reviewItem>
    <reviewItem>
      <errorID>325b1475-c60e-4aff-bce1-2062f14dc6a5</errorID>
      <errorWord>)</errorWord>
      <group>L1_Format</group>
      <groupName>格式问题</groupName>
      <ability>L2_HalfPunc</ability>
      <abilityName>全半角检查</abilityName>
      <candidateList>
        <item>）</item>
      </candidateList>
      <explain>文本全半角错误。</explain>
      <paraID>4EA48B36</paraID>
      <start>131</start>
      <end>132</end>
      <status>unmodified</status>
      <modifiedWord/>
      <trackRevisions>false</trackRevisions>
    </reviewItem>
    <reviewItem>
      <errorID>e8d8b8e8-57fa-42a8-8f8c-6ce291d4d580</errorID>
      <errorWord>等</errorWord>
      <group>L1_Word</group>
      <groupName>字词问题</groupName>
      <ability>L2_Typo</ability>
      <abilityName>字词错误</abilityName>
      <candidateList>
        <item>等地</item>
      </candidateList>
      <explain/>
      <paraID>78BEC696</paraID>
      <start>35</start>
      <end>36</end>
      <status>unmodified</status>
      <modifiedWord/>
      <trackRevisions>false</trackRevisions>
    </reviewItem>
    <reviewItem>
      <errorID>719386e6-1ad6-4926-9a8d-d9d3b2918ee8</errorID>
      <errorWord>&lt;</errorWord>
      <group>L1_Format</group>
      <groupName>格式问题</groupName>
      <ability>L2_HalfPunc</ability>
      <abilityName>全半角检查</abilityName>
      <candidateList>
        <item>〈</item>
      </candidateList>
      <explain>文本全半角错误。</explain>
      <paraID>3B5E1FF1</paraID>
      <start>73</start>
      <end>74</end>
      <status>unmodified</status>
      <modifiedWord/>
      <trackRevisions>false</trackRevisions>
    </reviewItem>
    <reviewItem>
      <errorID>89eb2ecd-728e-44b5-a5fc-0d8b12923a91</errorID>
      <errorWord>&gt;的通知》</errorWord>
      <group>L1_Punc</group>
      <groupName>标点问题</groupName>
      <ability>L2_Punc</ability>
      <abilityName>标点符号检查</abilityName>
      <candidateList>
        <item>〉的通知》</item>
      </candidateList>
      <explain/>
      <paraID>3B5E1FF1</paraID>
      <start>91</start>
      <end>96</end>
      <status>unmodified</status>
      <modifiedWord/>
      <trackRevisions>false</trackRevisions>
    </reviewItem>
    <reviewItem>
      <errorID>8709f6b3-a16c-4822-9bbc-8651f8b03513</errorID>
      <errorWord>其它</errorWord>
      <group>L1_Word</group>
      <groupName>字词问题</groupName>
      <ability>L2_Alias</ability>
      <abilityName>也作/曾用词</abilityName>
      <candidateList>
        <item>其他</item>
      </candidateList>
      <explain>词汇[其它]为不规范表述或旧称，其规范书面表述为[其他]。</explain>
      <paraID>366EA8D0</paraID>
      <start>0</start>
      <end>2</end>
      <status>unmodified</status>
      <modifiedWord/>
      <trackRevisions>false</trackRevisions>
    </reviewItem>
    <reviewItem>
      <errorID>df720a52-c1f8-4085-bbdc-9de6ee0a6968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A1EA81C</paraID>
      <start>25</start>
      <end>26</end>
      <status>unmodified</status>
      <modifiedWord/>
      <trackRevisions>false</trackRevisions>
    </reviewItem>
    <reviewItem>
      <errorID>5a6f7f1c-1573-4789-a5cc-db9a6313f863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61BF4FC3</paraID>
      <start>85</start>
      <end>86</end>
      <status>unmodified</status>
      <modifiedWord/>
      <trackRevisions>false</trackRevisions>
    </reviewItem>
    <reviewItem>
      <errorID>a0f8c58b-d7b0-4519-9f17-020d0cbac95d</errorID>
      <errorWord>(</errorWord>
      <group>L1_Format</group>
      <groupName>格式问题</groupName>
      <ability>L2_HalfPunc</ability>
      <abilityName>全半角检查</abilityName>
      <candidateList>
        <item>（</item>
      </candidateList>
      <explain>文本全半角错误。</explain>
      <paraID>61BF4FC3</paraID>
      <start>108</start>
      <end>109</end>
      <status>unmodified</status>
      <modifiedWord/>
      <trackRevisions>false</trackRevisions>
    </reviewItem>
    <reviewItem>
      <errorID>c8cad811-7395-41b6-9225-56e8881f2570</errorID>
      <errorWord>)</errorWord>
      <group>L1_Format</group>
      <groupName>格式问题</groupName>
      <ability>L2_HalfPunc</ability>
      <abilityName>全半角检查</abilityName>
      <candidateList>
        <item>）</item>
      </candidateList>
      <explain>文本全半角错误。</explain>
      <paraID>61BF4FC3</paraID>
      <start>119</start>
      <end>120</end>
      <status>unmodified</status>
      <modifiedWord/>
      <trackRevisions>false</trackRevisions>
    </reviewItem>
    <reviewItem>
      <errorID>690cf612-0f76-4d8c-ba82-0de7176943c1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61BF4FC3</paraID>
      <start>191</start>
      <end>192</end>
      <status>unmodified</status>
      <modifiedWord/>
      <trackRevisions>false</trackRevisions>
    </reviewItem>
    <reviewItem>
      <errorID>d9cbc0d7-d7d6-4fe4-9a62-f6a89d31260a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5EFECB8A</paraID>
      <start>12</start>
      <end>15</end>
      <status>unmodified</status>
      <modifiedWord/>
      <trackRevisions>false</trackRevisions>
    </reviewItem>
    <reviewItem>
      <errorID>cca5a521-4324-4e91-83f0-670cfa0bbeeb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5EFECB8A</paraID>
      <start>31</start>
      <end>32</end>
      <status>unmodified</status>
      <modifiedWord/>
      <trackRevisions>false</trackRevisions>
    </reviewItem>
    <reviewItem>
      <errorID>c7a38ad7-838d-478d-90e2-dd164bd15f8b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6AF551E8</paraID>
      <start>50</start>
      <end>51</end>
      <status>unmodified</status>
      <modifiedWord/>
      <trackRevisions>false</trackRevisions>
    </reviewItem>
    <reviewItem>
      <errorID>d30fb501-11a0-4174-8e31-68e0c48cd2f7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195CEF66</paraID>
      <start>76</start>
      <end>79</end>
      <status>unmodified</status>
      <modifiedWord/>
      <trackRevisions>false</trackRevisions>
    </reviewItem>
    <reviewItem>
      <errorID>18534a72-cd14-4a7e-8337-d406377974fd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195CEF66</paraID>
      <start>95</start>
      <end>96</end>
      <status>unmodified</status>
      <modifiedWord/>
      <trackRevisions>false</trackRevisions>
    </reviewItem>
    <reviewItem>
      <errorID>07562ea3-b97e-44df-beb2-5455017aed89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2848BCAD</paraID>
      <start>77</start>
      <end>78</end>
      <status>unmodified</status>
      <modifiedWord/>
      <trackRevisions>false</trackRevisions>
    </reviewItem>
    <reviewItem>
      <errorID>17929ac6-1a4b-4c4c-80fe-9e76d812e685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2848BCAD</paraID>
      <start>123</start>
      <end>124</end>
      <status>unmodified</status>
      <modifiedWord/>
      <trackRevisions>false</trackRevisions>
    </reviewItem>
    <reviewItem>
      <errorID>396b9a57-baa5-4d62-98ca-e11198ef6ced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B9E97FD</paraID>
      <start>65</start>
      <end>66</end>
      <status>unmodified</status>
      <modifiedWord/>
      <trackRevisions>false</trackRevisions>
    </reviewItem>
    <reviewItem>
      <errorID>7ae81403-4855-47c9-ab28-795ce58e3751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B9E97FD</paraID>
      <start>108</start>
      <end>109</end>
      <status>unmodified</status>
      <modifiedWord/>
      <trackRevisions>false</trackRevisions>
    </reviewItem>
    <reviewItem>
      <errorID>d843bf86-fe27-49bf-9265-7bcee21434bc</errorID>
      <errorWord>，</errorWord>
      <group>L1_Word</group>
      <groupName>字词问题</groupName>
      <ability>L2_Typo</ability>
      <abilityName>字词错误</abilityName>
      <candidateList>
        <item>，在</item>
      </candidateList>
      <explain/>
      <paraID>1512E235</paraID>
      <start>44</start>
      <end>45</end>
      <status>unmodified</status>
      <modifiedWord/>
      <trackRevisions>false</trackRevisions>
    </reviewItem>
    <reviewItem>
      <errorID>ed41886d-a88e-4171-98bc-19261095c43d</errorID>
      <errorWord>，</errorWord>
      <group>L1_Word</group>
      <groupName>字词问题</groupName>
      <ability>L2_Typo</ability>
      <abilityName>字词错误</abilityName>
      <candidateList>
        <item>，在</item>
      </candidateList>
      <explain/>
      <paraID> 9A40399</paraID>
      <start>174</start>
      <end>175</end>
      <status>unmodified</status>
      <modifiedWord/>
      <trackRevisions>false</trackRevisions>
    </reviewItem>
    <reviewItem>
      <errorID>b98ddcf3-4870-4f01-8e07-307a8141f788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4DF46BC5</paraID>
      <start>57</start>
      <end>58</end>
      <status>unmodified</status>
      <modifiedWord/>
      <trackRevisions>false</trackRevisions>
    </reviewItem>
    <reviewItem>
      <errorID>aaf788ba-7f70-4593-b332-7f4cb302f683</errorID>
      <errorWord>&lt;</errorWord>
      <group>L1_Format</group>
      <groupName>格式问题</groupName>
      <ability>L2_HalfPunc</ability>
      <abilityName>全半角检查</abilityName>
      <candidateList>
        <item>〈</item>
      </candidateList>
      <explain>文本全半角错误。</explain>
      <paraID> EA9F9B2</paraID>
      <start>82</start>
      <end>83</end>
      <status>unmodified</status>
      <modifiedWord/>
      <trackRevisions>false</trackRevisions>
    </reviewItem>
    <reviewItem>
      <errorID>8c9fa253-ff9a-4fab-a4d3-afb5363eb784</errorID>
      <errorWord>&gt;的通知》</errorWord>
      <group>L1_Punc</group>
      <groupName>标点问题</groupName>
      <ability>L2_Punc</ability>
      <abilityName>标点符号检查</abilityName>
      <candidateList>
        <item>〉的通知》</item>
      </candidateList>
      <explain/>
      <paraID> EA9F9B2</paraID>
      <start>109</start>
      <end>114</end>
      <status>unmodified</status>
      <modifiedWord/>
      <trackRevisions>false</trackRevisions>
    </reviewItem>
    <reviewItem>
      <errorID>c1c7456e-fd0d-42ef-867f-da9bfbd8b010</errorID>
      <errorWord>习近平总书记系列重要讲话精神</errorWord>
      <group>L1_Word</group>
      <groupName>字词问题</groupName>
      <ability>L2_Typo</ability>
      <abilityName>字词错误</abilityName>
      <candidateList>
        <item>习近平总书记重要讲话精神</item>
      </candidateList>
      <explain/>
      <paraID>59669D9F</paraID>
      <start>7</start>
      <end>21</end>
      <status>unmodified</status>
      <modifiedWord/>
      <trackRevisions>false</trackRevisions>
    </reviewItem>
    <reviewItem>
      <errorID>85404f81-8f13-4139-9ffe-42d254e9ee66</errorID>
      <errorWord>经济发展绿色化</errorWord>
      <group>L1_Political</group>
      <groupName>政治性问题</groupName>
      <ability>L2_Keyword</ability>
      <abilityName>固定表述</abilityName>
      <candidateList>
        <item>经济社会发展绿色化</item>
      </candidateList>
      <explain>词汇“经济社会发展绿色化”在特定场景下为固定表述形式，请确认此处的“经济发展绿色化”是否存在不当。</explain>
      <paraID>59669D9F</paraID>
      <start>422</start>
      <end>429</end>
      <status>unmodified</status>
      <modifiedWord/>
      <trackRevisions>false</trackRevisions>
    </reviewItem>
    <reviewItem>
      <errorID>6a938bd6-d7a7-430c-ae8a-af8d0a076742</errorID>
      <errorWord>上线</errorWord>
      <group>L1_Word</group>
      <groupName>字词问题</groupName>
      <ability>L2_Typo</ability>
      <abilityName>字词错误</abilityName>
      <candidateList>
        <item>上限</item>
      </candidateList>
      <explain/>
      <paraID>50B9CE81</paraID>
      <start>40</start>
      <end>42</end>
      <status>unmodified</status>
      <modifiedWord/>
      <trackRevisions>false</trackRevisions>
    </reviewItem>
    <reviewItem>
      <errorID>c5caf656-0a4f-4901-88f2-3702866c9906</errorID>
      <errorWord>现代化环境治理体系</errorWord>
      <group>L1_Political</group>
      <groupName>政治性问题</groupName>
      <ability>L2_Keyword</ability>
      <abilityName>固定表述</abilityName>
      <candidateList>
        <item>现代环境治理体系</item>
      </candidateList>
      <explain>词汇“现代环境治理体系”在特定场景下为固定表述形式，请确认此处的“现代化环境治理体系”是否存在不当。</explain>
      <paraID>50B9CE81</paraID>
      <start>67</start>
      <end>76</end>
      <status>unmodified</status>
      <modifiedWord/>
      <trackRevisions>false</trackRevisions>
    </reviewItem>
    <reviewItem>
      <errorID>371872ee-15d9-44c3-a843-cf5c2938f4c5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3C9256D5</paraID>
      <start>57</start>
      <end>58</end>
      <status>unmodified</status>
      <modifiedWord/>
      <trackRevisions>false</trackRevisions>
    </reviewItem>
    <reviewItem>
      <errorID>07cbaeb7-2b6e-4fc5-b3ad-e0992ee22ae4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3C9256D5</paraID>
      <start>118</start>
      <end>119</end>
      <status>unmodified</status>
      <modifiedWord/>
      <trackRevisions>false</trackRevisions>
    </reviewItem>
    <reviewItem>
      <errorID>7233db2b-a8ff-45a9-b82f-1f6f8ec3aa99</errorID>
      <errorWord>改善</errorWord>
      <group>L1_Grammar</group>
      <groupName>语法问题</groupName>
      <ability>L2_Grammar</ability>
      <abilityName>语法错误</abilityName>
      <candidateList>
        <item>缓解</item>
      </candidateList>
      <explain>“改善～压力”搭配不当，建议修改为“缓解～压力”。</explain>
      <paraID>551A0AEF</paraID>
      <start>40</start>
      <end>42</end>
      <status>unmodified</status>
      <modifiedWord/>
      <trackRevisions>false</trackRevisions>
    </reviewItem>
    <reviewItem>
      <errorID>e5c775f0-6fb3-4ee6-9e3d-8d5597d6813d</errorID>
      <errorWord>环保基础设施建设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词汇“环境基础设施建设”在特定场景下为固定表述形式，请确认此处的“环保基础设施建设”是否存在不当。</explain>
      <paraID>551A0AEF</paraID>
      <start>123</start>
      <end>131</end>
      <status>unmodified</status>
      <modifiedWord/>
      <trackRevisions>false</trackRevisions>
    </reviewItem>
    <reviewItem>
      <errorID>4f1eb49d-2f22-4243-af11-58e60157b2c2</errorID>
      <errorWord>环保基础设施建设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词汇“环境基础设施建设”在特定场景下为固定表述形式，请确认此处的“环保基础设施建设”是否存在不当。</explain>
      <paraID>63225FB1</paraID>
      <start>55</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df4ade-dbb6-42ed-823e-8f3f1c3011d9}">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21451</Words>
  <Characters>22548</Characters>
  <Lines>0</Lines>
  <Paragraphs>0</Paragraphs>
  <TotalTime>1</TotalTime>
  <ScaleCrop>false</ScaleCrop>
  <LinksUpToDate>false</LinksUpToDate>
  <CharactersWithSpaces>22635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2026-03-04T05:11:00Z</dcterms:created>
  <dc:creator>世界一级棒的周工</dc:creator>
  <cp:lastModifiedBy>Ballet</cp:lastModifiedBy>
  <dcterms:modified xsi:type="dcterms:W3CDTF">2026-07-10T01:44:55Z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218ADA3DD0F5425884FB5384A45C5C83_13</vt:lpwstr>
  </property>
  <property fmtid="{D5CDD505-2E9C-101B-9397-08002B2CF9AE}" pid="4" name="KSOTemplateDocerSaveRecord">
    <vt:lpwstr>eyJoZGlkIjoiZDcxZjNhM2JjNWEyOTM3MmM5MDkyNjc0MTRkYzVhNTIiLCJ1c2VySWQiOiIyMjAxMzY4MzEifQ==</vt:lpwstr>
  </property>
</Properties>
</file>