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keepLines/>
        <w:spacing w:after="280" w:line="560" w:lineRule="exact"/>
        <w:ind w:left="1807" w:hanging="1807" w:hangingChars="500"/>
        <w:jc w:val="both"/>
        <w:rPr>
          <w:rFonts w:ascii="Times New Roman" w:hAnsi="Times New Roman" w:eastAsia="黑体" w:cs="Times New Roman"/>
          <w:b/>
          <w:bCs/>
          <w:sz w:val="36"/>
          <w:szCs w:val="36"/>
        </w:rPr>
      </w:pPr>
      <w:bookmarkStart w:id="0" w:name="bookmark40"/>
      <w:bookmarkStart w:id="1" w:name="bookmark39"/>
      <w:bookmarkStart w:id="2" w:name="bookmark38"/>
      <w:r>
        <w:rPr>
          <w:rFonts w:hint="eastAsia" w:ascii="方正小标宋简体" w:hAnsi="方正小标宋简体" w:eastAsia="方正小标宋简体" w:cs="方正小标宋简体"/>
          <w:b/>
          <w:bCs/>
          <w:sz w:val="36"/>
          <w:szCs w:val="36"/>
          <w:lang w:val="en-US" w:eastAsia="zh-CN"/>
        </w:rPr>
        <w:t>武汉临空港经济技术开发区机电产业建设管理办公室</w:t>
      </w:r>
      <w:bookmarkEnd w:id="0"/>
      <w:bookmarkEnd w:id="1"/>
      <w:bookmarkEnd w:id="2"/>
      <w:r>
        <w:rPr>
          <w:rFonts w:hint="eastAsia" w:ascii="方正小标宋简体" w:hAnsi="方正小标宋简体" w:eastAsia="方正小标宋简体" w:cs="方正小标宋简体"/>
          <w:b/>
          <w:bCs/>
          <w:sz w:val="36"/>
          <w:szCs w:val="36"/>
          <w:lang w:val="en-US" w:eastAsia="zh-CN"/>
        </w:rPr>
        <w:t>2020</w:t>
      </w:r>
      <w:r>
        <w:rPr>
          <w:rFonts w:hint="eastAsia" w:ascii="方正小标宋简体" w:hAnsi="方正小标宋简体" w:eastAsia="方正小标宋简体" w:cs="方正小标宋简体"/>
          <w:b/>
          <w:bCs/>
          <w:sz w:val="36"/>
          <w:szCs w:val="36"/>
        </w:rPr>
        <w:t>年度部门整体绩效自评结果</w:t>
      </w:r>
    </w:p>
    <w:p>
      <w:pPr>
        <w:pStyle w:val="12"/>
        <w:tabs>
          <w:tab w:val="left" w:pos="1116"/>
        </w:tabs>
        <w:spacing w:line="560" w:lineRule="exact"/>
        <w:ind w:firstLine="3724" w:firstLineChars="1164"/>
        <w:jc w:val="both"/>
        <w:rPr>
          <w:rFonts w:ascii="楷体" w:hAnsi="楷体" w:eastAsia="楷体" w:cs="楷体"/>
          <w:sz w:val="32"/>
          <w:szCs w:val="32"/>
          <w:lang w:eastAsia="zh-CN"/>
        </w:rPr>
      </w:pPr>
      <w:bookmarkStart w:id="3" w:name="bookmark41"/>
      <w:r>
        <w:rPr>
          <w:rFonts w:hint="eastAsia" w:ascii="楷体" w:hAnsi="楷体" w:eastAsia="楷体" w:cs="楷体"/>
          <w:sz w:val="32"/>
          <w:szCs w:val="32"/>
          <w:lang w:eastAsia="zh-CN"/>
        </w:rPr>
        <w:t>（摘要版）</w:t>
      </w:r>
    </w:p>
    <w:p>
      <w:pPr>
        <w:pStyle w:val="12"/>
        <w:tabs>
          <w:tab w:val="left" w:pos="1116"/>
        </w:tabs>
        <w:spacing w:line="560" w:lineRule="exact"/>
        <w:ind w:firstLine="3806" w:firstLineChars="1464"/>
        <w:jc w:val="both"/>
        <w:rPr>
          <w:rFonts w:ascii="Times New Roman" w:hAnsi="Times New Roman" w:cs="Times New Roman"/>
          <w:sz w:val="26"/>
          <w:szCs w:val="26"/>
          <w:lang w:eastAsia="zh-CN"/>
        </w:rPr>
      </w:pPr>
    </w:p>
    <w:bookmarkEnd w:id="3"/>
    <w:p>
      <w:pPr>
        <w:pStyle w:val="12"/>
        <w:tabs>
          <w:tab w:val="left" w:pos="1116"/>
        </w:tabs>
        <w:spacing w:line="560" w:lineRule="exact"/>
        <w:ind w:firstLine="643" w:firstLineChars="200"/>
        <w:jc w:val="both"/>
        <w:rPr>
          <w:rFonts w:ascii="黑体" w:hAnsi="黑体" w:eastAsia="黑体" w:cs="黑体"/>
          <w:b/>
          <w:bCs/>
          <w:sz w:val="32"/>
          <w:szCs w:val="32"/>
        </w:rPr>
      </w:pPr>
      <w:r>
        <w:rPr>
          <w:rFonts w:hint="eastAsia" w:ascii="黑体" w:hAnsi="黑体" w:eastAsia="黑体" w:cs="黑体"/>
          <w:b/>
          <w:bCs/>
          <w:sz w:val="32"/>
          <w:szCs w:val="32"/>
          <w:lang w:val="en-US" w:eastAsia="zh-CN"/>
        </w:rPr>
        <w:t>1</w:t>
      </w:r>
      <w:r>
        <w:rPr>
          <w:rFonts w:hint="eastAsia" w:ascii="黑体" w:hAnsi="黑体" w:eastAsia="黑体" w:cs="黑体"/>
          <w:b/>
          <w:bCs/>
          <w:sz w:val="32"/>
          <w:szCs w:val="32"/>
        </w:rPr>
        <w:t>自评结论</w:t>
      </w:r>
      <w:bookmarkStart w:id="9" w:name="_GoBack"/>
      <w:bookmarkEnd w:id="9"/>
    </w:p>
    <w:p>
      <w:pPr>
        <w:pStyle w:val="12"/>
        <w:tabs>
          <w:tab w:val="left" w:pos="1418"/>
          <w:tab w:val="left" w:pos="7216"/>
          <w:tab w:val="left" w:pos="7302"/>
        </w:tabs>
        <w:spacing w:line="560" w:lineRule="exact"/>
        <w:ind w:firstLine="640" w:firstLineChars="200"/>
        <w:rPr>
          <w:rFonts w:ascii="楷体" w:hAnsi="楷体" w:eastAsia="楷体" w:cs="楷体"/>
          <w:sz w:val="32"/>
          <w:szCs w:val="32"/>
          <w:lang w:eastAsia="zh-CN"/>
        </w:rPr>
      </w:pPr>
      <w:r>
        <w:rPr>
          <w:rFonts w:hint="eastAsia" w:ascii="楷体" w:hAnsi="楷体" w:eastAsia="楷体" w:cs="楷体"/>
          <w:sz w:val="32"/>
          <w:szCs w:val="32"/>
          <w:lang w:val="en-US" w:eastAsia="zh-CN"/>
        </w:rPr>
        <w:t>1.1</w:t>
      </w:r>
      <w:r>
        <w:rPr>
          <w:rFonts w:hint="eastAsia" w:ascii="楷体" w:hAnsi="楷体" w:eastAsia="楷体" w:cs="楷体"/>
          <w:sz w:val="32"/>
          <w:szCs w:val="32"/>
          <w:lang w:eastAsia="zh-CN"/>
        </w:rPr>
        <w:t>自评得分</w:t>
      </w:r>
    </w:p>
    <w:tbl>
      <w:tblPr>
        <w:tblStyle w:val="6"/>
        <w:tblW w:w="4997" w:type="pct"/>
        <w:tblInd w:w="0" w:type="dxa"/>
        <w:tblLayout w:type="autofit"/>
        <w:tblCellMar>
          <w:top w:w="0" w:type="dxa"/>
          <w:left w:w="108" w:type="dxa"/>
          <w:bottom w:w="0" w:type="dxa"/>
          <w:right w:w="108" w:type="dxa"/>
        </w:tblCellMar>
      </w:tblPr>
      <w:tblGrid>
        <w:gridCol w:w="2236"/>
        <w:gridCol w:w="1705"/>
        <w:gridCol w:w="1705"/>
        <w:gridCol w:w="1705"/>
        <w:gridCol w:w="1705"/>
      </w:tblGrid>
      <w:tr>
        <w:tblPrEx>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评价项目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权重</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评级分值</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本项得分</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得分率</w:t>
            </w:r>
          </w:p>
        </w:tc>
      </w:tr>
      <w:tr>
        <w:tblPrEx>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预算执行情况</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20%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20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17.87</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89.35%</w:t>
            </w:r>
          </w:p>
        </w:tc>
      </w:tr>
      <w:tr>
        <w:tblPrEx>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lang w:eastAsia="zh-CN"/>
              </w:rPr>
            </w:pPr>
            <w:r>
              <w:rPr>
                <w:rFonts w:hint="eastAsia" w:ascii="楷体" w:hAnsi="楷体" w:eastAsia="楷体" w:cs="楷体"/>
                <w:sz w:val="18"/>
                <w:szCs w:val="18"/>
                <w:lang w:eastAsia="zh-CN"/>
              </w:rPr>
              <w:t>年度目标一</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40%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40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35</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87.50%</w:t>
            </w:r>
          </w:p>
        </w:tc>
      </w:tr>
      <w:tr>
        <w:tblPrEx>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年度目标二</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20%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20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20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100%</w:t>
            </w:r>
          </w:p>
        </w:tc>
      </w:tr>
      <w:tr>
        <w:tblPrEx>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年度目标三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20%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20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20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100%</w:t>
            </w:r>
          </w:p>
        </w:tc>
      </w:tr>
      <w:tr>
        <w:tblPrEx>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综合绩效</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100%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100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92.87</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60" w:lineRule="exact"/>
              <w:jc w:val="center"/>
              <w:textAlignment w:val="center"/>
              <w:rPr>
                <w:rFonts w:ascii="楷体" w:hAnsi="楷体" w:eastAsia="楷体" w:cs="楷体"/>
                <w:sz w:val="18"/>
                <w:szCs w:val="18"/>
              </w:rPr>
            </w:pPr>
            <w:r>
              <w:rPr>
                <w:rFonts w:hint="eastAsia" w:ascii="楷体" w:hAnsi="楷体" w:eastAsia="楷体" w:cs="楷体"/>
                <w:sz w:val="18"/>
                <w:szCs w:val="18"/>
                <w:lang w:eastAsia="zh-CN"/>
              </w:rPr>
              <w:t>92.87%</w:t>
            </w:r>
          </w:p>
        </w:tc>
      </w:tr>
    </w:tbl>
    <w:p>
      <w:pPr>
        <w:pStyle w:val="12"/>
        <w:tabs>
          <w:tab w:val="left" w:pos="1418"/>
          <w:tab w:val="left" w:pos="7216"/>
          <w:tab w:val="left" w:pos="7302"/>
        </w:tabs>
        <w:spacing w:line="560" w:lineRule="exact"/>
        <w:ind w:firstLine="640" w:firstLineChars="200"/>
        <w:rPr>
          <w:rFonts w:ascii="楷体" w:hAnsi="楷体" w:eastAsia="楷体" w:cs="楷体"/>
          <w:sz w:val="32"/>
          <w:szCs w:val="32"/>
          <w:lang w:eastAsia="zh-CN"/>
        </w:rPr>
      </w:pPr>
      <w:r>
        <w:rPr>
          <w:rFonts w:hint="eastAsia" w:ascii="楷体" w:hAnsi="楷体" w:eastAsia="楷体" w:cs="楷体"/>
          <w:sz w:val="32"/>
          <w:szCs w:val="32"/>
          <w:lang w:val="en-US" w:eastAsia="zh-CN"/>
        </w:rPr>
        <w:t>1.2</w:t>
      </w:r>
      <w:r>
        <w:rPr>
          <w:rFonts w:ascii="楷体" w:hAnsi="楷体" w:eastAsia="楷体" w:cs="楷体"/>
          <w:sz w:val="32"/>
          <w:szCs w:val="32"/>
          <w:lang w:eastAsia="zh-CN"/>
        </w:rPr>
        <w:t>绩效目标完成情况</w:t>
      </w:r>
      <w:bookmarkStart w:id="4" w:name="bookmark44"/>
      <w:bookmarkEnd w:id="4"/>
    </w:p>
    <w:p>
      <w:pPr>
        <w:pStyle w:val="12"/>
        <w:tabs>
          <w:tab w:val="left" w:pos="927"/>
        </w:tabs>
        <w:spacing w:line="560" w:lineRule="exact"/>
        <w:ind w:firstLine="640" w:firstLineChars="200"/>
        <w:rPr>
          <w:rFonts w:ascii="仿宋" w:hAnsi="仿宋" w:eastAsia="仿宋" w:cs="仿宋"/>
          <w:color w:val="FF0000"/>
          <w:sz w:val="32"/>
          <w:szCs w:val="32"/>
          <w:lang w:val="en-US" w:eastAsia="zh-CN"/>
        </w:rPr>
      </w:pPr>
      <w:r>
        <w:rPr>
          <w:rFonts w:hint="eastAsia" w:ascii="仿宋" w:hAnsi="仿宋" w:eastAsia="仿宋" w:cs="仿宋"/>
          <w:sz w:val="32"/>
          <w:szCs w:val="32"/>
          <w:lang w:val="en-US" w:eastAsia="zh-CN"/>
        </w:rPr>
        <w:t>2020年度</w:t>
      </w:r>
      <w:r>
        <w:rPr>
          <w:rFonts w:hint="eastAsia" w:ascii="仿宋" w:hAnsi="仿宋" w:eastAsia="仿宋" w:cs="仿宋"/>
          <w:sz w:val="32"/>
          <w:szCs w:val="32"/>
          <w:lang w:eastAsia="zh-CN"/>
        </w:rPr>
        <w:t>部门整体支出</w:t>
      </w:r>
      <w:r>
        <w:rPr>
          <w:rFonts w:hint="eastAsia" w:ascii="仿宋" w:hAnsi="仿宋" w:eastAsia="仿宋" w:cs="仿宋"/>
          <w:sz w:val="32"/>
          <w:szCs w:val="32"/>
          <w:lang w:val="en-US" w:eastAsia="zh-CN"/>
        </w:rPr>
        <w:t>预算总额96,962.07万元，执行数86,626.79万元，</w:t>
      </w:r>
      <w:r>
        <w:rPr>
          <w:rFonts w:hint="eastAsia" w:ascii="仿宋" w:hAnsi="仿宋" w:eastAsia="仿宋" w:cs="仿宋"/>
          <w:sz w:val="32"/>
          <w:szCs w:val="32"/>
          <w:lang w:eastAsia="zh-CN"/>
        </w:rPr>
        <w:t>部门整体支出执行率为</w:t>
      </w:r>
      <w:r>
        <w:rPr>
          <w:rFonts w:hint="eastAsia" w:ascii="仿宋" w:hAnsi="仿宋" w:eastAsia="仿宋" w:cs="仿宋"/>
          <w:sz w:val="32"/>
          <w:szCs w:val="32"/>
          <w:lang w:val="en-US" w:eastAsia="zh-CN"/>
        </w:rPr>
        <w:t>89.34%，部门整体支出的绩效指标完成情况良好</w:t>
      </w:r>
      <w:bookmarkStart w:id="5" w:name="bookmark45"/>
      <w:bookmarkEnd w:id="5"/>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部门整体支出共设置</w:t>
      </w:r>
      <w:r>
        <w:rPr>
          <w:rFonts w:hint="eastAsia" w:ascii="仿宋" w:hAnsi="仿宋" w:eastAsia="仿宋" w:cs="仿宋"/>
          <w:sz w:val="32"/>
          <w:szCs w:val="32"/>
          <w:lang w:val="en-US" w:eastAsia="zh-CN"/>
        </w:rPr>
        <w:t>18个绩效指标（年度目标一8个绩效指标，年度目标二4个绩效指标，年度目标三6个绩效指标），完成了17个，</w:t>
      </w:r>
      <w:r>
        <w:rPr>
          <w:rFonts w:hint="eastAsia" w:ascii="仿宋" w:hAnsi="仿宋" w:eastAsia="仿宋" w:cs="仿宋"/>
          <w:color w:val="auto"/>
          <w:sz w:val="32"/>
          <w:szCs w:val="32"/>
          <w:lang w:val="en-US" w:eastAsia="zh-CN"/>
        </w:rPr>
        <w:t>年度目标1数量指标中“主要经济指标完成情况”部分达到预期指标。</w:t>
      </w:r>
      <w:r>
        <w:rPr>
          <w:rFonts w:hint="eastAsia" w:ascii="仿宋" w:hAnsi="仿宋" w:eastAsia="仿宋" w:cs="仿宋"/>
          <w:sz w:val="32"/>
          <w:szCs w:val="32"/>
          <w:lang w:val="en-US" w:eastAsia="zh-CN"/>
        </w:rPr>
        <w:t>资金使用规范，项目产出较好，并取得良好社会效益</w:t>
      </w:r>
      <w:bookmarkStart w:id="6" w:name="bookmark46"/>
      <w:bookmarkEnd w:id="6"/>
      <w:r>
        <w:rPr>
          <w:rFonts w:hint="eastAsia" w:ascii="仿宋" w:hAnsi="仿宋" w:eastAsia="仿宋" w:cs="仿宋"/>
          <w:sz w:val="32"/>
          <w:szCs w:val="32"/>
          <w:lang w:val="en-US" w:eastAsia="zh-CN"/>
        </w:rPr>
        <w:t>。</w:t>
      </w:r>
    </w:p>
    <w:p>
      <w:pPr>
        <w:pStyle w:val="12"/>
        <w:tabs>
          <w:tab w:val="left" w:pos="1418"/>
          <w:tab w:val="left" w:pos="7216"/>
          <w:tab w:val="left" w:pos="7302"/>
        </w:tabs>
        <w:spacing w:line="560" w:lineRule="exact"/>
        <w:ind w:firstLine="640" w:firstLineChars="200"/>
        <w:rPr>
          <w:rFonts w:ascii="楷体" w:hAnsi="楷体" w:eastAsia="楷体" w:cs="楷体"/>
          <w:sz w:val="32"/>
          <w:szCs w:val="32"/>
          <w:lang w:val="en-US" w:eastAsia="zh-CN"/>
        </w:rPr>
      </w:pPr>
      <w:r>
        <w:rPr>
          <w:rFonts w:hint="eastAsia" w:ascii="楷体" w:hAnsi="楷体" w:eastAsia="楷体" w:cs="楷体"/>
          <w:sz w:val="32"/>
          <w:szCs w:val="32"/>
          <w:lang w:val="en-US" w:eastAsia="zh-CN"/>
        </w:rPr>
        <w:t>1.3存在的问题和原因</w:t>
      </w:r>
    </w:p>
    <w:p>
      <w:pPr>
        <w:pStyle w:val="12"/>
        <w:tabs>
          <w:tab w:val="left" w:pos="927"/>
        </w:tabs>
        <w:spacing w:line="560" w:lineRule="exact"/>
        <w:ind w:firstLine="640" w:firstLineChars="200"/>
        <w:rPr>
          <w:rFonts w:ascii="仿宋" w:hAnsi="仿宋" w:eastAsia="仿宋" w:cs="仿宋"/>
          <w:sz w:val="32"/>
          <w:szCs w:val="32"/>
          <w:lang w:val="en-US" w:eastAsia="zh-CN"/>
        </w:rPr>
      </w:pPr>
      <w:r>
        <w:rPr>
          <w:rFonts w:hint="eastAsia" w:ascii="仿宋" w:hAnsi="仿宋" w:eastAsia="仿宋" w:cs="仿宋"/>
          <w:color w:val="auto"/>
          <w:sz w:val="32"/>
          <w:szCs w:val="32"/>
          <w:lang w:val="en-US" w:eastAsia="zh-CN"/>
        </w:rPr>
        <w:t>受疫情冲击部门整体支出中</w:t>
      </w:r>
      <w:r>
        <w:rPr>
          <w:rFonts w:hint="eastAsia" w:ascii="仿宋" w:hAnsi="仿宋" w:eastAsia="仿宋" w:cs="仿宋"/>
          <w:color w:val="auto"/>
          <w:sz w:val="32"/>
          <w:szCs w:val="32"/>
          <w:lang w:eastAsia="zh-CN"/>
        </w:rPr>
        <w:t>个别指标值未完成，如</w:t>
      </w:r>
      <w:r>
        <w:rPr>
          <w:rFonts w:hint="eastAsia" w:ascii="仿宋" w:hAnsi="仿宋" w:eastAsia="仿宋" w:cs="仿宋"/>
          <w:color w:val="auto"/>
          <w:sz w:val="32"/>
          <w:szCs w:val="32"/>
          <w:lang w:val="en-US" w:eastAsia="zh-CN"/>
        </w:rPr>
        <w:t>年度目标1数量指标中“主要经济指标完成情况”部分达到预期指标；</w:t>
      </w:r>
      <w:r>
        <w:rPr>
          <w:rFonts w:hint="eastAsia" w:ascii="仿宋" w:hAnsi="仿宋" w:eastAsia="仿宋" w:cs="仿宋"/>
          <w:sz w:val="32"/>
          <w:szCs w:val="32"/>
          <w:lang w:eastAsia="zh-CN"/>
        </w:rPr>
        <w:t>绩效管理制度有待提高，佐证绩效目标实现的基础资料的存档及绩效跟踪考评方面尚需进一步增强。</w:t>
      </w:r>
    </w:p>
    <w:p>
      <w:pPr>
        <w:pStyle w:val="12"/>
        <w:tabs>
          <w:tab w:val="left" w:pos="1418"/>
          <w:tab w:val="left" w:pos="7216"/>
          <w:tab w:val="left" w:pos="7302"/>
        </w:tabs>
        <w:spacing w:line="560" w:lineRule="exact"/>
        <w:ind w:firstLine="640" w:firstLineChars="200"/>
        <w:rPr>
          <w:rFonts w:ascii="楷体" w:hAnsi="楷体" w:eastAsia="楷体" w:cs="楷体"/>
          <w:sz w:val="32"/>
          <w:szCs w:val="32"/>
          <w:lang w:val="en-US" w:eastAsia="zh-CN"/>
        </w:rPr>
      </w:pPr>
      <w:r>
        <w:rPr>
          <w:rFonts w:hint="eastAsia" w:ascii="楷体" w:hAnsi="楷体" w:eastAsia="楷体" w:cs="楷体"/>
          <w:sz w:val="32"/>
          <w:szCs w:val="32"/>
          <w:lang w:val="en-US" w:eastAsia="zh-CN"/>
        </w:rPr>
        <w:t>1.4下一步拟改进措施及拟与预算安排相结合情况</w:t>
      </w:r>
    </w:p>
    <w:p>
      <w:pPr>
        <w:pStyle w:val="12"/>
        <w:tabs>
          <w:tab w:val="left" w:pos="1418"/>
          <w:tab w:val="left" w:pos="7216"/>
          <w:tab w:val="left" w:pos="7302"/>
        </w:tabs>
        <w:spacing w:line="560" w:lineRule="exact"/>
        <w:ind w:firstLine="640" w:firstLineChars="200"/>
        <w:rPr>
          <w:rFonts w:ascii="楷体" w:hAnsi="楷体" w:eastAsia="楷体" w:cs="楷体"/>
          <w:sz w:val="32"/>
          <w:szCs w:val="32"/>
          <w:lang w:val="en-US" w:eastAsia="zh-CN"/>
        </w:rPr>
      </w:pPr>
      <w:r>
        <w:rPr>
          <w:rFonts w:hint="eastAsia" w:ascii="楷体" w:hAnsi="楷体" w:eastAsia="楷体" w:cs="楷体"/>
          <w:sz w:val="32"/>
          <w:szCs w:val="32"/>
          <w:lang w:val="en-US" w:eastAsia="zh-CN"/>
        </w:rPr>
        <w:t>1.4.1下一步拟改进措施</w:t>
      </w:r>
    </w:p>
    <w:p>
      <w:pPr>
        <w:pStyle w:val="12"/>
        <w:tabs>
          <w:tab w:val="left" w:pos="1426"/>
        </w:tabs>
        <w:spacing w:line="560" w:lineRule="exact"/>
        <w:ind w:firstLine="640" w:firstLineChars="200"/>
        <w:rPr>
          <w:rFonts w:ascii="仿宋" w:hAnsi="仿宋" w:eastAsia="仿宋" w:cs="仿宋"/>
          <w:sz w:val="32"/>
          <w:szCs w:val="32"/>
          <w:lang w:val="en-US" w:eastAsia="zh-CN"/>
        </w:rPr>
      </w:pPr>
      <w:r>
        <w:rPr>
          <w:rFonts w:hint="eastAsia" w:ascii="仿宋" w:hAnsi="仿宋" w:eastAsia="仿宋" w:cs="仿宋"/>
          <w:sz w:val="32"/>
          <w:szCs w:val="32"/>
          <w:lang w:val="en-US" w:eastAsia="zh-CN"/>
        </w:rPr>
        <w:t>建立健全绩效指标体系，根据本项目特点，优先选择最能反映绩效管理要求的关键性指标。以往年指标值为基础，结合申报当年项目情况合理设定指标值，进一步完善预算支出责任制度，原则上，相同指标的指标值设置应当较上年完成情况有所提升。</w:t>
      </w:r>
    </w:p>
    <w:p>
      <w:pPr>
        <w:pStyle w:val="12"/>
        <w:tabs>
          <w:tab w:val="left" w:pos="942"/>
        </w:tabs>
        <w:spacing w:line="560" w:lineRule="exact"/>
        <w:ind w:firstLine="640" w:firstLineChars="200"/>
        <w:rPr>
          <w:rFonts w:ascii="仿宋" w:hAnsi="仿宋" w:eastAsia="仿宋" w:cs="仿宋"/>
          <w:sz w:val="32"/>
          <w:szCs w:val="32"/>
          <w:lang w:eastAsia="zh-CN"/>
        </w:rPr>
      </w:pPr>
      <w:bookmarkStart w:id="7" w:name="bookmark50"/>
      <w:bookmarkEnd w:id="7"/>
      <w:bookmarkStart w:id="8" w:name="bookmark49"/>
      <w:bookmarkEnd w:id="8"/>
      <w:r>
        <w:rPr>
          <w:rFonts w:hint="eastAsia" w:ascii="仿宋" w:hAnsi="仿宋" w:eastAsia="仿宋" w:cs="仿宋"/>
          <w:sz w:val="32"/>
          <w:szCs w:val="32"/>
          <w:lang w:eastAsia="zh-CN"/>
        </w:rPr>
        <w:t>提高预算绩效管理意识，统一预算编制科目与会计核算科目一致，以便加强预算执行分析，强化财务监控及预算刚性约束，完善绩效考评制度；提高全员项目绩效考核意识，建立日常跟踪及考评机制，加强内部监督考评。</w:t>
      </w:r>
    </w:p>
    <w:p>
      <w:pPr>
        <w:pStyle w:val="12"/>
        <w:tabs>
          <w:tab w:val="left" w:pos="942"/>
        </w:tabs>
        <w:spacing w:line="560" w:lineRule="exact"/>
        <w:ind w:firstLine="640" w:firstLineChars="200"/>
        <w:rPr>
          <w:rFonts w:ascii="仿宋" w:hAnsi="仿宋" w:eastAsia="仿宋" w:cs="仿宋"/>
          <w:sz w:val="32"/>
          <w:szCs w:val="32"/>
          <w:lang w:eastAsia="zh-CN"/>
        </w:rPr>
      </w:pPr>
      <w:r>
        <w:rPr>
          <w:rFonts w:hint="eastAsia" w:ascii="仿宋" w:hAnsi="仿宋" w:eastAsia="仿宋" w:cs="仿宋"/>
          <w:sz w:val="32"/>
          <w:szCs w:val="32"/>
          <w:lang w:eastAsia="zh-CN"/>
        </w:rPr>
        <w:t>组织辖区企业积极参与疫情的防控管理，做到安全有序地复工复产，我们围绕绩效目标，做好招商引资、项目推进、企业服务等中心工作，各项工作均取得较好进展。</w:t>
      </w:r>
    </w:p>
    <w:p>
      <w:pPr>
        <w:pStyle w:val="12"/>
        <w:tabs>
          <w:tab w:val="left" w:pos="1418"/>
          <w:tab w:val="left" w:pos="7216"/>
          <w:tab w:val="left" w:pos="7302"/>
        </w:tabs>
        <w:spacing w:line="560" w:lineRule="exact"/>
        <w:ind w:firstLine="640" w:firstLineChars="200"/>
        <w:rPr>
          <w:rFonts w:ascii="楷体" w:hAnsi="楷体" w:eastAsia="楷体" w:cs="楷体"/>
          <w:sz w:val="32"/>
          <w:szCs w:val="32"/>
          <w:lang w:val="en-US" w:eastAsia="zh-CN"/>
        </w:rPr>
      </w:pPr>
      <w:r>
        <w:rPr>
          <w:rFonts w:hint="eastAsia" w:ascii="楷体" w:hAnsi="楷体" w:eastAsia="楷体" w:cs="楷体"/>
          <w:sz w:val="32"/>
          <w:szCs w:val="32"/>
          <w:lang w:val="en-US" w:eastAsia="zh-CN"/>
        </w:rPr>
        <w:t>1.4.2拟与预算安排相结合情况</w:t>
      </w:r>
    </w:p>
    <w:p>
      <w:pPr>
        <w:pStyle w:val="12"/>
        <w:tabs>
          <w:tab w:val="left" w:pos="942"/>
        </w:tabs>
        <w:spacing w:line="560" w:lineRule="exact"/>
        <w:ind w:firstLine="640" w:firstLineChars="200"/>
        <w:rPr>
          <w:rFonts w:ascii="仿宋" w:hAnsi="仿宋" w:eastAsia="仿宋" w:cs="仿宋"/>
          <w:sz w:val="32"/>
          <w:szCs w:val="32"/>
          <w:lang w:val="en-US" w:eastAsia="zh-CN"/>
        </w:rPr>
      </w:pPr>
      <w:r>
        <w:rPr>
          <w:rFonts w:hint="eastAsia" w:ascii="仿宋" w:hAnsi="仿宋" w:eastAsia="仿宋" w:cs="仿宋"/>
          <w:sz w:val="32"/>
          <w:szCs w:val="32"/>
          <w:lang w:eastAsia="zh-CN"/>
        </w:rPr>
        <w:t>武汉临空港经济开发区机电产业办建设管理办公室</w:t>
      </w:r>
      <w:r>
        <w:rPr>
          <w:rFonts w:hint="eastAsia" w:ascii="仿宋" w:hAnsi="仿宋" w:eastAsia="仿宋" w:cs="仿宋"/>
          <w:sz w:val="32"/>
          <w:szCs w:val="32"/>
          <w:lang w:val="en-US" w:eastAsia="zh-CN"/>
        </w:rPr>
        <w:t>2020年度</w:t>
      </w:r>
      <w:r>
        <w:rPr>
          <w:rFonts w:hint="eastAsia" w:ascii="仿宋" w:hAnsi="仿宋" w:eastAsia="仿宋" w:cs="仿宋"/>
          <w:sz w:val="32"/>
          <w:szCs w:val="32"/>
          <w:lang w:eastAsia="zh-CN"/>
        </w:rPr>
        <w:t>预算数</w:t>
      </w:r>
      <w:r>
        <w:rPr>
          <w:rFonts w:hint="eastAsia" w:ascii="仿宋" w:hAnsi="仿宋" w:eastAsia="仿宋" w:cs="仿宋"/>
          <w:sz w:val="32"/>
          <w:szCs w:val="32"/>
          <w:lang w:val="en-US" w:eastAsia="zh-CN"/>
        </w:rPr>
        <w:t>98,274.32万元（其中：财政拨款收入97,493.32万元，其他资金781万元），较上年减少18,829.25万元。</w:t>
      </w:r>
    </w:p>
    <w:p>
      <w:pPr>
        <w:pStyle w:val="12"/>
        <w:tabs>
          <w:tab w:val="left" w:pos="942"/>
        </w:tabs>
        <w:spacing w:line="560" w:lineRule="exact"/>
        <w:ind w:firstLine="640" w:firstLineChars="200"/>
        <w:rPr>
          <w:rFonts w:ascii="仿宋" w:hAnsi="仿宋" w:eastAsia="仿宋" w:cs="仿宋"/>
          <w:sz w:val="32"/>
          <w:szCs w:val="32"/>
          <w:lang w:val="en-US" w:eastAsia="zh-CN"/>
        </w:rPr>
      </w:pPr>
      <w:r>
        <w:rPr>
          <w:rFonts w:hint="eastAsia" w:ascii="仿宋" w:hAnsi="仿宋" w:eastAsia="仿宋" w:cs="仿宋"/>
          <w:sz w:val="32"/>
          <w:szCs w:val="32"/>
          <w:lang w:val="en-US" w:eastAsia="zh-CN"/>
        </w:rPr>
        <w:t>2020年度基本支出预算数1,502.62万元（人员经费1,262.86万元，公用经费239.76万元），较上年增加17.05万元。2020年上半年受疫情影响，本单位公用经费减少，故财政部门对本单位的预算收入进行了调整，调整后的2020年度基本支出预算数1,470.37万元。</w:t>
      </w:r>
    </w:p>
    <w:p>
      <w:pPr>
        <w:pStyle w:val="12"/>
        <w:tabs>
          <w:tab w:val="left" w:pos="942"/>
        </w:tabs>
        <w:spacing w:line="560" w:lineRule="exact"/>
        <w:ind w:firstLine="640" w:firstLineChars="200"/>
        <w:rPr>
          <w:rFonts w:ascii="仿宋" w:hAnsi="仿宋" w:eastAsia="仿宋" w:cs="仿宋"/>
          <w:sz w:val="32"/>
          <w:szCs w:val="32"/>
          <w:lang w:val="en-US" w:eastAsia="zh-CN"/>
        </w:rPr>
      </w:pPr>
      <w:r>
        <w:rPr>
          <w:rFonts w:hint="eastAsia" w:ascii="仿宋" w:hAnsi="仿宋" w:eastAsia="仿宋" w:cs="仿宋"/>
          <w:sz w:val="32"/>
          <w:szCs w:val="32"/>
          <w:lang w:val="en-US" w:eastAsia="zh-CN"/>
        </w:rPr>
        <w:t>2020年度项目支出预算数96,771.70万元（对企业的补助项目预算数92,740.70万元，扶贫支出项目预算数60万元，基础设施建设预算数556万元，应急资金项目预算数200万元，招商引资经费预算数80万元，招商引资专项资金预算数3,000万元，政府购买服务预算数135万元），较上年减少18,846.30万元。因受疫情影响以及税收政策的调整，财政部门对本单位的预算收入进行了调整，调整后的2020年度项目支出预算95,491.70万元。</w:t>
      </w:r>
    </w:p>
    <w:p>
      <w:pPr>
        <w:pStyle w:val="12"/>
        <w:spacing w:line="560" w:lineRule="exact"/>
        <w:ind w:firstLine="540"/>
        <w:rPr>
          <w:rFonts w:ascii="仿宋" w:hAnsi="仿宋" w:eastAsia="仿宋" w:cs="仿宋"/>
          <w:sz w:val="32"/>
          <w:szCs w:val="32"/>
        </w:rPr>
      </w:pPr>
      <w:r>
        <w:rPr>
          <w:rFonts w:hint="eastAsia" w:ascii="仿宋" w:hAnsi="仿宋" w:eastAsia="仿宋" w:cs="仿宋"/>
          <w:sz w:val="32"/>
          <w:szCs w:val="32"/>
        </w:rPr>
        <w:t>附件：</w:t>
      </w:r>
      <w:r>
        <w:rPr>
          <w:rFonts w:hint="eastAsia" w:ascii="仿宋" w:hAnsi="仿宋" w:eastAsia="仿宋" w:cs="仿宋"/>
          <w:sz w:val="32"/>
          <w:szCs w:val="32"/>
          <w:lang w:val="en-US" w:eastAsia="zh-CN"/>
        </w:rPr>
        <w:t>2020</w:t>
      </w:r>
      <w:r>
        <w:rPr>
          <w:rFonts w:hint="eastAsia" w:ascii="仿宋" w:hAnsi="仿宋" w:eastAsia="仿宋" w:cs="仿宋"/>
          <w:sz w:val="32"/>
          <w:szCs w:val="32"/>
        </w:rPr>
        <w:t>年度</w:t>
      </w:r>
      <w:r>
        <w:rPr>
          <w:rFonts w:hint="eastAsia" w:ascii="仿宋" w:hAnsi="仿宋" w:eastAsia="仿宋" w:cs="仿宋"/>
          <w:sz w:val="32"/>
          <w:szCs w:val="32"/>
          <w:lang w:eastAsia="zh-CN"/>
        </w:rPr>
        <w:t>部门整体支出绩效</w:t>
      </w:r>
      <w:r>
        <w:rPr>
          <w:rFonts w:hint="eastAsia" w:ascii="仿宋" w:hAnsi="仿宋" w:eastAsia="仿宋" w:cs="仿宋"/>
          <w:sz w:val="32"/>
          <w:szCs w:val="32"/>
        </w:rPr>
        <w:t>自评表（附后）</w:t>
      </w:r>
    </w:p>
    <w:p>
      <w:pPr>
        <w:pStyle w:val="12"/>
        <w:tabs>
          <w:tab w:val="left" w:pos="927"/>
        </w:tabs>
        <w:spacing w:line="560" w:lineRule="exact"/>
        <w:ind w:firstLine="640" w:firstLineChars="200"/>
        <w:rPr>
          <w:rFonts w:ascii="仿宋" w:hAnsi="仿宋" w:eastAsia="仿宋" w:cs="仿宋"/>
          <w:sz w:val="32"/>
          <w:szCs w:val="32"/>
          <w:lang w:val="en-US" w:eastAsia="zh-CN"/>
        </w:rPr>
      </w:pPr>
    </w:p>
    <w:p>
      <w:pPr>
        <w:pStyle w:val="12"/>
        <w:tabs>
          <w:tab w:val="left" w:pos="927"/>
        </w:tabs>
        <w:spacing w:line="560" w:lineRule="exact"/>
        <w:ind w:left="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单位主要负责人签批意见：</w:t>
      </w:r>
    </w:p>
    <w:sectPr>
      <w:footerReference r:id="rId3" w:type="default"/>
      <w:type w:val="continuous"/>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_x0000_s3073" o:spid="_x0000_s3073"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t xml:space="preserve"> —</w:t>
                </w:r>
              </w:p>
            </w:txbxContent>
          </v:textbox>
        </v:shape>
      </w:pict>
    </w:r>
  </w:p>
  <w:p>
    <w:pPr>
      <w:spacing w:line="1" w:lineRule="exac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12286"/>
    <w:rsid w:val="001D72D0"/>
    <w:rsid w:val="005E6807"/>
    <w:rsid w:val="006470E2"/>
    <w:rsid w:val="0072542A"/>
    <w:rsid w:val="00A12286"/>
    <w:rsid w:val="00B705C1"/>
    <w:rsid w:val="04AC16D1"/>
    <w:rsid w:val="06795CFD"/>
    <w:rsid w:val="06E91769"/>
    <w:rsid w:val="06FB3479"/>
    <w:rsid w:val="0745211E"/>
    <w:rsid w:val="0BFC6D21"/>
    <w:rsid w:val="0D99316E"/>
    <w:rsid w:val="10F442F7"/>
    <w:rsid w:val="120608CA"/>
    <w:rsid w:val="1569488D"/>
    <w:rsid w:val="18052E7B"/>
    <w:rsid w:val="1B5051A1"/>
    <w:rsid w:val="1B671E60"/>
    <w:rsid w:val="1BE9257C"/>
    <w:rsid w:val="1D0D4E9C"/>
    <w:rsid w:val="1F15553C"/>
    <w:rsid w:val="28787C06"/>
    <w:rsid w:val="29330669"/>
    <w:rsid w:val="350E05D4"/>
    <w:rsid w:val="36FE067F"/>
    <w:rsid w:val="3D7110D0"/>
    <w:rsid w:val="3F644749"/>
    <w:rsid w:val="410A7AED"/>
    <w:rsid w:val="434A13C8"/>
    <w:rsid w:val="447C6DA3"/>
    <w:rsid w:val="47C74F7A"/>
    <w:rsid w:val="4BF633A9"/>
    <w:rsid w:val="4F9065B1"/>
    <w:rsid w:val="50081561"/>
    <w:rsid w:val="50A05F95"/>
    <w:rsid w:val="51E72693"/>
    <w:rsid w:val="54BF1160"/>
    <w:rsid w:val="55152371"/>
    <w:rsid w:val="55E70A52"/>
    <w:rsid w:val="5DEF6349"/>
    <w:rsid w:val="60062D41"/>
    <w:rsid w:val="64271461"/>
    <w:rsid w:val="65234660"/>
    <w:rsid w:val="68F8515F"/>
    <w:rsid w:val="69B807BE"/>
    <w:rsid w:val="6AC82FEB"/>
    <w:rsid w:val="6B8C34FB"/>
    <w:rsid w:val="77D3075A"/>
    <w:rsid w:val="7A81594B"/>
    <w:rsid w:val="7C5943AB"/>
    <w:rsid w:val="7D004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仿宋" w:hAnsi="仿宋" w:eastAsia="仿宋" w:cs="仿宋"/>
      <w:sz w:val="32"/>
      <w:szCs w:val="32"/>
      <w:lang w:val="zh-CN" w:eastAsia="zh-CN" w:bidi="zh-CN"/>
    </w:rPr>
  </w:style>
  <w:style w:type="paragraph" w:styleId="3">
    <w:name w:val="footer"/>
    <w:basedOn w:val="1"/>
    <w:link w:val="17"/>
    <w:qFormat/>
    <w:uiPriority w:val="99"/>
    <w:pPr>
      <w:tabs>
        <w:tab w:val="center" w:pos="4153"/>
        <w:tab w:val="right" w:pos="8306"/>
      </w:tabs>
      <w:snapToGrid w:val="0"/>
    </w:pPr>
    <w:rPr>
      <w:sz w:val="18"/>
      <w:szCs w:val="18"/>
    </w:rPr>
  </w:style>
  <w:style w:type="paragraph" w:styleId="4">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pPr>
    <w:rPr>
      <w:rFonts w:ascii="宋体" w:hAnsi="宋体" w:cs="宋体"/>
    </w:rPr>
  </w:style>
  <w:style w:type="character" w:styleId="8">
    <w:name w:val="Strong"/>
    <w:basedOn w:val="7"/>
    <w:qFormat/>
    <w:uiPriority w:val="22"/>
    <w:rPr>
      <w:b/>
      <w:bCs/>
    </w:rPr>
  </w:style>
  <w:style w:type="paragraph" w:customStyle="1" w:styleId="9">
    <w:name w:val="Body text|4"/>
    <w:basedOn w:val="1"/>
    <w:qFormat/>
    <w:uiPriority w:val="0"/>
    <w:pPr>
      <w:spacing w:after="210" w:line="518" w:lineRule="exact"/>
    </w:pPr>
    <w:rPr>
      <w:sz w:val="26"/>
      <w:szCs w:val="26"/>
      <w:lang w:val="zh-TW" w:eastAsia="zh-TW" w:bidi="zh-TW"/>
    </w:rPr>
  </w:style>
  <w:style w:type="paragraph" w:customStyle="1" w:styleId="10">
    <w:name w:val="Heading #2|1"/>
    <w:basedOn w:val="1"/>
    <w:qFormat/>
    <w:uiPriority w:val="0"/>
    <w:pPr>
      <w:spacing w:after="680" w:line="698" w:lineRule="exact"/>
      <w:jc w:val="center"/>
      <w:outlineLvl w:val="1"/>
    </w:pPr>
    <w:rPr>
      <w:rFonts w:ascii="宋体" w:hAnsi="宋体" w:eastAsia="宋体" w:cs="宋体"/>
      <w:sz w:val="42"/>
      <w:szCs w:val="42"/>
      <w:lang w:val="zh-TW" w:eastAsia="zh-TW" w:bidi="zh-TW"/>
    </w:rPr>
  </w:style>
  <w:style w:type="paragraph" w:customStyle="1" w:styleId="11">
    <w:name w:val="Body text|2"/>
    <w:basedOn w:val="1"/>
    <w:qFormat/>
    <w:uiPriority w:val="0"/>
    <w:pPr>
      <w:spacing w:line="312" w:lineRule="exact"/>
      <w:ind w:firstLine="460"/>
    </w:pPr>
    <w:rPr>
      <w:rFonts w:ascii="宋体" w:hAnsi="宋体" w:eastAsia="宋体" w:cs="宋体"/>
      <w:sz w:val="20"/>
      <w:szCs w:val="20"/>
      <w:lang w:val="zh-TW" w:eastAsia="zh-TW" w:bidi="zh-TW"/>
    </w:rPr>
  </w:style>
  <w:style w:type="paragraph" w:customStyle="1" w:styleId="12">
    <w:name w:val="Body text|1"/>
    <w:basedOn w:val="1"/>
    <w:qFormat/>
    <w:uiPriority w:val="0"/>
    <w:pPr>
      <w:spacing w:line="420" w:lineRule="auto"/>
      <w:ind w:firstLine="400"/>
    </w:pPr>
    <w:rPr>
      <w:rFonts w:ascii="宋体" w:hAnsi="宋体" w:eastAsia="宋体" w:cs="宋体"/>
      <w:sz w:val="28"/>
      <w:szCs w:val="28"/>
      <w:lang w:val="zh-TW" w:eastAsia="zh-TW" w:bidi="zh-TW"/>
    </w:rPr>
  </w:style>
  <w:style w:type="paragraph" w:customStyle="1" w:styleId="13">
    <w:name w:val="Header or footer|1"/>
    <w:basedOn w:val="1"/>
    <w:qFormat/>
    <w:uiPriority w:val="0"/>
    <w:rPr>
      <w:sz w:val="26"/>
      <w:szCs w:val="26"/>
      <w:lang w:val="zh-TW" w:eastAsia="zh-TW" w:bidi="zh-TW"/>
    </w:rPr>
  </w:style>
  <w:style w:type="character" w:customStyle="1" w:styleId="14">
    <w:name w:val="font21"/>
    <w:basedOn w:val="7"/>
    <w:qFormat/>
    <w:uiPriority w:val="0"/>
    <w:rPr>
      <w:rFonts w:hint="eastAsia" w:ascii="宋体" w:hAnsi="宋体" w:eastAsia="宋体" w:cs="宋体"/>
      <w:color w:val="000000"/>
      <w:sz w:val="20"/>
      <w:szCs w:val="20"/>
      <w:u w:val="none"/>
    </w:rPr>
  </w:style>
  <w:style w:type="character" w:customStyle="1" w:styleId="15">
    <w:name w:val="font11"/>
    <w:basedOn w:val="7"/>
    <w:qFormat/>
    <w:uiPriority w:val="0"/>
    <w:rPr>
      <w:rFonts w:hint="default" w:ascii="Times New Roman" w:hAnsi="Times New Roman" w:cs="Times New Roman"/>
      <w:color w:val="000000"/>
      <w:sz w:val="20"/>
      <w:szCs w:val="20"/>
      <w:u w:val="none"/>
    </w:rPr>
  </w:style>
  <w:style w:type="character" w:customStyle="1" w:styleId="16">
    <w:name w:val="页眉 Char"/>
    <w:basedOn w:val="7"/>
    <w:link w:val="4"/>
    <w:qFormat/>
    <w:uiPriority w:val="0"/>
    <w:rPr>
      <w:rFonts w:eastAsia="Times New Roman"/>
      <w:color w:val="000000"/>
      <w:sz w:val="18"/>
      <w:szCs w:val="18"/>
      <w:lang w:eastAsia="en-US" w:bidi="en-US"/>
    </w:rPr>
  </w:style>
  <w:style w:type="character" w:customStyle="1" w:styleId="17">
    <w:name w:val="页脚 Char"/>
    <w:basedOn w:val="7"/>
    <w:link w:val="3"/>
    <w:qFormat/>
    <w:uiPriority w:val="99"/>
    <w:rPr>
      <w:rFonts w:eastAsia="Times New Roman"/>
      <w:color w:val="000000"/>
      <w:sz w:val="18"/>
      <w:szCs w:val="18"/>
      <w:lang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880</Words>
  <Characters>5018</Characters>
  <Lines>41</Lines>
  <Paragraphs>11</Paragraphs>
  <TotalTime>40</TotalTime>
  <ScaleCrop>false</ScaleCrop>
  <LinksUpToDate>false</LinksUpToDate>
  <CharactersWithSpaces>5887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Coco</cp:lastModifiedBy>
  <dcterms:modified xsi:type="dcterms:W3CDTF">2021-05-31T02:21:13Z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639E0DA5A9E646AE8B99C27429FFF1CF</vt:lpwstr>
  </property>
</Properties>
</file>