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keepLines/>
        <w:pageBreakBefore w:val="0"/>
        <w:widowControl w:val="0"/>
        <w:shd w:val="clear" w:color="auto" w:fill="auto"/>
        <w:kinsoku/>
        <w:wordWrap/>
        <w:overflowPunct/>
        <w:topLinePunct w:val="0"/>
        <w:autoSpaceDE/>
        <w:autoSpaceDN/>
        <w:bidi w:val="0"/>
        <w:adjustRightInd/>
        <w:snapToGrid/>
        <w:spacing w:before="0" w:after="280" w:line="560" w:lineRule="exact"/>
        <w:ind w:left="1144" w:right="0" w:hanging="1084" w:hangingChars="300"/>
        <w:jc w:val="both"/>
        <w:rPr>
          <w:rFonts w:hint="default" w:ascii="Times New Roman" w:hAnsi="Times New Roman" w:eastAsia="黑体" w:cs="Times New Roman"/>
          <w:b/>
          <w:bCs/>
          <w:sz w:val="36"/>
          <w:szCs w:val="36"/>
        </w:rPr>
      </w:pPr>
      <w:bookmarkStart w:id="0" w:name="bookmark39"/>
      <w:bookmarkStart w:id="1" w:name="bookmark38"/>
      <w:bookmarkStart w:id="2" w:name="bookmark40"/>
      <w:r>
        <w:rPr>
          <w:rFonts w:hint="default" w:ascii="Times New Roman" w:hAnsi="Times New Roman" w:eastAsia="方正小标宋简体" w:cs="Times New Roman"/>
          <w:b/>
          <w:bCs/>
          <w:color w:val="000000"/>
          <w:spacing w:val="0"/>
          <w:w w:val="100"/>
          <w:position w:val="0"/>
          <w:sz w:val="36"/>
          <w:szCs w:val="36"/>
          <w:highlight w:val="none"/>
          <w:lang w:val="en-US" w:eastAsia="zh-CN"/>
        </w:rPr>
        <w:t>武汉临空港经济技术开发区机电产业建设管理办公室</w:t>
      </w:r>
      <w:r>
        <w:rPr>
          <w:rFonts w:hint="default" w:ascii="Times New Roman" w:hAnsi="Times New Roman" w:eastAsia="方正小标宋简体" w:cs="Times New Roman"/>
          <w:b/>
          <w:bCs/>
          <w:color w:val="000000"/>
          <w:spacing w:val="0"/>
          <w:w w:val="100"/>
          <w:position w:val="0"/>
          <w:sz w:val="36"/>
          <w:szCs w:val="36"/>
          <w:lang w:val="en-US" w:eastAsia="zh-CN"/>
        </w:rPr>
        <w:t>2020</w:t>
      </w:r>
      <w:r>
        <w:rPr>
          <w:rFonts w:hint="default" w:ascii="Times New Roman" w:hAnsi="Times New Roman" w:eastAsia="方正小标宋简体" w:cs="Times New Roman"/>
          <w:b/>
          <w:bCs/>
          <w:color w:val="000000"/>
          <w:spacing w:val="0"/>
          <w:w w:val="100"/>
          <w:position w:val="0"/>
          <w:sz w:val="36"/>
          <w:szCs w:val="36"/>
        </w:rPr>
        <w:t>年度</w:t>
      </w:r>
      <w:r>
        <w:rPr>
          <w:rFonts w:hint="default" w:ascii="Times New Roman" w:hAnsi="Times New Roman" w:eastAsia="方正小标宋简体" w:cs="Times New Roman"/>
          <w:b/>
          <w:bCs/>
          <w:color w:val="000000"/>
          <w:spacing w:val="0"/>
          <w:w w:val="100"/>
          <w:position w:val="0"/>
          <w:sz w:val="36"/>
          <w:szCs w:val="36"/>
          <w:lang w:eastAsia="zh-CN"/>
        </w:rPr>
        <w:t>招商引资专项资金</w:t>
      </w:r>
      <w:r>
        <w:rPr>
          <w:rFonts w:hint="default" w:ascii="Times New Roman" w:hAnsi="Times New Roman" w:eastAsia="方正小标宋简体" w:cs="Times New Roman"/>
          <w:b/>
          <w:bCs/>
          <w:color w:val="000000"/>
          <w:spacing w:val="0"/>
          <w:w w:val="100"/>
          <w:position w:val="0"/>
          <w:sz w:val="36"/>
          <w:szCs w:val="36"/>
        </w:rPr>
        <w:t>项目自评结果</w:t>
      </w:r>
      <w:bookmarkEnd w:id="0"/>
      <w:bookmarkEnd w:id="1"/>
      <w:bookmarkEnd w:id="2"/>
    </w:p>
    <w:p>
      <w:pPr>
        <w:pStyle w:val="12"/>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exact"/>
        <w:ind w:right="0" w:firstLine="3724" w:firstLineChars="1164"/>
        <w:jc w:val="both"/>
        <w:rPr>
          <w:rFonts w:hint="default" w:ascii="Times New Roman" w:hAnsi="Times New Roman" w:eastAsia="楷体" w:cs="Times New Roman"/>
          <w:color w:val="000000"/>
          <w:spacing w:val="0"/>
          <w:w w:val="100"/>
          <w:position w:val="0"/>
          <w:sz w:val="32"/>
          <w:szCs w:val="32"/>
          <w:lang w:eastAsia="zh-CN"/>
        </w:rPr>
      </w:pPr>
      <w:bookmarkStart w:id="3" w:name="bookmark41"/>
      <w:r>
        <w:rPr>
          <w:rFonts w:hint="default" w:ascii="Times New Roman" w:hAnsi="Times New Roman" w:eastAsia="楷体" w:cs="Times New Roman"/>
          <w:color w:val="000000"/>
          <w:spacing w:val="0"/>
          <w:w w:val="100"/>
          <w:position w:val="0"/>
          <w:sz w:val="32"/>
          <w:szCs w:val="32"/>
          <w:lang w:eastAsia="zh-CN"/>
        </w:rPr>
        <w:t>（缩略版）</w:t>
      </w:r>
    </w:p>
    <w:p>
      <w:pPr>
        <w:pStyle w:val="12"/>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exact"/>
        <w:ind w:right="0" w:firstLine="3806" w:firstLineChars="1464"/>
        <w:jc w:val="both"/>
        <w:rPr>
          <w:rFonts w:hint="default" w:ascii="Times New Roman" w:hAnsi="Times New Roman" w:cs="Times New Roman"/>
          <w:color w:val="000000"/>
          <w:spacing w:val="0"/>
          <w:w w:val="100"/>
          <w:position w:val="0"/>
          <w:sz w:val="26"/>
          <w:szCs w:val="26"/>
          <w:lang w:eastAsia="zh-CN"/>
        </w:rPr>
      </w:pPr>
    </w:p>
    <w:bookmarkEnd w:id="3"/>
    <w:p>
      <w:pPr>
        <w:pStyle w:val="12"/>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exact"/>
        <w:ind w:left="0" w:leftChars="0" w:right="0" w:firstLine="321" w:firstLineChars="100"/>
        <w:jc w:val="both"/>
        <w:rPr>
          <w:rFonts w:hint="default" w:ascii="Times New Roman" w:hAnsi="Times New Roman" w:eastAsia="黑体" w:cs="Times New Roman"/>
          <w:b/>
          <w:bCs/>
          <w:sz w:val="32"/>
          <w:szCs w:val="32"/>
        </w:rPr>
      </w:pPr>
      <w:r>
        <w:rPr>
          <w:rFonts w:hint="default" w:ascii="Times New Roman" w:hAnsi="Times New Roman" w:eastAsia="黑体" w:cs="Times New Roman"/>
          <w:b/>
          <w:bCs/>
          <w:color w:val="000000"/>
          <w:spacing w:val="0"/>
          <w:w w:val="100"/>
          <w:position w:val="0"/>
          <w:sz w:val="32"/>
          <w:szCs w:val="32"/>
          <w:lang w:val="en-US" w:eastAsia="zh-CN"/>
        </w:rPr>
        <w:t>1</w:t>
      </w:r>
      <w:r>
        <w:rPr>
          <w:rFonts w:hint="default" w:ascii="Times New Roman" w:hAnsi="Times New Roman" w:eastAsia="黑体" w:cs="Times New Roman"/>
          <w:b/>
          <w:bCs/>
          <w:color w:val="000000"/>
          <w:spacing w:val="0"/>
          <w:w w:val="100"/>
          <w:position w:val="0"/>
          <w:sz w:val="32"/>
          <w:szCs w:val="32"/>
        </w:rPr>
        <w:t>自评结论</w:t>
      </w:r>
    </w:p>
    <w:p>
      <w:pPr>
        <w:pStyle w:val="12"/>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right="0"/>
        <w:jc w:val="left"/>
        <w:rPr>
          <w:rFonts w:hint="default" w:ascii="Times New Roman" w:hAnsi="Times New Roman" w:eastAsia="楷体" w:cs="Times New Roman"/>
          <w:color w:val="000000"/>
          <w:spacing w:val="0"/>
          <w:w w:val="100"/>
          <w:position w:val="0"/>
          <w:sz w:val="32"/>
          <w:szCs w:val="32"/>
          <w:lang w:eastAsia="zh-CN"/>
        </w:rPr>
      </w:pPr>
      <w:r>
        <w:rPr>
          <w:rFonts w:hint="default" w:ascii="Times New Roman" w:hAnsi="Times New Roman" w:eastAsia="楷体" w:cs="Times New Roman"/>
          <w:color w:val="000000"/>
          <w:spacing w:val="0"/>
          <w:w w:val="100"/>
          <w:position w:val="0"/>
          <w:sz w:val="32"/>
          <w:szCs w:val="32"/>
          <w:lang w:val="en-US" w:eastAsia="zh-CN"/>
        </w:rPr>
        <w:t>1.1</w:t>
      </w:r>
      <w:r>
        <w:rPr>
          <w:rFonts w:hint="default" w:ascii="Times New Roman" w:hAnsi="Times New Roman" w:eastAsia="楷体" w:cs="Times New Roman"/>
          <w:color w:val="000000"/>
          <w:spacing w:val="0"/>
          <w:w w:val="100"/>
          <w:position w:val="0"/>
          <w:sz w:val="32"/>
          <w:szCs w:val="32"/>
          <w:lang w:eastAsia="zh-CN"/>
        </w:rPr>
        <w:t>自评得分</w:t>
      </w:r>
    </w:p>
    <w:tbl>
      <w:tblPr>
        <w:tblStyle w:val="6"/>
        <w:tblW w:w="4997" w:type="pct"/>
        <w:tblInd w:w="0" w:type="dxa"/>
        <w:shd w:val="clear" w:color="auto" w:fill="auto"/>
        <w:tblLayout w:type="autofit"/>
        <w:tblCellMar>
          <w:top w:w="0" w:type="dxa"/>
          <w:left w:w="108" w:type="dxa"/>
          <w:bottom w:w="0" w:type="dxa"/>
          <w:right w:w="108" w:type="dxa"/>
        </w:tblCellMar>
      </w:tblPr>
      <w:tblGrid>
        <w:gridCol w:w="2234"/>
        <w:gridCol w:w="1705"/>
        <w:gridCol w:w="1705"/>
        <w:gridCol w:w="1706"/>
        <w:gridCol w:w="1706"/>
      </w:tblGrid>
      <w:tr>
        <w:tblPrEx>
          <w:shd w:val="clear" w:color="auto" w:fill="auto"/>
          <w:tblCellMar>
            <w:top w:w="0" w:type="dxa"/>
            <w:left w:w="108" w:type="dxa"/>
            <w:bottom w:w="0" w:type="dxa"/>
            <w:right w:w="108" w:type="dxa"/>
          </w:tblCellMar>
        </w:tblPrEx>
        <w:trPr>
          <w:trHeight w:val="400" w:hRule="atLeast"/>
        </w:trPr>
        <w:tc>
          <w:tcPr>
            <w:tcW w:w="1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评价项目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权重</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评级分值</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本项得分</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得分率</w:t>
            </w:r>
          </w:p>
        </w:tc>
      </w:tr>
      <w:tr>
        <w:tblPrEx>
          <w:tblCellMar>
            <w:top w:w="0" w:type="dxa"/>
            <w:left w:w="108" w:type="dxa"/>
            <w:bottom w:w="0" w:type="dxa"/>
            <w:right w:w="108" w:type="dxa"/>
          </w:tblCellMar>
        </w:tblPrEx>
        <w:trPr>
          <w:trHeight w:val="400" w:hRule="atLeast"/>
        </w:trPr>
        <w:tc>
          <w:tcPr>
            <w:tcW w:w="1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预算执行情况</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lang w:val="en-US"/>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17.17</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85.85%</w:t>
            </w:r>
          </w:p>
        </w:tc>
      </w:tr>
      <w:tr>
        <w:tblPrEx>
          <w:tblCellMar>
            <w:top w:w="0" w:type="dxa"/>
            <w:left w:w="108" w:type="dxa"/>
            <w:bottom w:w="0" w:type="dxa"/>
            <w:right w:w="108" w:type="dxa"/>
          </w:tblCellMar>
        </w:tblPrEx>
        <w:trPr>
          <w:trHeight w:val="400" w:hRule="atLeast"/>
        </w:trPr>
        <w:tc>
          <w:tcPr>
            <w:tcW w:w="1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项目产出</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40%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40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lang w:val="en-US"/>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30.69</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76.72%</w:t>
            </w:r>
          </w:p>
        </w:tc>
      </w:tr>
      <w:tr>
        <w:tblPrEx>
          <w:tblCellMar>
            <w:top w:w="0" w:type="dxa"/>
            <w:left w:w="108" w:type="dxa"/>
            <w:bottom w:w="0" w:type="dxa"/>
            <w:right w:w="108" w:type="dxa"/>
          </w:tblCellMar>
        </w:tblPrEx>
        <w:trPr>
          <w:trHeight w:val="400" w:hRule="atLeast"/>
        </w:trPr>
        <w:tc>
          <w:tcPr>
            <w:tcW w:w="1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项目效益</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30%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30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30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100%</w:t>
            </w:r>
          </w:p>
        </w:tc>
      </w:tr>
      <w:tr>
        <w:tblPrEx>
          <w:tblCellMar>
            <w:top w:w="0" w:type="dxa"/>
            <w:left w:w="108" w:type="dxa"/>
            <w:bottom w:w="0" w:type="dxa"/>
            <w:right w:w="108" w:type="dxa"/>
          </w:tblCellMar>
        </w:tblPrEx>
        <w:trPr>
          <w:trHeight w:val="400" w:hRule="atLeast"/>
        </w:trPr>
        <w:tc>
          <w:tcPr>
            <w:tcW w:w="1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项目满意度</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100%</w:t>
            </w:r>
          </w:p>
        </w:tc>
      </w:tr>
      <w:tr>
        <w:tblPrEx>
          <w:tblCellMar>
            <w:top w:w="0" w:type="dxa"/>
            <w:left w:w="108" w:type="dxa"/>
            <w:bottom w:w="0" w:type="dxa"/>
            <w:right w:w="108" w:type="dxa"/>
          </w:tblCellMar>
        </w:tblPrEx>
        <w:trPr>
          <w:trHeight w:val="400" w:hRule="atLeast"/>
        </w:trPr>
        <w:tc>
          <w:tcPr>
            <w:tcW w:w="1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综合绩效</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lang w:val="en-US"/>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87.</w:t>
            </w:r>
            <w:r>
              <w:rPr>
                <w:rFonts w:hint="eastAsia" w:eastAsia="楷体" w:cs="Times New Roman"/>
                <w:i w:val="0"/>
                <w:iCs w:val="0"/>
                <w:color w:val="000000"/>
                <w:spacing w:val="0"/>
                <w:w w:val="100"/>
                <w:kern w:val="0"/>
                <w:position w:val="0"/>
                <w:sz w:val="18"/>
                <w:szCs w:val="18"/>
                <w:u w:val="none"/>
                <w:shd w:val="clear" w:color="auto" w:fill="auto"/>
                <w:lang w:val="en-US" w:eastAsia="zh-CN" w:bidi="ar"/>
              </w:rPr>
              <w:t>86</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87.86%</w:t>
            </w:r>
          </w:p>
        </w:tc>
      </w:tr>
    </w:tbl>
    <w:p>
      <w:pPr>
        <w:pStyle w:val="12"/>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rPr>
          <w:rFonts w:hint="default" w:ascii="Times New Roman" w:hAnsi="Times New Roman" w:eastAsia="楷体" w:cs="Times New Roman"/>
          <w:color w:val="000000"/>
          <w:spacing w:val="0"/>
          <w:w w:val="100"/>
          <w:position w:val="0"/>
          <w:sz w:val="32"/>
          <w:szCs w:val="32"/>
        </w:rPr>
      </w:pPr>
      <w:r>
        <w:rPr>
          <w:rFonts w:hint="default" w:ascii="Times New Roman" w:hAnsi="Times New Roman" w:eastAsia="楷体" w:cs="Times New Roman"/>
          <w:color w:val="000000"/>
          <w:spacing w:val="0"/>
          <w:w w:val="100"/>
          <w:position w:val="0"/>
          <w:sz w:val="32"/>
          <w:szCs w:val="32"/>
          <w:lang w:val="en-US" w:eastAsia="zh-CN"/>
        </w:rPr>
        <w:t>1.2</w:t>
      </w:r>
      <w:r>
        <w:rPr>
          <w:rFonts w:hint="default" w:ascii="Times New Roman" w:hAnsi="Times New Roman" w:eastAsia="楷体" w:cs="Times New Roman"/>
          <w:color w:val="000000"/>
          <w:spacing w:val="0"/>
          <w:w w:val="100"/>
          <w:position w:val="0"/>
          <w:sz w:val="32"/>
          <w:szCs w:val="32"/>
        </w:rPr>
        <w:t>绩效目标完成情况</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highlight w:val="none"/>
          <w:lang w:val="en-US" w:eastAsia="zh-CN"/>
        </w:rPr>
      </w:pPr>
      <w:bookmarkStart w:id="4" w:name="bookmark44"/>
      <w:bookmarkEnd w:id="4"/>
      <w:r>
        <w:rPr>
          <w:rFonts w:hint="default" w:ascii="Times New Roman" w:hAnsi="Times New Roman" w:eastAsia="仿宋" w:cs="Times New Roman"/>
          <w:color w:val="000000"/>
          <w:spacing w:val="0"/>
          <w:w w:val="100"/>
          <w:position w:val="0"/>
          <w:sz w:val="32"/>
          <w:szCs w:val="32"/>
          <w:lang w:val="en-US" w:eastAsia="zh-CN"/>
        </w:rPr>
        <w:t>2020年度本项目预算总额1,650万元，执行数1,416</w:t>
      </w:r>
      <w:r>
        <w:rPr>
          <w:rFonts w:hint="eastAsia" w:ascii="Times New Roman" w:hAnsi="Times New Roman" w:eastAsia="仿宋" w:cs="Times New Roman"/>
          <w:color w:val="000000"/>
          <w:spacing w:val="0"/>
          <w:w w:val="100"/>
          <w:position w:val="0"/>
          <w:sz w:val="32"/>
          <w:szCs w:val="32"/>
          <w:lang w:val="en-US" w:eastAsia="zh-CN"/>
        </w:rPr>
        <w:t>.23</w:t>
      </w:r>
      <w:r>
        <w:rPr>
          <w:rFonts w:hint="default" w:ascii="Times New Roman" w:hAnsi="Times New Roman" w:eastAsia="仿宋" w:cs="Times New Roman"/>
          <w:color w:val="000000"/>
          <w:spacing w:val="0"/>
          <w:w w:val="100"/>
          <w:position w:val="0"/>
          <w:sz w:val="32"/>
          <w:szCs w:val="32"/>
          <w:lang w:val="en-US" w:eastAsia="zh-CN"/>
        </w:rPr>
        <w:t>万元，资金执行率85.83%，项目资金执行情况良好</w:t>
      </w:r>
      <w:bookmarkStart w:id="5" w:name="bookmark45"/>
      <w:bookmarkEnd w:id="5"/>
      <w:r>
        <w:rPr>
          <w:rFonts w:hint="default" w:ascii="Times New Roman" w:hAnsi="Times New Roman" w:eastAsia="仿宋" w:cs="Times New Roman"/>
          <w:color w:val="000000"/>
          <w:spacing w:val="0"/>
          <w:w w:val="100"/>
          <w:position w:val="0"/>
          <w:sz w:val="32"/>
          <w:szCs w:val="32"/>
          <w:lang w:val="en-US" w:eastAsia="zh-CN"/>
        </w:rPr>
        <w:t>；本</w:t>
      </w:r>
      <w:r>
        <w:rPr>
          <w:rFonts w:hint="default" w:ascii="Times New Roman" w:hAnsi="Times New Roman" w:eastAsia="仿宋" w:cs="Times New Roman"/>
          <w:color w:val="000000"/>
          <w:spacing w:val="0"/>
          <w:w w:val="100"/>
          <w:position w:val="0"/>
          <w:sz w:val="32"/>
          <w:szCs w:val="32"/>
          <w:highlight w:val="none"/>
          <w:lang w:eastAsia="zh-CN"/>
        </w:rPr>
        <w:t>项目共设置</w:t>
      </w:r>
      <w:r>
        <w:rPr>
          <w:rFonts w:hint="default" w:ascii="Times New Roman" w:hAnsi="Times New Roman" w:eastAsia="仿宋" w:cs="Times New Roman"/>
          <w:color w:val="000000"/>
          <w:spacing w:val="0"/>
          <w:w w:val="100"/>
          <w:position w:val="0"/>
          <w:sz w:val="32"/>
          <w:szCs w:val="32"/>
          <w:highlight w:val="none"/>
          <w:lang w:val="en-US" w:eastAsia="zh-CN"/>
        </w:rPr>
        <w:t>6个绩效指标，完成了5个。资金使用规范，项目产出较好，并取得良好社会效益</w:t>
      </w:r>
      <w:bookmarkStart w:id="6" w:name="bookmark46"/>
      <w:bookmarkEnd w:id="6"/>
      <w:r>
        <w:rPr>
          <w:rFonts w:hint="default" w:ascii="Times New Roman" w:hAnsi="Times New Roman" w:eastAsia="仿宋" w:cs="Times New Roman"/>
          <w:color w:val="000000"/>
          <w:spacing w:val="0"/>
          <w:w w:val="100"/>
          <w:position w:val="0"/>
          <w:sz w:val="32"/>
          <w:szCs w:val="32"/>
          <w:highlight w:val="none"/>
          <w:lang w:val="en-US" w:eastAsia="zh-CN"/>
        </w:rPr>
        <w:t>；</w:t>
      </w:r>
      <w:r>
        <w:rPr>
          <w:rFonts w:hint="eastAsia" w:ascii="Times New Roman" w:hAnsi="Times New Roman" w:eastAsia="仿宋" w:cs="Times New Roman"/>
          <w:color w:val="000000"/>
          <w:spacing w:val="0"/>
          <w:w w:val="100"/>
          <w:position w:val="0"/>
          <w:sz w:val="32"/>
          <w:szCs w:val="32"/>
          <w:highlight w:val="none"/>
          <w:lang w:val="en-US" w:eastAsia="zh-CN"/>
        </w:rPr>
        <w:t>数量指标中</w:t>
      </w:r>
      <w:r>
        <w:rPr>
          <w:rFonts w:hint="default" w:ascii="Times New Roman" w:hAnsi="Times New Roman" w:eastAsia="仿宋" w:cs="Times New Roman"/>
          <w:color w:val="000000"/>
          <w:spacing w:val="0"/>
          <w:w w:val="100"/>
          <w:position w:val="0"/>
          <w:sz w:val="32"/>
          <w:szCs w:val="32"/>
          <w:highlight w:val="none"/>
          <w:lang w:val="en-US" w:eastAsia="zh-CN"/>
        </w:rPr>
        <w:t>落实</w:t>
      </w:r>
      <w:r>
        <w:rPr>
          <w:rFonts w:hint="default" w:ascii="Times New Roman" w:hAnsi="Times New Roman" w:eastAsia="仿宋" w:cs="Times New Roman"/>
          <w:color w:val="000000"/>
          <w:spacing w:val="0"/>
          <w:w w:val="100"/>
          <w:position w:val="0"/>
          <w:sz w:val="32"/>
          <w:szCs w:val="32"/>
          <w:highlight w:val="none"/>
        </w:rPr>
        <w:t>扶持金</w:t>
      </w:r>
      <w:r>
        <w:rPr>
          <w:rFonts w:hint="eastAsia" w:ascii="Times New Roman" w:hAnsi="Times New Roman" w:eastAsia="仿宋" w:cs="Times New Roman"/>
          <w:color w:val="000000"/>
          <w:spacing w:val="0"/>
          <w:w w:val="100"/>
          <w:position w:val="0"/>
          <w:sz w:val="32"/>
          <w:szCs w:val="32"/>
          <w:highlight w:val="none"/>
          <w:lang w:eastAsia="zh-CN"/>
        </w:rPr>
        <w:t>兑现情况，</w:t>
      </w:r>
      <w:r>
        <w:rPr>
          <w:rFonts w:hint="default" w:ascii="Times New Roman" w:hAnsi="Times New Roman" w:eastAsia="仿宋" w:cs="Times New Roman"/>
          <w:color w:val="000000"/>
          <w:spacing w:val="0"/>
          <w:w w:val="100"/>
          <w:position w:val="0"/>
          <w:sz w:val="32"/>
          <w:szCs w:val="32"/>
          <w:highlight w:val="none"/>
          <w:lang w:val="en-US" w:eastAsia="zh-CN"/>
        </w:rPr>
        <w:t>该指标</w:t>
      </w:r>
      <w:r>
        <w:rPr>
          <w:rFonts w:hint="default" w:ascii="Times New Roman" w:hAnsi="Times New Roman" w:eastAsia="仿宋" w:cs="Times New Roman"/>
          <w:color w:val="000000"/>
          <w:spacing w:val="0"/>
          <w:w w:val="100"/>
          <w:position w:val="0"/>
          <w:sz w:val="32"/>
          <w:szCs w:val="32"/>
          <w:highlight w:val="none"/>
          <w:lang w:eastAsia="zh-CN"/>
        </w:rPr>
        <w:t>未</w:t>
      </w:r>
      <w:r>
        <w:rPr>
          <w:rFonts w:hint="eastAsia" w:ascii="Times New Roman" w:hAnsi="Times New Roman" w:eastAsia="仿宋" w:cs="Times New Roman"/>
          <w:color w:val="000000"/>
          <w:spacing w:val="0"/>
          <w:w w:val="100"/>
          <w:position w:val="0"/>
          <w:sz w:val="32"/>
          <w:szCs w:val="32"/>
          <w:highlight w:val="none"/>
          <w:lang w:eastAsia="zh-CN"/>
        </w:rPr>
        <w:t>全部</w:t>
      </w:r>
      <w:r>
        <w:rPr>
          <w:rFonts w:hint="default" w:ascii="Times New Roman" w:hAnsi="Times New Roman" w:eastAsia="仿宋" w:cs="Times New Roman"/>
          <w:color w:val="000000"/>
          <w:spacing w:val="0"/>
          <w:w w:val="100"/>
          <w:position w:val="0"/>
          <w:sz w:val="32"/>
          <w:szCs w:val="32"/>
          <w:highlight w:val="none"/>
          <w:lang w:eastAsia="zh-CN"/>
        </w:rPr>
        <w:t>完成。</w:t>
      </w:r>
    </w:p>
    <w:p>
      <w:pPr>
        <w:pStyle w:val="12"/>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rPr>
          <w:rFonts w:hint="default" w:ascii="Times New Roman" w:hAnsi="Times New Roman" w:eastAsia="楷体" w:cs="Times New Roman"/>
          <w:color w:val="000000"/>
          <w:spacing w:val="0"/>
          <w:w w:val="100"/>
          <w:position w:val="0"/>
          <w:sz w:val="32"/>
          <w:szCs w:val="32"/>
        </w:rPr>
      </w:pPr>
      <w:r>
        <w:rPr>
          <w:rFonts w:hint="default" w:ascii="Times New Roman" w:hAnsi="Times New Roman" w:eastAsia="楷体" w:cs="Times New Roman"/>
          <w:color w:val="000000"/>
          <w:spacing w:val="0"/>
          <w:w w:val="100"/>
          <w:position w:val="0"/>
          <w:sz w:val="32"/>
          <w:szCs w:val="32"/>
          <w:lang w:val="en-US" w:eastAsia="zh-CN"/>
        </w:rPr>
        <w:t>1.3</w:t>
      </w:r>
      <w:r>
        <w:rPr>
          <w:rFonts w:hint="default" w:ascii="Times New Roman" w:hAnsi="Times New Roman" w:eastAsia="楷体" w:cs="Times New Roman"/>
          <w:color w:val="000000"/>
          <w:spacing w:val="0"/>
          <w:w w:val="100"/>
          <w:position w:val="0"/>
          <w:sz w:val="32"/>
          <w:szCs w:val="32"/>
        </w:rPr>
        <w:t>存在的问题和原因</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个别指标值设定不合理，如数量指标中落实扶持金</w:t>
      </w:r>
      <w:r>
        <w:rPr>
          <w:rFonts w:hint="eastAsia" w:ascii="Times New Roman" w:hAnsi="Times New Roman" w:eastAsia="仿宋" w:cs="Times New Roman"/>
          <w:color w:val="000000"/>
          <w:spacing w:val="0"/>
          <w:w w:val="100"/>
          <w:position w:val="0"/>
          <w:sz w:val="32"/>
          <w:szCs w:val="32"/>
          <w:lang w:val="en-US" w:eastAsia="zh-CN"/>
        </w:rPr>
        <w:t>兑现情况</w:t>
      </w:r>
      <w:r>
        <w:rPr>
          <w:rFonts w:hint="default" w:ascii="Times New Roman" w:hAnsi="Times New Roman" w:eastAsia="仿宋" w:cs="Times New Roman"/>
          <w:color w:val="000000"/>
          <w:spacing w:val="0"/>
          <w:w w:val="100"/>
          <w:position w:val="0"/>
          <w:sz w:val="32"/>
          <w:szCs w:val="32"/>
          <w:lang w:val="en-US" w:eastAsia="zh-CN"/>
        </w:rPr>
        <w:t>绩效目标完成率53.46%，原本拟定落实扶持金的企业有260家，实际落实139家企业，根据2019年底武汉市东西湖区财政局税收政策的调整，故扶持资金实际落实企业数量与原本拟定落实的企业数量有差异</w:t>
      </w:r>
      <w:r>
        <w:rPr>
          <w:rFonts w:hint="eastAsia" w:ascii="Times New Roman" w:hAnsi="Times New Roman" w:eastAsia="仿宋" w:cs="Times New Roman"/>
          <w:color w:val="000000"/>
          <w:spacing w:val="0"/>
          <w:w w:val="100"/>
          <w:position w:val="0"/>
          <w:sz w:val="32"/>
          <w:szCs w:val="32"/>
          <w:lang w:val="en-US" w:eastAsia="zh-CN"/>
        </w:rPr>
        <w:t>；</w:t>
      </w:r>
      <w:r>
        <w:rPr>
          <w:rFonts w:hint="default" w:ascii="Times New Roman" w:hAnsi="Times New Roman" w:eastAsia="仿宋" w:cs="Times New Roman"/>
          <w:color w:val="000000"/>
          <w:spacing w:val="0"/>
          <w:w w:val="100"/>
          <w:position w:val="0"/>
          <w:sz w:val="32"/>
          <w:szCs w:val="32"/>
          <w:lang w:val="en-US" w:eastAsia="zh-CN"/>
        </w:rPr>
        <w:t>绩效管理制度有待完善，绩效考核制度有待落实，工作人员对绩效考评方法缺少了解。</w:t>
      </w:r>
    </w:p>
    <w:p>
      <w:pPr>
        <w:pStyle w:val="12"/>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rPr>
          <w:rFonts w:hint="default" w:ascii="Times New Roman" w:hAnsi="Times New Roman" w:eastAsia="楷体" w:cs="Times New Roman"/>
          <w:color w:val="000000"/>
          <w:spacing w:val="0"/>
          <w:w w:val="100"/>
          <w:position w:val="0"/>
          <w:sz w:val="32"/>
          <w:szCs w:val="32"/>
          <w:lang w:val="en-US" w:eastAsia="zh-CN"/>
        </w:rPr>
      </w:pPr>
      <w:r>
        <w:rPr>
          <w:rFonts w:hint="default" w:ascii="Times New Roman" w:hAnsi="Times New Roman" w:eastAsia="楷体" w:cs="Times New Roman"/>
          <w:color w:val="000000"/>
          <w:spacing w:val="0"/>
          <w:w w:val="100"/>
          <w:position w:val="0"/>
          <w:sz w:val="32"/>
          <w:szCs w:val="32"/>
          <w:lang w:val="en-US" w:eastAsia="zh-CN"/>
        </w:rPr>
        <w:t>1.4下一步拟改进措施</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建立健全绩效指标体系，根据本项目特点，优先选择最能反映绩效管理要求的关键性指标。以往年指标值为基础，结合申报当年项目情况合理设定指标值，进一步完善预算支出责任制度，原则上，相同指标的指标值设置应当较上年完成情况有所提升</w:t>
      </w:r>
      <w:bookmarkStart w:id="7" w:name="bookmark50"/>
      <w:bookmarkEnd w:id="7"/>
      <w:bookmarkStart w:id="8" w:name="bookmark49"/>
      <w:bookmarkEnd w:id="8"/>
      <w:r>
        <w:rPr>
          <w:rFonts w:hint="eastAsia" w:ascii="Times New Roman" w:hAnsi="Times New Roman" w:eastAsia="仿宋" w:cs="Times New Roman"/>
          <w:color w:val="000000"/>
          <w:spacing w:val="0"/>
          <w:w w:val="100"/>
          <w:position w:val="0"/>
          <w:sz w:val="32"/>
          <w:szCs w:val="32"/>
          <w:lang w:val="en-US" w:eastAsia="zh-CN"/>
        </w:rPr>
        <w:t>;</w:t>
      </w:r>
      <w:r>
        <w:rPr>
          <w:rFonts w:hint="default" w:ascii="Times New Roman" w:hAnsi="Times New Roman" w:eastAsia="仿宋" w:cs="Times New Roman"/>
          <w:color w:val="000000"/>
          <w:spacing w:val="0"/>
          <w:w w:val="100"/>
          <w:position w:val="0"/>
          <w:sz w:val="32"/>
          <w:szCs w:val="32"/>
          <w:lang w:val="en-US" w:eastAsia="zh-CN"/>
        </w:rPr>
        <w:t>提高预算绩效管理意识，统一预算编制科目与会计核算科目一致，以便加强预算执行分析，强化财务监控及预算刚性约束，完善绩效考评制度；提高全员项目绩效考核意识，建立日常跟踪及考评机制，加强内部监督考评。</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组织辖区企业积极参与疫情的防控管理，做到安全有序地复工复产，我们围绕绩效目标，做好招商引资、项目推进、企业服务等中心工作，各项工作均取得较好进展。</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附件：2020年度招商引资专项资金项目自评表（附后）</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3" w:firstLineChars="200"/>
        <w:jc w:val="left"/>
        <w:rPr>
          <w:rFonts w:hint="default" w:ascii="Times New Roman" w:hAnsi="Times New Roman" w:eastAsia="黑体" w:cs="Times New Roman"/>
          <w:b/>
          <w:bCs/>
          <w:color w:val="000000"/>
          <w:spacing w:val="0"/>
          <w:w w:val="100"/>
          <w:position w:val="0"/>
          <w:sz w:val="32"/>
          <w:szCs w:val="32"/>
        </w:rPr>
      </w:pPr>
      <w:r>
        <w:rPr>
          <w:rFonts w:hint="default" w:ascii="Times New Roman" w:hAnsi="Times New Roman" w:eastAsia="黑体" w:cs="Times New Roman"/>
          <w:b/>
          <w:bCs/>
          <w:color w:val="000000"/>
          <w:spacing w:val="0"/>
          <w:w w:val="100"/>
          <w:position w:val="0"/>
          <w:sz w:val="32"/>
          <w:szCs w:val="32"/>
          <w:lang w:val="en-US" w:eastAsia="zh-CN"/>
        </w:rPr>
        <w:t>2</w:t>
      </w:r>
      <w:r>
        <w:rPr>
          <w:rFonts w:hint="default" w:ascii="Times New Roman" w:hAnsi="Times New Roman" w:eastAsia="黑体" w:cs="Times New Roman"/>
          <w:b/>
          <w:bCs/>
          <w:color w:val="000000"/>
          <w:spacing w:val="0"/>
          <w:w w:val="100"/>
          <w:position w:val="0"/>
          <w:sz w:val="32"/>
          <w:szCs w:val="32"/>
        </w:rPr>
        <w:t>佐证材料</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left"/>
        <w:rPr>
          <w:rFonts w:hint="default" w:ascii="Times New Roman" w:hAnsi="Times New Roman" w:eastAsia="楷体" w:cs="Times New Roman"/>
          <w:color w:val="000000"/>
          <w:spacing w:val="0"/>
          <w:w w:val="100"/>
          <w:position w:val="0"/>
          <w:sz w:val="32"/>
          <w:szCs w:val="32"/>
        </w:rPr>
      </w:pPr>
      <w:r>
        <w:rPr>
          <w:rFonts w:hint="default" w:ascii="Times New Roman" w:hAnsi="Times New Roman" w:eastAsia="楷体" w:cs="Times New Roman"/>
          <w:color w:val="000000"/>
          <w:spacing w:val="0"/>
          <w:w w:val="100"/>
          <w:position w:val="0"/>
          <w:sz w:val="32"/>
          <w:szCs w:val="32"/>
          <w:lang w:val="en-US" w:eastAsia="zh-CN"/>
        </w:rPr>
        <w:t>2.1</w:t>
      </w:r>
      <w:r>
        <w:rPr>
          <w:rFonts w:hint="default" w:ascii="Times New Roman" w:hAnsi="Times New Roman" w:eastAsia="楷体" w:cs="Times New Roman"/>
          <w:color w:val="000000"/>
          <w:spacing w:val="0"/>
          <w:w w:val="100"/>
          <w:position w:val="0"/>
          <w:sz w:val="32"/>
          <w:szCs w:val="32"/>
        </w:rPr>
        <w:t>基本情况</w:t>
      </w:r>
    </w:p>
    <w:p>
      <w:pPr>
        <w:pStyle w:val="12"/>
        <w:keepNext w:val="0"/>
        <w:keepLines w:val="0"/>
        <w:pageBreakBefore w:val="0"/>
        <w:widowControl w:val="0"/>
        <w:numPr>
          <w:ilvl w:val="0"/>
          <w:numId w:val="0"/>
        </w:numPr>
        <w:shd w:val="clear" w:color="auto" w:fill="auto"/>
        <w:tabs>
          <w:tab w:val="left" w:pos="942"/>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bookmarkStart w:id="9" w:name="bookmark52"/>
      <w:bookmarkEnd w:id="9"/>
      <w:bookmarkStart w:id="10" w:name="bookmark53"/>
      <w:bookmarkEnd w:id="10"/>
      <w:r>
        <w:rPr>
          <w:rFonts w:hint="default" w:ascii="Times New Roman" w:hAnsi="Times New Roman" w:eastAsia="楷体" w:cs="Times New Roman"/>
          <w:color w:val="000000"/>
          <w:spacing w:val="0"/>
          <w:w w:val="100"/>
          <w:position w:val="0"/>
          <w:sz w:val="32"/>
          <w:szCs w:val="32"/>
          <w:highlight w:val="none"/>
          <w:lang w:val="en-US" w:eastAsia="zh-CN"/>
        </w:rPr>
        <w:t>2.1.1项目立项目的和年度绩效目标</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zh-TW" w:eastAsia="zh-TW"/>
        </w:rPr>
        <w:t>市、区人民政府及其部门与企业已签订的合作协议，涉及支持企业发展优惠政策的，要按照合作协议及时落实兑现，今后与企业签订合作协议，要对接国家优惠政策，在国家政策范围内支持企业发展。按照“力度不减、承诺不变、落实兑现”的原则，进一步完善招商引资政策。加大招商引资政策扶持力度，设立支持总部经济发展专项资金，积极引进世界知名跨国公司、国内外大企业大集团在汉设立总部或者区域总部，以及先进制造业、高端服务业和战略性新兴产业项目在汉落地。加强引进企业项目跟踪服务，项目落地后，企业在投产、运营过程中，各级招商部门要提供“一条龙”服务，统筹协调相关职能部门“一揽子”解决企业存在的困难和问题，为企业排忧解难。</w:t>
      </w:r>
      <w:r>
        <w:rPr>
          <w:rFonts w:hint="default" w:ascii="Times New Roman" w:hAnsi="Times New Roman" w:eastAsia="仿宋" w:cs="Times New Roman"/>
          <w:color w:val="000000"/>
          <w:spacing w:val="0"/>
          <w:w w:val="100"/>
          <w:position w:val="0"/>
          <w:sz w:val="32"/>
          <w:szCs w:val="32"/>
          <w:lang w:val="en-US" w:eastAsia="zh-CN"/>
        </w:rPr>
        <w:t>本项目年度绩效目标是提高辖区企业竞争力，对符合要求的企业进行奖励。</w:t>
      </w:r>
    </w:p>
    <w:p>
      <w:pPr>
        <w:pStyle w:val="12"/>
        <w:keepNext w:val="0"/>
        <w:keepLines w:val="0"/>
        <w:pageBreakBefore w:val="0"/>
        <w:widowControl w:val="0"/>
        <w:numPr>
          <w:ilvl w:val="0"/>
          <w:numId w:val="0"/>
        </w:numPr>
        <w:shd w:val="clear" w:color="auto" w:fill="auto"/>
        <w:tabs>
          <w:tab w:val="left" w:pos="942"/>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r>
        <w:rPr>
          <w:rFonts w:hint="default" w:ascii="Times New Roman" w:hAnsi="Times New Roman" w:eastAsia="楷体" w:cs="Times New Roman"/>
          <w:color w:val="000000"/>
          <w:spacing w:val="0"/>
          <w:w w:val="100"/>
          <w:position w:val="0"/>
          <w:sz w:val="32"/>
          <w:szCs w:val="32"/>
          <w:highlight w:val="none"/>
          <w:lang w:val="en-US" w:eastAsia="zh-CN"/>
        </w:rPr>
        <w:t>2.1.2项目资金情况</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zh-TW" w:eastAsia="zh-CN"/>
        </w:rPr>
        <w:t>本项目预算资金为</w:t>
      </w:r>
      <w:r>
        <w:rPr>
          <w:rFonts w:hint="default" w:ascii="Times New Roman" w:hAnsi="Times New Roman" w:eastAsia="仿宋" w:cs="Times New Roman"/>
          <w:color w:val="000000"/>
          <w:spacing w:val="0"/>
          <w:w w:val="100"/>
          <w:position w:val="0"/>
          <w:sz w:val="32"/>
          <w:szCs w:val="32"/>
          <w:lang w:val="en-US" w:eastAsia="zh-CN"/>
        </w:rPr>
        <w:t>1,650</w:t>
      </w:r>
      <w:r>
        <w:rPr>
          <w:rFonts w:hint="default" w:ascii="Times New Roman" w:hAnsi="Times New Roman" w:eastAsia="仿宋" w:cs="Times New Roman"/>
          <w:color w:val="000000"/>
          <w:spacing w:val="0"/>
          <w:w w:val="100"/>
          <w:position w:val="0"/>
          <w:sz w:val="32"/>
          <w:szCs w:val="32"/>
          <w:lang w:val="zh-TW" w:eastAsia="zh-CN"/>
        </w:rPr>
        <w:t>万元，项目预算资金</w:t>
      </w:r>
      <w:r>
        <w:rPr>
          <w:rFonts w:hint="default" w:ascii="Times New Roman" w:hAnsi="Times New Roman" w:eastAsia="仿宋" w:cs="Times New Roman"/>
          <w:color w:val="000000"/>
          <w:spacing w:val="0"/>
          <w:w w:val="100"/>
          <w:position w:val="0"/>
          <w:sz w:val="32"/>
          <w:szCs w:val="32"/>
          <w:lang w:val="en-US" w:eastAsia="zh-CN"/>
        </w:rPr>
        <w:t>1,650</w:t>
      </w:r>
      <w:r>
        <w:rPr>
          <w:rFonts w:hint="default" w:ascii="Times New Roman" w:hAnsi="Times New Roman" w:eastAsia="仿宋" w:cs="Times New Roman"/>
          <w:color w:val="000000"/>
          <w:spacing w:val="0"/>
          <w:w w:val="100"/>
          <w:position w:val="0"/>
          <w:sz w:val="32"/>
          <w:szCs w:val="32"/>
          <w:lang w:val="zh-TW" w:eastAsia="zh-CN"/>
        </w:rPr>
        <w:t>万元全部由财政厅下达，项目实际到位资金</w:t>
      </w:r>
      <w:r>
        <w:rPr>
          <w:rFonts w:hint="default" w:ascii="Times New Roman" w:hAnsi="Times New Roman" w:eastAsia="仿宋" w:cs="Times New Roman"/>
          <w:color w:val="000000"/>
          <w:spacing w:val="0"/>
          <w:w w:val="100"/>
          <w:position w:val="0"/>
          <w:sz w:val="32"/>
          <w:szCs w:val="32"/>
          <w:lang w:val="en-US" w:eastAsia="zh-CN"/>
        </w:rPr>
        <w:t>1,650</w:t>
      </w:r>
      <w:r>
        <w:rPr>
          <w:rFonts w:hint="default" w:ascii="Times New Roman" w:hAnsi="Times New Roman" w:eastAsia="仿宋" w:cs="Times New Roman"/>
          <w:color w:val="000000"/>
          <w:spacing w:val="0"/>
          <w:w w:val="100"/>
          <w:position w:val="0"/>
          <w:sz w:val="32"/>
          <w:szCs w:val="32"/>
          <w:lang w:val="zh-TW" w:eastAsia="zh-CN"/>
        </w:rPr>
        <w:t>万元，实际支出为</w:t>
      </w:r>
      <w:r>
        <w:rPr>
          <w:rFonts w:hint="default" w:ascii="Times New Roman" w:hAnsi="Times New Roman" w:eastAsia="仿宋" w:cs="Times New Roman"/>
          <w:color w:val="000000"/>
          <w:spacing w:val="0"/>
          <w:w w:val="100"/>
          <w:position w:val="0"/>
          <w:sz w:val="32"/>
          <w:szCs w:val="32"/>
          <w:lang w:val="en-US" w:eastAsia="zh-CN"/>
        </w:rPr>
        <w:t>1,416</w:t>
      </w:r>
      <w:r>
        <w:rPr>
          <w:rFonts w:hint="eastAsia" w:ascii="Times New Roman" w:hAnsi="Times New Roman" w:eastAsia="仿宋" w:cs="Times New Roman"/>
          <w:color w:val="000000"/>
          <w:spacing w:val="0"/>
          <w:w w:val="100"/>
          <w:position w:val="0"/>
          <w:sz w:val="32"/>
          <w:szCs w:val="32"/>
          <w:lang w:val="en-US" w:eastAsia="zh-CN"/>
        </w:rPr>
        <w:t>.23</w:t>
      </w:r>
      <w:r>
        <w:rPr>
          <w:rFonts w:hint="default" w:ascii="Times New Roman" w:hAnsi="Times New Roman" w:eastAsia="仿宋" w:cs="Times New Roman"/>
          <w:color w:val="000000"/>
          <w:spacing w:val="0"/>
          <w:w w:val="100"/>
          <w:position w:val="0"/>
          <w:sz w:val="32"/>
          <w:szCs w:val="32"/>
          <w:lang w:val="en-US" w:eastAsia="zh-CN"/>
        </w:rPr>
        <w:t>万元，项目资金执行率为85.83%，项目资金执行情况良好。</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TW"/>
        </w:rPr>
      </w:pPr>
      <w:r>
        <w:rPr>
          <w:rFonts w:hint="default" w:ascii="Times New Roman" w:hAnsi="Times New Roman" w:eastAsia="仿宋" w:cs="Times New Roman"/>
          <w:color w:val="000000"/>
          <w:spacing w:val="0"/>
          <w:w w:val="100"/>
          <w:position w:val="0"/>
          <w:sz w:val="32"/>
          <w:szCs w:val="32"/>
          <w:lang w:val="en-US" w:eastAsia="zh-CN"/>
        </w:rPr>
        <w:t>为了保障项目资金的安全、规范运行，武汉临空港经济技术开发区机电产业建设管理办公室对项目资金的财务管理严格，对项目财务资金监控有效，项目资金使用符合预算批复用途，不存在截留、挤占、挪用、虚列支出等情况，项目资金使用合规。项目资金主要投向为引进企业按比例给予企业扶持金及招商引资工作相关的其它支出。</w:t>
      </w:r>
    </w:p>
    <w:p>
      <w:pPr>
        <w:pStyle w:val="12"/>
        <w:keepNext w:val="0"/>
        <w:keepLines w:val="0"/>
        <w:pageBreakBefore w:val="0"/>
        <w:widowControl w:val="0"/>
        <w:numPr>
          <w:ilvl w:val="0"/>
          <w:numId w:val="0"/>
        </w:numPr>
        <w:shd w:val="clear" w:color="auto" w:fill="auto"/>
        <w:tabs>
          <w:tab w:val="left" w:pos="942"/>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r>
        <w:rPr>
          <w:rFonts w:hint="default" w:ascii="Times New Roman" w:hAnsi="Times New Roman" w:eastAsia="楷体" w:cs="Times New Roman"/>
          <w:color w:val="000000"/>
          <w:spacing w:val="0"/>
          <w:w w:val="100"/>
          <w:position w:val="0"/>
          <w:sz w:val="32"/>
          <w:szCs w:val="32"/>
          <w:highlight w:val="none"/>
          <w:lang w:val="en-US" w:eastAsia="zh-CN"/>
        </w:rPr>
        <w:t>2.2部门自评工作开展情况</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宋体" w:cs="Times New Roman"/>
          <w:color w:val="000000"/>
          <w:spacing w:val="0"/>
          <w:w w:val="100"/>
          <w:position w:val="0"/>
          <w:sz w:val="24"/>
          <w:szCs w:val="24"/>
        </w:rPr>
      </w:pPr>
      <w:r>
        <w:rPr>
          <w:rFonts w:hint="default" w:ascii="Times New Roman" w:hAnsi="Times New Roman" w:eastAsia="楷体" w:cs="Times New Roman"/>
          <w:color w:val="000000"/>
          <w:spacing w:val="0"/>
          <w:w w:val="100"/>
          <w:position w:val="0"/>
          <w:sz w:val="32"/>
          <w:szCs w:val="32"/>
          <w:highlight w:val="none"/>
          <w:lang w:val="en-US" w:eastAsia="zh-CN"/>
        </w:rPr>
        <w:t>2.2.1前期准备阶段</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2021年4月，武汉临空港经济技术开发区机电产业建设管理办公室根据区财政局《关于开展2020年度预算绩效评价及结果应用工作的通知》（东财〔2020〕42号）中开展财政支出绩效评价工作的要求，2020年7个项目和部门整体支出的预算资金作为本次自评的对象，在组建武汉临空港经济技术开发区机电产业建设管理办公室2021年绩效评价工作领导小组的基础上成立了本项目的自评小组，自评小组通过进一步明确本项目绩效评价工作的目标、任务、评价方法和资料收集方法，确定了项目绩效评价工作开展的方向和重点，形成了本项目完整的绩效评价工作方案。</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宋体" w:cs="Times New Roman"/>
          <w:color w:val="000000"/>
          <w:spacing w:val="0"/>
          <w:w w:val="100"/>
          <w:position w:val="0"/>
          <w:sz w:val="24"/>
          <w:szCs w:val="24"/>
          <w:lang w:val="en-US" w:eastAsia="zh-CN"/>
        </w:rPr>
      </w:pPr>
      <w:r>
        <w:rPr>
          <w:rFonts w:hint="default" w:ascii="Times New Roman" w:hAnsi="Times New Roman" w:eastAsia="楷体" w:cs="Times New Roman"/>
          <w:color w:val="000000"/>
          <w:spacing w:val="0"/>
          <w:w w:val="100"/>
          <w:position w:val="0"/>
          <w:sz w:val="32"/>
          <w:szCs w:val="32"/>
          <w:highlight w:val="none"/>
          <w:lang w:val="en-US" w:eastAsia="zh-CN"/>
        </w:rPr>
        <w:t>2.2.2具体组织过程</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根据项目绩效评价工作方案，自评小组从2021年4月6日开始系统收集了本项目执行过程的资料。在系统收集项目相关资料的基础上，自评小组对所收集到的项目基础资料一一进行了核实，同时通过问卷调查收集了所需要的相关资料。对照预算文本中设置的各项绩效指标年度指标值，结合具体完成情况对这些指标进行了逐一分析，在此基础上完成了对本项目的综合分析评价。</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r>
        <w:rPr>
          <w:rFonts w:hint="default" w:ascii="Times New Roman" w:hAnsi="Times New Roman" w:eastAsia="楷体" w:cs="Times New Roman"/>
          <w:color w:val="000000"/>
          <w:spacing w:val="0"/>
          <w:w w:val="100"/>
          <w:position w:val="0"/>
          <w:sz w:val="32"/>
          <w:szCs w:val="32"/>
          <w:highlight w:val="none"/>
          <w:lang w:val="en-US" w:eastAsia="zh-CN"/>
        </w:rPr>
        <w:t>2.3绩效目标完成情况分析</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r>
        <w:rPr>
          <w:rFonts w:hint="default" w:ascii="Times New Roman" w:hAnsi="Times New Roman" w:eastAsia="楷体" w:cs="Times New Roman"/>
          <w:color w:val="000000"/>
          <w:spacing w:val="0"/>
          <w:w w:val="100"/>
          <w:position w:val="0"/>
          <w:sz w:val="32"/>
          <w:szCs w:val="32"/>
          <w:highlight w:val="none"/>
          <w:lang w:val="en-US" w:eastAsia="zh-CN"/>
        </w:rPr>
        <w:t>2.3.1预算执行情况分析</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2020年度本项目预算总额1,650万元万元，执行数1,416</w:t>
      </w:r>
      <w:r>
        <w:rPr>
          <w:rFonts w:hint="eastAsia" w:ascii="Times New Roman" w:hAnsi="Times New Roman" w:eastAsia="仿宋" w:cs="Times New Roman"/>
          <w:color w:val="000000"/>
          <w:spacing w:val="0"/>
          <w:w w:val="100"/>
          <w:position w:val="0"/>
          <w:sz w:val="32"/>
          <w:szCs w:val="32"/>
          <w:lang w:val="en-US" w:eastAsia="zh-CN"/>
        </w:rPr>
        <w:t>.23</w:t>
      </w:r>
      <w:r>
        <w:rPr>
          <w:rFonts w:hint="default" w:ascii="Times New Roman" w:hAnsi="Times New Roman" w:eastAsia="仿宋" w:cs="Times New Roman"/>
          <w:color w:val="000000"/>
          <w:spacing w:val="0"/>
          <w:w w:val="100"/>
          <w:position w:val="0"/>
          <w:sz w:val="32"/>
          <w:szCs w:val="32"/>
          <w:lang w:val="en-US" w:eastAsia="zh-CN"/>
        </w:rPr>
        <w:t>万元，资金执行率</w:t>
      </w:r>
      <w:r>
        <w:rPr>
          <w:rFonts w:hint="eastAsia" w:ascii="Times New Roman" w:hAnsi="Times New Roman" w:eastAsia="仿宋" w:cs="Times New Roman"/>
          <w:color w:val="000000"/>
          <w:spacing w:val="0"/>
          <w:w w:val="100"/>
          <w:position w:val="0"/>
          <w:sz w:val="32"/>
          <w:szCs w:val="32"/>
          <w:lang w:val="en-US" w:eastAsia="zh-CN"/>
        </w:rPr>
        <w:t>85.83</w:t>
      </w:r>
      <w:r>
        <w:rPr>
          <w:rFonts w:hint="default" w:ascii="Times New Roman" w:hAnsi="Times New Roman" w:eastAsia="仿宋" w:cs="Times New Roman"/>
          <w:color w:val="000000"/>
          <w:spacing w:val="0"/>
          <w:w w:val="100"/>
          <w:position w:val="0"/>
          <w:sz w:val="32"/>
          <w:szCs w:val="32"/>
          <w:lang w:val="en-US" w:eastAsia="zh-CN"/>
        </w:rPr>
        <w:t>%。该指标设置分值为20分，得分</w:t>
      </w:r>
      <w:r>
        <w:rPr>
          <w:rFonts w:hint="eastAsia" w:ascii="Times New Roman" w:hAnsi="Times New Roman" w:eastAsia="仿宋" w:cs="Times New Roman"/>
          <w:color w:val="000000"/>
          <w:spacing w:val="0"/>
          <w:w w:val="100"/>
          <w:position w:val="0"/>
          <w:sz w:val="32"/>
          <w:szCs w:val="32"/>
          <w:lang w:val="en-US" w:eastAsia="zh-CN"/>
        </w:rPr>
        <w:t>17.17</w:t>
      </w:r>
      <w:r>
        <w:rPr>
          <w:rFonts w:hint="default" w:ascii="Times New Roman" w:hAnsi="Times New Roman" w:eastAsia="仿宋" w:cs="Times New Roman"/>
          <w:color w:val="000000"/>
          <w:spacing w:val="0"/>
          <w:w w:val="100"/>
          <w:position w:val="0"/>
          <w:sz w:val="32"/>
          <w:szCs w:val="32"/>
          <w:lang w:val="en-US" w:eastAsia="zh-CN"/>
        </w:rPr>
        <w:t>分。</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r>
        <w:rPr>
          <w:rFonts w:hint="default" w:ascii="Times New Roman" w:hAnsi="Times New Roman" w:eastAsia="楷体" w:cs="Times New Roman"/>
          <w:color w:val="000000"/>
          <w:spacing w:val="0"/>
          <w:w w:val="100"/>
          <w:position w:val="0"/>
          <w:sz w:val="32"/>
          <w:szCs w:val="32"/>
          <w:highlight w:val="none"/>
          <w:lang w:val="en-US" w:eastAsia="zh-CN"/>
        </w:rPr>
        <w:t>2.3.2绩效目标完成情况分析</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r>
        <w:rPr>
          <w:rFonts w:hint="default" w:ascii="Times New Roman" w:hAnsi="Times New Roman" w:eastAsia="楷体" w:cs="Times New Roman"/>
          <w:color w:val="000000"/>
          <w:spacing w:val="0"/>
          <w:w w:val="100"/>
          <w:position w:val="0"/>
          <w:sz w:val="32"/>
          <w:szCs w:val="32"/>
          <w:highlight w:val="none"/>
          <w:lang w:val="en-US" w:eastAsia="zh-CN"/>
        </w:rPr>
        <w:t>2.3.2.1产出完成情况分析。</w:t>
      </w:r>
    </w:p>
    <w:tbl>
      <w:tblPr>
        <w:tblStyle w:val="6"/>
        <w:tblW w:w="5066" w:type="pct"/>
        <w:tblInd w:w="0" w:type="dxa"/>
        <w:shd w:val="clear" w:color="auto" w:fill="auto"/>
        <w:tblLayout w:type="autofit"/>
        <w:tblCellMar>
          <w:top w:w="0" w:type="dxa"/>
          <w:left w:w="108" w:type="dxa"/>
          <w:bottom w:w="0" w:type="dxa"/>
          <w:right w:w="108" w:type="dxa"/>
        </w:tblCellMar>
      </w:tblPr>
      <w:tblGrid>
        <w:gridCol w:w="1805"/>
        <w:gridCol w:w="884"/>
        <w:gridCol w:w="1319"/>
        <w:gridCol w:w="1836"/>
        <w:gridCol w:w="1345"/>
        <w:gridCol w:w="1303"/>
        <w:gridCol w:w="689"/>
      </w:tblGrid>
      <w:tr>
        <w:tblPrEx>
          <w:shd w:val="clear" w:color="auto" w:fill="auto"/>
          <w:tblCellMar>
            <w:top w:w="0" w:type="dxa"/>
            <w:left w:w="108" w:type="dxa"/>
            <w:bottom w:w="0" w:type="dxa"/>
            <w:right w:w="108" w:type="dxa"/>
          </w:tblCellMar>
        </w:tblPrEx>
        <w:trPr>
          <w:trHeight w:val="480" w:hRule="atLeast"/>
        </w:trPr>
        <w:tc>
          <w:tcPr>
            <w:tcW w:w="98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540" w:firstLineChars="300"/>
              <w:jc w:val="both"/>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年度目标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一级</w:t>
            </w: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br w:type="textWrapping"/>
            </w: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指标</w:t>
            </w: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二级指标</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三级指标</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年度目标值（A）</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实际完成值（B)</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得分</w:t>
            </w:r>
          </w:p>
        </w:tc>
      </w:tr>
      <w:tr>
        <w:tblPrEx>
          <w:tblCellMar>
            <w:top w:w="0" w:type="dxa"/>
            <w:left w:w="108" w:type="dxa"/>
            <w:bottom w:w="0" w:type="dxa"/>
            <w:right w:w="108" w:type="dxa"/>
          </w:tblCellMar>
        </w:tblPrEx>
        <w:trPr>
          <w:trHeight w:val="910" w:hRule="atLeast"/>
        </w:trPr>
        <w:tc>
          <w:tcPr>
            <w:tcW w:w="982"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提高辖区企业竞争力，对符合要求的企业进行奖励</w:t>
            </w:r>
          </w:p>
        </w:tc>
        <w:tc>
          <w:tcPr>
            <w:tcW w:w="48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产出</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指标（40分）</w:t>
            </w:r>
          </w:p>
        </w:tc>
        <w:tc>
          <w:tcPr>
            <w:tcW w:w="718" w:type="pc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数量指标  （20分）</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落实扶持金兑现情况</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≥260家</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139家</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楷体" w:hAnsi="楷体" w:eastAsia="楷体" w:cs="楷体"/>
                <w:i w:val="0"/>
                <w:iCs w:val="0"/>
                <w:color w:val="000000"/>
                <w:sz w:val="18"/>
                <w:szCs w:val="18"/>
                <w:u w:val="none"/>
                <w:lang w:val="en-US"/>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10.69</w:t>
            </w:r>
          </w:p>
        </w:tc>
      </w:tr>
      <w:tr>
        <w:tblPrEx>
          <w:tblCellMar>
            <w:top w:w="0" w:type="dxa"/>
            <w:left w:w="108" w:type="dxa"/>
            <w:bottom w:w="0" w:type="dxa"/>
            <w:right w:w="108" w:type="dxa"/>
          </w:tblCellMar>
        </w:tblPrEx>
        <w:trPr>
          <w:trHeight w:val="480" w:hRule="atLeast"/>
        </w:trPr>
        <w:tc>
          <w:tcPr>
            <w:tcW w:w="982" w:type="pct"/>
            <w:vMerge w:val="continue"/>
            <w:tcBorders>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楷体" w:hAnsi="楷体" w:eastAsia="楷体" w:cs="楷体"/>
                <w:i w:val="0"/>
                <w:iCs w:val="0"/>
                <w:color w:val="000000"/>
                <w:sz w:val="18"/>
                <w:szCs w:val="18"/>
                <w:u w:val="none"/>
              </w:rPr>
            </w:pPr>
          </w:p>
        </w:tc>
        <w:tc>
          <w:tcPr>
            <w:tcW w:w="481" w:type="pct"/>
            <w:vMerge w:val="continue"/>
            <w:tcBorders>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楷体" w:hAnsi="楷体" w:eastAsia="楷体" w:cs="楷体"/>
                <w:i w:val="0"/>
                <w:iCs w:val="0"/>
                <w:color w:val="000000"/>
                <w:sz w:val="18"/>
                <w:szCs w:val="18"/>
                <w:u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时效指标  （20分）</w:t>
            </w:r>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扶持金兑现及时性</w:t>
            </w: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按照协议发放</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按照协议发放</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楷体" w:hAnsi="楷体" w:eastAsia="楷体" w:cs="楷体"/>
                <w:i w:val="0"/>
                <w:iCs w:val="0"/>
                <w:color w:val="000000"/>
                <w:spacing w:val="0"/>
                <w:w w:val="100"/>
                <w:kern w:val="0"/>
                <w:position w:val="0"/>
                <w:sz w:val="18"/>
                <w:szCs w:val="18"/>
                <w:u w:val="none"/>
                <w:shd w:val="clear" w:color="auto" w:fill="auto"/>
                <w:lang w:val="en-US" w:eastAsia="zh-CN" w:bidi="ar"/>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20</w:t>
            </w:r>
          </w:p>
        </w:tc>
      </w:tr>
    </w:tbl>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数量指标</w:t>
      </w:r>
      <w:r>
        <w:rPr>
          <w:rFonts w:hint="eastAsia" w:ascii="Times New Roman" w:hAnsi="Times New Roman" w:eastAsia="仿宋" w:cs="Times New Roman"/>
          <w:color w:val="000000"/>
          <w:spacing w:val="0"/>
          <w:w w:val="100"/>
          <w:position w:val="0"/>
          <w:sz w:val="32"/>
          <w:szCs w:val="32"/>
          <w:lang w:val="en-US" w:eastAsia="zh-CN"/>
        </w:rPr>
        <w:t>，</w:t>
      </w:r>
      <w:r>
        <w:rPr>
          <w:rFonts w:hint="default" w:ascii="Times New Roman" w:hAnsi="Times New Roman" w:eastAsia="仿宋" w:cs="Times New Roman"/>
          <w:color w:val="000000"/>
          <w:spacing w:val="0"/>
          <w:w w:val="100"/>
          <w:position w:val="0"/>
          <w:sz w:val="32"/>
          <w:szCs w:val="32"/>
          <w:lang w:val="en-US" w:eastAsia="zh-CN"/>
        </w:rPr>
        <w:t>“落实扶持金</w:t>
      </w:r>
      <w:r>
        <w:rPr>
          <w:rFonts w:hint="eastAsia" w:ascii="Times New Roman" w:hAnsi="Times New Roman" w:eastAsia="仿宋" w:cs="Times New Roman"/>
          <w:color w:val="000000"/>
          <w:spacing w:val="0"/>
          <w:w w:val="100"/>
          <w:position w:val="0"/>
          <w:sz w:val="32"/>
          <w:szCs w:val="32"/>
          <w:lang w:val="en-US" w:eastAsia="zh-CN"/>
        </w:rPr>
        <w:t>兑现情况</w:t>
      </w:r>
      <w:r>
        <w:rPr>
          <w:rFonts w:hint="default" w:ascii="Times New Roman" w:hAnsi="Times New Roman" w:eastAsia="仿宋" w:cs="Times New Roman"/>
          <w:color w:val="000000"/>
          <w:spacing w:val="0"/>
          <w:w w:val="100"/>
          <w:position w:val="0"/>
          <w:sz w:val="32"/>
          <w:szCs w:val="32"/>
          <w:lang w:val="en-US" w:eastAsia="zh-CN"/>
        </w:rPr>
        <w:t>”</w:t>
      </w:r>
      <w:r>
        <w:rPr>
          <w:rFonts w:hint="eastAsia" w:ascii="Times New Roman" w:hAnsi="Times New Roman" w:eastAsia="仿宋" w:cs="Times New Roman"/>
          <w:color w:val="000000"/>
          <w:spacing w:val="0"/>
          <w:w w:val="100"/>
          <w:position w:val="0"/>
          <w:sz w:val="32"/>
          <w:szCs w:val="32"/>
          <w:lang w:val="en-US" w:eastAsia="zh-CN"/>
        </w:rPr>
        <w:t>指标未全部完成。</w:t>
      </w:r>
      <w:r>
        <w:rPr>
          <w:rFonts w:hint="default" w:ascii="Times New Roman" w:hAnsi="Times New Roman" w:eastAsia="仿宋" w:cs="Times New Roman"/>
          <w:color w:val="000000"/>
          <w:spacing w:val="0"/>
          <w:w w:val="100"/>
          <w:position w:val="0"/>
          <w:sz w:val="32"/>
          <w:szCs w:val="32"/>
          <w:lang w:val="en-US" w:eastAsia="zh-CN"/>
        </w:rPr>
        <w:t>原本拟定落实扶持金的企业有260家，根据2019年底武汉市东西湖区财政局税收政策的调整，实际落实139家企业，该指标设置分值为20分，得分</w:t>
      </w:r>
      <w:r>
        <w:rPr>
          <w:rFonts w:hint="eastAsia" w:ascii="Times New Roman" w:hAnsi="Times New Roman" w:eastAsia="仿宋" w:cs="Times New Roman"/>
          <w:color w:val="000000"/>
          <w:spacing w:val="0"/>
          <w:w w:val="100"/>
          <w:position w:val="0"/>
          <w:sz w:val="32"/>
          <w:szCs w:val="32"/>
          <w:lang w:val="en-US" w:eastAsia="zh-CN"/>
        </w:rPr>
        <w:t>10.69</w:t>
      </w:r>
      <w:r>
        <w:rPr>
          <w:rFonts w:hint="default" w:ascii="Times New Roman" w:hAnsi="Times New Roman" w:eastAsia="仿宋" w:cs="Times New Roman"/>
          <w:color w:val="000000"/>
          <w:spacing w:val="0"/>
          <w:w w:val="100"/>
          <w:position w:val="0"/>
          <w:sz w:val="32"/>
          <w:szCs w:val="32"/>
          <w:lang w:val="en-US" w:eastAsia="zh-CN"/>
        </w:rPr>
        <w:t>分。</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时效指标</w:t>
      </w:r>
      <w:r>
        <w:rPr>
          <w:rFonts w:hint="eastAsia" w:ascii="Times New Roman" w:hAnsi="Times New Roman" w:eastAsia="仿宋" w:cs="Times New Roman"/>
          <w:color w:val="000000"/>
          <w:spacing w:val="0"/>
          <w:w w:val="100"/>
          <w:position w:val="0"/>
          <w:sz w:val="32"/>
          <w:szCs w:val="32"/>
          <w:lang w:val="en-US" w:eastAsia="zh-CN"/>
        </w:rPr>
        <w:t>，</w:t>
      </w:r>
      <w:r>
        <w:rPr>
          <w:rFonts w:hint="default" w:ascii="Times New Roman" w:hAnsi="Times New Roman" w:eastAsia="仿宋" w:cs="Times New Roman"/>
          <w:color w:val="000000"/>
          <w:spacing w:val="0"/>
          <w:w w:val="100"/>
          <w:position w:val="0"/>
          <w:sz w:val="32"/>
          <w:szCs w:val="32"/>
          <w:lang w:val="en-US" w:eastAsia="zh-CN"/>
        </w:rPr>
        <w:t>“扶持金兑现及时性”年度目标值设定为按照协议补贴，实际是严格按合同约定兑现，该指标设置分值为</w:t>
      </w:r>
      <w:r>
        <w:rPr>
          <w:rFonts w:hint="eastAsia" w:ascii="Times New Roman" w:hAnsi="Times New Roman" w:eastAsia="仿宋" w:cs="Times New Roman"/>
          <w:color w:val="000000"/>
          <w:spacing w:val="0"/>
          <w:w w:val="100"/>
          <w:position w:val="0"/>
          <w:sz w:val="32"/>
          <w:szCs w:val="32"/>
          <w:lang w:val="en-US" w:eastAsia="zh-CN"/>
        </w:rPr>
        <w:t>2</w:t>
      </w:r>
      <w:r>
        <w:rPr>
          <w:rFonts w:hint="default" w:ascii="Times New Roman" w:hAnsi="Times New Roman" w:eastAsia="仿宋" w:cs="Times New Roman"/>
          <w:color w:val="000000"/>
          <w:spacing w:val="0"/>
          <w:w w:val="100"/>
          <w:position w:val="0"/>
          <w:sz w:val="32"/>
          <w:szCs w:val="32"/>
          <w:lang w:val="en-US" w:eastAsia="zh-CN"/>
        </w:rPr>
        <w:t>0分，得分</w:t>
      </w:r>
      <w:r>
        <w:rPr>
          <w:rFonts w:hint="eastAsia" w:ascii="Times New Roman" w:hAnsi="Times New Roman" w:eastAsia="仿宋" w:cs="Times New Roman"/>
          <w:color w:val="000000"/>
          <w:spacing w:val="0"/>
          <w:w w:val="100"/>
          <w:position w:val="0"/>
          <w:sz w:val="32"/>
          <w:szCs w:val="32"/>
          <w:lang w:val="en-US" w:eastAsia="zh-CN"/>
        </w:rPr>
        <w:t>2</w:t>
      </w:r>
      <w:r>
        <w:rPr>
          <w:rFonts w:hint="default" w:ascii="Times New Roman" w:hAnsi="Times New Roman" w:eastAsia="仿宋" w:cs="Times New Roman"/>
          <w:color w:val="000000"/>
          <w:spacing w:val="0"/>
          <w:w w:val="100"/>
          <w:position w:val="0"/>
          <w:sz w:val="32"/>
          <w:szCs w:val="32"/>
          <w:lang w:val="en-US" w:eastAsia="zh-CN"/>
        </w:rPr>
        <w:t>0分。</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r>
        <w:rPr>
          <w:rFonts w:hint="default" w:ascii="Times New Roman" w:hAnsi="Times New Roman" w:eastAsia="楷体" w:cs="Times New Roman"/>
          <w:color w:val="000000"/>
          <w:spacing w:val="0"/>
          <w:w w:val="100"/>
          <w:position w:val="0"/>
          <w:sz w:val="32"/>
          <w:szCs w:val="32"/>
          <w:highlight w:val="none"/>
          <w:lang w:val="en-US" w:eastAsia="zh-CN"/>
        </w:rPr>
        <w:t>2.3.2.2效益指标完成情况分析</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p>
    <w:tbl>
      <w:tblPr>
        <w:tblStyle w:val="6"/>
        <w:tblW w:w="4996" w:type="pct"/>
        <w:tblInd w:w="0" w:type="dxa"/>
        <w:shd w:val="clear" w:color="auto" w:fill="auto"/>
        <w:tblLayout w:type="autofit"/>
        <w:tblCellMar>
          <w:top w:w="0" w:type="dxa"/>
          <w:left w:w="108" w:type="dxa"/>
          <w:bottom w:w="0" w:type="dxa"/>
          <w:right w:w="108" w:type="dxa"/>
        </w:tblCellMar>
      </w:tblPr>
      <w:tblGrid>
        <w:gridCol w:w="1250"/>
        <w:gridCol w:w="795"/>
        <w:gridCol w:w="1500"/>
        <w:gridCol w:w="2180"/>
        <w:gridCol w:w="1199"/>
        <w:gridCol w:w="1288"/>
        <w:gridCol w:w="842"/>
      </w:tblGrid>
      <w:tr>
        <w:tblPrEx>
          <w:tblCellMar>
            <w:top w:w="0" w:type="dxa"/>
            <w:left w:w="108" w:type="dxa"/>
            <w:bottom w:w="0" w:type="dxa"/>
            <w:right w:w="108" w:type="dxa"/>
          </w:tblCellMar>
        </w:tblPrEx>
        <w:trPr>
          <w:trHeight w:val="895" w:hRule="atLeast"/>
        </w:trPr>
        <w:tc>
          <w:tcPr>
            <w:tcW w:w="69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年度目标</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一级指标</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二级指标</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三级指标</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年度目标值（A）</w:t>
            </w:r>
          </w:p>
        </w:tc>
        <w:tc>
          <w:tcPr>
            <w:tcW w:w="7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实际完成值（B)</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得分</w:t>
            </w:r>
          </w:p>
        </w:tc>
      </w:tr>
      <w:tr>
        <w:tblPrEx>
          <w:tblCellMar>
            <w:top w:w="0" w:type="dxa"/>
            <w:left w:w="108" w:type="dxa"/>
            <w:bottom w:w="0" w:type="dxa"/>
            <w:right w:w="108" w:type="dxa"/>
          </w:tblCellMar>
        </w:tblPrEx>
        <w:trPr>
          <w:trHeight w:val="480" w:hRule="atLeast"/>
        </w:trPr>
        <w:tc>
          <w:tcPr>
            <w:tcW w:w="6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提高辖区企业竞争力，对符合要求的企业进行奖励</w:t>
            </w:r>
          </w:p>
        </w:tc>
        <w:tc>
          <w:tcPr>
            <w:tcW w:w="4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效益指标（30分）</w:t>
            </w:r>
          </w:p>
        </w:tc>
        <w:tc>
          <w:tcPr>
            <w:tcW w:w="82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lang w:eastAsia="zh-CN"/>
              </w:rPr>
            </w:pPr>
            <w:r>
              <w:rPr>
                <w:rFonts w:hint="eastAsia" w:ascii="楷体" w:hAnsi="楷体" w:eastAsia="楷体" w:cs="楷体"/>
                <w:i w:val="0"/>
                <w:iCs w:val="0"/>
                <w:color w:val="000000"/>
                <w:sz w:val="18"/>
                <w:szCs w:val="18"/>
                <w:u w:val="none"/>
                <w:lang w:eastAsia="zh-CN"/>
              </w:rPr>
              <w:t>经济效益（</w:t>
            </w:r>
            <w:r>
              <w:rPr>
                <w:rFonts w:hint="eastAsia" w:ascii="楷体" w:hAnsi="楷体" w:eastAsia="楷体" w:cs="楷体"/>
                <w:i w:val="0"/>
                <w:iCs w:val="0"/>
                <w:color w:val="000000"/>
                <w:sz w:val="18"/>
                <w:szCs w:val="18"/>
                <w:u w:val="none"/>
                <w:lang w:val="en-US" w:eastAsia="zh-CN"/>
              </w:rPr>
              <w:t>10分</w:t>
            </w:r>
            <w:r>
              <w:rPr>
                <w:rFonts w:hint="eastAsia" w:ascii="楷体" w:hAnsi="楷体" w:eastAsia="楷体" w:cs="楷体"/>
                <w:i w:val="0"/>
                <w:iCs w:val="0"/>
                <w:color w:val="000000"/>
                <w:sz w:val="18"/>
                <w:szCs w:val="18"/>
                <w:u w:val="none"/>
                <w:lang w:eastAsia="zh-CN"/>
              </w:rPr>
              <w:t>）</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推动企业发展</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效果明显</w:t>
            </w:r>
          </w:p>
        </w:tc>
        <w:tc>
          <w:tcPr>
            <w:tcW w:w="7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效果明显</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10</w:t>
            </w:r>
          </w:p>
        </w:tc>
      </w:tr>
      <w:tr>
        <w:tblPrEx>
          <w:tblCellMar>
            <w:top w:w="0" w:type="dxa"/>
            <w:left w:w="108" w:type="dxa"/>
            <w:bottom w:w="0" w:type="dxa"/>
            <w:right w:w="108" w:type="dxa"/>
          </w:tblCellMar>
        </w:tblPrEx>
        <w:trPr>
          <w:trHeight w:val="810" w:hRule="atLeast"/>
        </w:trPr>
        <w:tc>
          <w:tcPr>
            <w:tcW w:w="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楷体" w:hAnsi="楷体" w:eastAsia="楷体" w:cs="楷体"/>
                <w:i w:val="0"/>
                <w:iCs w:val="0"/>
                <w:color w:val="000000"/>
                <w:sz w:val="18"/>
                <w:szCs w:val="18"/>
                <w:u w:val="none"/>
              </w:rPr>
            </w:pPr>
          </w:p>
        </w:tc>
        <w:tc>
          <w:tcPr>
            <w:tcW w:w="4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楷体" w:hAnsi="楷体" w:eastAsia="楷体" w:cs="楷体"/>
                <w:i w:val="0"/>
                <w:iCs w:val="0"/>
                <w:color w:val="000000"/>
                <w:sz w:val="18"/>
                <w:szCs w:val="18"/>
                <w:u w:val="none"/>
              </w:rPr>
            </w:pP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社会效益指标（10分）</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促进当地经济发展</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效果明显</w:t>
            </w:r>
          </w:p>
        </w:tc>
        <w:tc>
          <w:tcPr>
            <w:tcW w:w="7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效果明显</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10</w:t>
            </w:r>
          </w:p>
        </w:tc>
      </w:tr>
      <w:tr>
        <w:tblPrEx>
          <w:tblCellMar>
            <w:top w:w="0" w:type="dxa"/>
            <w:left w:w="108" w:type="dxa"/>
            <w:bottom w:w="0" w:type="dxa"/>
            <w:right w:w="108" w:type="dxa"/>
          </w:tblCellMar>
        </w:tblPrEx>
        <w:trPr>
          <w:trHeight w:val="775" w:hRule="atLeast"/>
        </w:trPr>
        <w:tc>
          <w:tcPr>
            <w:tcW w:w="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楷体" w:hAnsi="楷体" w:eastAsia="楷体" w:cs="楷体"/>
                <w:i w:val="0"/>
                <w:iCs w:val="0"/>
                <w:color w:val="000000"/>
                <w:sz w:val="18"/>
                <w:szCs w:val="18"/>
                <w:u w:val="none"/>
              </w:rPr>
            </w:pPr>
          </w:p>
        </w:tc>
        <w:tc>
          <w:tcPr>
            <w:tcW w:w="4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eastAsia" w:ascii="楷体" w:hAnsi="楷体" w:eastAsia="楷体" w:cs="楷体"/>
                <w:i w:val="0"/>
                <w:iCs w:val="0"/>
                <w:color w:val="000000"/>
                <w:sz w:val="18"/>
                <w:szCs w:val="18"/>
                <w:u w:val="none"/>
              </w:rPr>
            </w:pP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可持续影响指标（10分）</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吸引更多外来企业投资</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效果明显</w:t>
            </w:r>
          </w:p>
        </w:tc>
        <w:tc>
          <w:tcPr>
            <w:tcW w:w="7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效果明显</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spacing w:val="0"/>
                <w:w w:val="100"/>
                <w:kern w:val="0"/>
                <w:position w:val="0"/>
                <w:sz w:val="18"/>
                <w:szCs w:val="18"/>
                <w:u w:val="none"/>
                <w:shd w:val="clear" w:color="auto" w:fill="auto"/>
                <w:lang w:val="en-US" w:eastAsia="zh-CN" w:bidi="ar"/>
              </w:rPr>
              <w:t>10</w:t>
            </w:r>
          </w:p>
        </w:tc>
      </w:tr>
    </w:tbl>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经济效益指标。对园区企业进行扶持金奖励，推动了园区企业加快生产的脚步。该指标设置分值为10分，得分10分。</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社会效益指标。对企业扶持金奖励有效带动区域经济的发展，该指标设置分值为10分，得分10分。</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可持续影响指标。已落户的网安创新谷是以“网络安全”、“信息技术”为主题设立的产业服务平台。作为产业孵化器，创新谷已经签约入驻了23家企业，包括工控安全、业务安全和信息安全领域。未来还将引进70至80家企业，形成产业‘火种’，与网安基地互联成为区内两大互联网安防支点。该指标设置分为10分，得分10分。</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highlight w:val="none"/>
          <w:lang w:val="en-US" w:eastAsia="zh-CN"/>
        </w:rPr>
      </w:pPr>
      <w:r>
        <w:rPr>
          <w:rFonts w:hint="default" w:ascii="Times New Roman" w:hAnsi="Times New Roman" w:eastAsia="楷体" w:cs="Times New Roman"/>
          <w:color w:val="000000"/>
          <w:spacing w:val="0"/>
          <w:w w:val="100"/>
          <w:position w:val="0"/>
          <w:sz w:val="32"/>
          <w:szCs w:val="32"/>
          <w:highlight w:val="none"/>
          <w:lang w:val="en-US" w:eastAsia="zh-CN"/>
        </w:rPr>
        <w:t>2.3.2.3满意度指标完成情况分析。</w:t>
      </w:r>
    </w:p>
    <w:p>
      <w:pPr>
        <w:pStyle w:val="12"/>
        <w:keepNext w:val="0"/>
        <w:keepLines w:val="0"/>
        <w:pageBreakBefore w:val="0"/>
        <w:widowControl w:val="0"/>
        <w:numPr>
          <w:ilvl w:val="0"/>
          <w:numId w:val="0"/>
        </w:numPr>
        <w:shd w:val="clear" w:color="auto" w:fill="auto"/>
        <w:tabs>
          <w:tab w:val="left" w:pos="1418"/>
        </w:tabs>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通过调查问卷</w:t>
      </w:r>
      <w:r>
        <w:rPr>
          <w:rFonts w:hint="eastAsia" w:ascii="Times New Roman" w:hAnsi="Times New Roman" w:eastAsia="仿宋" w:cs="Times New Roman"/>
          <w:color w:val="000000"/>
          <w:spacing w:val="0"/>
          <w:w w:val="100"/>
          <w:position w:val="0"/>
          <w:sz w:val="32"/>
          <w:szCs w:val="32"/>
          <w:lang w:val="en-US" w:eastAsia="zh-CN"/>
        </w:rPr>
        <w:t>的方式，</w:t>
      </w:r>
      <w:r>
        <w:rPr>
          <w:rFonts w:hint="default" w:ascii="Times New Roman" w:hAnsi="Times New Roman" w:eastAsia="仿宋" w:cs="Times New Roman"/>
          <w:color w:val="000000"/>
          <w:spacing w:val="0"/>
          <w:w w:val="100"/>
          <w:position w:val="0"/>
          <w:sz w:val="32"/>
          <w:szCs w:val="32"/>
          <w:lang w:val="en-US" w:eastAsia="zh-CN"/>
        </w:rPr>
        <w:t>抽查</w:t>
      </w:r>
      <w:r>
        <w:rPr>
          <w:rFonts w:hint="eastAsia" w:ascii="Times New Roman" w:hAnsi="Times New Roman" w:eastAsia="仿宋" w:cs="Times New Roman"/>
          <w:color w:val="000000"/>
          <w:spacing w:val="0"/>
          <w:w w:val="100"/>
          <w:position w:val="0"/>
          <w:sz w:val="32"/>
          <w:szCs w:val="32"/>
          <w:lang w:val="en-US" w:eastAsia="zh-CN"/>
        </w:rPr>
        <w:t>的</w:t>
      </w:r>
      <w:r>
        <w:rPr>
          <w:rFonts w:hint="default" w:ascii="Times New Roman" w:hAnsi="Times New Roman" w:eastAsia="仿宋" w:cs="Times New Roman"/>
          <w:color w:val="000000"/>
          <w:spacing w:val="0"/>
          <w:w w:val="100"/>
          <w:position w:val="0"/>
          <w:sz w:val="32"/>
          <w:szCs w:val="32"/>
          <w:lang w:val="en-US" w:eastAsia="zh-CN"/>
        </w:rPr>
        <w:t>招商引资企业对本项目服务满意度较高。该指标设置分为10分，得分10分。</w:t>
      </w:r>
    </w:p>
    <w:p>
      <w:pPr>
        <w:pStyle w:val="12"/>
        <w:keepNext w:val="0"/>
        <w:keepLines w:val="0"/>
        <w:pageBreakBefore w:val="0"/>
        <w:widowControl w:val="0"/>
        <w:numPr>
          <w:ilvl w:val="0"/>
          <w:numId w:val="0"/>
        </w:numPr>
        <w:shd w:val="clear" w:color="auto" w:fill="auto"/>
        <w:tabs>
          <w:tab w:val="left" w:pos="1418"/>
        </w:tabs>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default" w:ascii="楷体" w:hAnsi="楷体" w:eastAsia="楷体" w:cs="楷体"/>
          <w:color w:val="000000"/>
          <w:spacing w:val="0"/>
          <w:w w:val="100"/>
          <w:position w:val="0"/>
          <w:sz w:val="32"/>
          <w:szCs w:val="32"/>
          <w:u w:val="none"/>
          <w:shd w:val="clear" w:color="auto" w:fill="auto"/>
          <w:lang w:val="en-US" w:eastAsia="zh-CN" w:bidi="zh-TW"/>
        </w:rPr>
      </w:pPr>
      <w:r>
        <w:rPr>
          <w:rFonts w:hint="eastAsia" w:ascii="楷体" w:hAnsi="楷体" w:eastAsia="楷体" w:cs="楷体"/>
          <w:color w:val="000000"/>
          <w:spacing w:val="0"/>
          <w:w w:val="100"/>
          <w:position w:val="0"/>
          <w:sz w:val="32"/>
          <w:szCs w:val="32"/>
          <w:u w:val="none"/>
          <w:shd w:val="clear" w:color="auto" w:fill="auto"/>
          <w:lang w:val="en-US" w:eastAsia="zh-CN" w:bidi="zh-TW"/>
        </w:rPr>
        <w:t>2.4</w:t>
      </w:r>
      <w:r>
        <w:rPr>
          <w:rFonts w:hint="default" w:ascii="楷体" w:hAnsi="楷体" w:eastAsia="楷体" w:cs="楷体"/>
          <w:color w:val="000000"/>
          <w:spacing w:val="0"/>
          <w:w w:val="100"/>
          <w:position w:val="0"/>
          <w:sz w:val="32"/>
          <w:szCs w:val="32"/>
          <w:u w:val="none"/>
          <w:shd w:val="clear" w:color="auto" w:fill="auto"/>
          <w:lang w:val="en-US" w:eastAsia="zh-CN" w:bidi="zh-TW"/>
        </w:rPr>
        <w:t>上年度部门自评结果应用情况</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仿宋" w:hAnsi="仿宋" w:eastAsia="仿宋" w:cs="仿宋"/>
          <w:color w:val="000000"/>
          <w:spacing w:val="0"/>
          <w:w w:val="100"/>
          <w:position w:val="0"/>
          <w:sz w:val="32"/>
          <w:szCs w:val="32"/>
          <w:lang w:val="en-US" w:eastAsia="zh-CN"/>
        </w:rPr>
      </w:pPr>
      <w:r>
        <w:rPr>
          <w:rFonts w:hint="default" w:ascii="仿宋" w:hAnsi="仿宋" w:eastAsia="仿宋" w:cs="仿宋"/>
          <w:color w:val="000000"/>
          <w:spacing w:val="0"/>
          <w:w w:val="100"/>
          <w:position w:val="0"/>
          <w:sz w:val="32"/>
          <w:szCs w:val="32"/>
          <w:lang w:val="en-US" w:eastAsia="zh-CN"/>
        </w:rPr>
        <w:t>无。</w:t>
      </w:r>
      <w:bookmarkStart w:id="11" w:name="_GoBack"/>
      <w:bookmarkEnd w:id="11"/>
    </w:p>
    <w:sectPr>
      <w:footerReference r:id="rId5" w:type="default"/>
      <w:type w:val="continuous"/>
      <w:pgSz w:w="11906" w:h="16838"/>
      <w:pgMar w:top="2098" w:right="1474" w:bottom="1984" w:left="158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UnicodeMS">
    <w:altName w:val="hakuyoxingshu7000"/>
    <w:panose1 w:val="00000000000000000000"/>
    <w:charset w:val="00"/>
    <w:family w:val="auto"/>
    <w:pitch w:val="default"/>
    <w:sig w:usb0="00000000" w:usb1="00000000" w:usb2="0000003F" w:usb3="00000000" w:csb0="003F01FF" w:csb1="00000000"/>
  </w:font>
  <w:font w:name="hakuyoxingshu7000">
    <w:panose1 w:val="02000600000000000000"/>
    <w:charset w:val="86"/>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
                    </w:pPr>
                    <w: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95CFD"/>
    <w:rsid w:val="06E91769"/>
    <w:rsid w:val="06FB3479"/>
    <w:rsid w:val="0BFC6D21"/>
    <w:rsid w:val="0D99316E"/>
    <w:rsid w:val="10F442F7"/>
    <w:rsid w:val="1569488D"/>
    <w:rsid w:val="18052E7B"/>
    <w:rsid w:val="1B5051A1"/>
    <w:rsid w:val="1B671E60"/>
    <w:rsid w:val="1D0D4E9C"/>
    <w:rsid w:val="2A8C37D8"/>
    <w:rsid w:val="2E971A43"/>
    <w:rsid w:val="30C870B2"/>
    <w:rsid w:val="350E05D4"/>
    <w:rsid w:val="3B66531D"/>
    <w:rsid w:val="3C26538D"/>
    <w:rsid w:val="3D7110D0"/>
    <w:rsid w:val="3EA20934"/>
    <w:rsid w:val="3F644749"/>
    <w:rsid w:val="447C6DA3"/>
    <w:rsid w:val="47C74F7A"/>
    <w:rsid w:val="4BF633A9"/>
    <w:rsid w:val="4F9065B1"/>
    <w:rsid w:val="50081561"/>
    <w:rsid w:val="52025A13"/>
    <w:rsid w:val="534B6144"/>
    <w:rsid w:val="54BF1160"/>
    <w:rsid w:val="55152371"/>
    <w:rsid w:val="55E70A52"/>
    <w:rsid w:val="60062D41"/>
    <w:rsid w:val="64271461"/>
    <w:rsid w:val="65234660"/>
    <w:rsid w:val="6A2A340B"/>
    <w:rsid w:val="6AC82FEB"/>
    <w:rsid w:val="77D3075A"/>
    <w:rsid w:val="7A81594B"/>
    <w:rsid w:val="7C594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仿宋" w:hAnsi="仿宋" w:eastAsia="仿宋" w:cs="仿宋"/>
      <w:sz w:val="32"/>
      <w:szCs w:val="32"/>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bCs/>
    </w:rPr>
  </w:style>
  <w:style w:type="paragraph" w:customStyle="1" w:styleId="9">
    <w:name w:val="Body text|4"/>
    <w:basedOn w:val="1"/>
    <w:qFormat/>
    <w:uiPriority w:val="0"/>
    <w:pPr>
      <w:widowControl w:val="0"/>
      <w:shd w:val="clear" w:color="auto" w:fill="auto"/>
      <w:spacing w:after="210" w:line="518" w:lineRule="exact"/>
    </w:pPr>
    <w:rPr>
      <w:sz w:val="26"/>
      <w:szCs w:val="26"/>
      <w:u w:val="none"/>
      <w:shd w:val="clear" w:color="auto" w:fill="auto"/>
      <w:lang w:val="zh-TW" w:eastAsia="zh-TW" w:bidi="zh-TW"/>
    </w:rPr>
  </w:style>
  <w:style w:type="paragraph" w:customStyle="1" w:styleId="10">
    <w:name w:val="Heading #2|1"/>
    <w:basedOn w:val="1"/>
    <w:qFormat/>
    <w:uiPriority w:val="0"/>
    <w:pPr>
      <w:widowControl w:val="0"/>
      <w:shd w:val="clear" w:color="auto" w:fill="auto"/>
      <w:spacing w:after="680" w:line="698" w:lineRule="exact"/>
      <w:jc w:val="center"/>
      <w:outlineLvl w:val="1"/>
    </w:pPr>
    <w:rPr>
      <w:rFonts w:ascii="宋体" w:hAnsi="宋体" w:eastAsia="宋体" w:cs="宋体"/>
      <w:sz w:val="42"/>
      <w:szCs w:val="42"/>
      <w:u w:val="none"/>
      <w:shd w:val="clear" w:color="auto" w:fill="auto"/>
      <w:lang w:val="zh-TW" w:eastAsia="zh-TW" w:bidi="zh-TW"/>
    </w:rPr>
  </w:style>
  <w:style w:type="paragraph" w:customStyle="1" w:styleId="11">
    <w:name w:val="Body text|2"/>
    <w:basedOn w:val="1"/>
    <w:qFormat/>
    <w:uiPriority w:val="0"/>
    <w:pPr>
      <w:widowControl w:val="0"/>
      <w:shd w:val="clear" w:color="auto" w:fill="auto"/>
      <w:spacing w:line="312" w:lineRule="exact"/>
      <w:ind w:firstLine="460"/>
    </w:pPr>
    <w:rPr>
      <w:rFonts w:ascii="宋体" w:hAnsi="宋体" w:eastAsia="宋体" w:cs="宋体"/>
      <w:sz w:val="20"/>
      <w:szCs w:val="20"/>
      <w:u w:val="none"/>
      <w:shd w:val="clear" w:color="auto" w:fill="auto"/>
      <w:lang w:val="zh-TW" w:eastAsia="zh-TW" w:bidi="zh-TW"/>
    </w:rPr>
  </w:style>
  <w:style w:type="paragraph" w:customStyle="1" w:styleId="12">
    <w:name w:val="Body text|1"/>
    <w:basedOn w:val="1"/>
    <w:qFormat/>
    <w:uiPriority w:val="0"/>
    <w:pPr>
      <w:widowControl w:val="0"/>
      <w:shd w:val="clear" w:color="auto" w:fill="auto"/>
      <w:spacing w:line="420" w:lineRule="auto"/>
      <w:ind w:firstLine="400"/>
    </w:pPr>
    <w:rPr>
      <w:rFonts w:ascii="宋体" w:hAnsi="宋体" w:eastAsia="宋体" w:cs="宋体"/>
      <w:sz w:val="28"/>
      <w:szCs w:val="28"/>
      <w:u w:val="none"/>
      <w:shd w:val="clear" w:color="auto" w:fill="auto"/>
      <w:lang w:val="zh-TW" w:eastAsia="zh-TW" w:bidi="zh-TW"/>
    </w:rPr>
  </w:style>
  <w:style w:type="paragraph" w:customStyle="1" w:styleId="13">
    <w:name w:val="Header or footer|1"/>
    <w:basedOn w:val="1"/>
    <w:qFormat/>
    <w:uiPriority w:val="0"/>
    <w:pPr>
      <w:widowControl w:val="0"/>
      <w:shd w:val="clear" w:color="auto" w:fill="auto"/>
    </w:pPr>
    <w:rPr>
      <w:sz w:val="26"/>
      <w:szCs w:val="26"/>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Coco</cp:lastModifiedBy>
  <dcterms:modified xsi:type="dcterms:W3CDTF">2021-05-31T02:18:41Z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639E0DA5A9E646AE8B99C27429FFF1CF</vt:lpwstr>
  </property>
</Properties>
</file>