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atLeast"/>
        <w:ind w:firstLine="2400" w:firstLineChars="600"/>
        <w:jc w:val="both"/>
        <w:rPr>
          <w:rFonts w:hint="eastAsia" w:ascii="方正小标宋简体" w:hAnsi="方正小标宋简体" w:eastAsia="方正小标宋简体" w:cs="方正小标宋简体"/>
          <w:color w:val="000000"/>
          <w:kern w:val="0"/>
          <w:sz w:val="40"/>
          <w:szCs w:val="40"/>
          <w:lang w:eastAsia="zh-CN"/>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退地人员生活费</w:t>
      </w:r>
    </w:p>
    <w:p>
      <w:pPr>
        <w:keepNext w:val="0"/>
        <w:keepLines w:val="0"/>
        <w:pageBreakBefore w:val="0"/>
        <w:widowControl/>
        <w:kinsoku/>
        <w:wordWrap/>
        <w:overflowPunct/>
        <w:topLinePunct w:val="0"/>
        <w:autoSpaceDE/>
        <w:autoSpaceDN/>
        <w:bidi w:val="0"/>
        <w:adjustRightInd/>
        <w:spacing w:line="560" w:lineRule="atLeast"/>
        <w:jc w:val="center"/>
        <w:rPr>
          <w:rFonts w:hint="default" w:ascii="方正小标宋简体" w:hAnsi="方正小标宋简体" w:eastAsia="方正小标宋简体" w:cs="方正小标宋简体"/>
          <w:color w:val="000000"/>
          <w:kern w:val="0"/>
          <w:sz w:val="40"/>
          <w:szCs w:val="40"/>
          <w:lang w:val="en-US" w:eastAsia="zh-CN"/>
        </w:rPr>
      </w:pPr>
      <w:r>
        <w:rPr>
          <w:rFonts w:hint="eastAsia" w:ascii="方正小标宋简体" w:hAnsi="方正小标宋简体" w:eastAsia="方正小标宋简体" w:cs="方正小标宋简体"/>
          <w:color w:val="000000"/>
          <w:kern w:val="0"/>
          <w:sz w:val="40"/>
          <w:szCs w:val="40"/>
          <w:lang w:eastAsia="zh-CN"/>
        </w:rPr>
        <w:t>发放</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lang w:val="en-US" w:eastAsia="zh-CN"/>
        </w:rPr>
        <w:t>结果</w:t>
      </w:r>
    </w:p>
    <w:p>
      <w:pPr>
        <w:keepNext w:val="0"/>
        <w:keepLines w:val="0"/>
        <w:pageBreakBefore w:val="0"/>
        <w:widowControl/>
        <w:kinsoku/>
        <w:wordWrap/>
        <w:overflowPunct/>
        <w:topLinePunct w:val="0"/>
        <w:autoSpaceDE/>
        <w:autoSpaceDN/>
        <w:bidi w:val="0"/>
        <w:adjustRightInd/>
        <w:spacing w:line="560" w:lineRule="atLeast"/>
        <w:jc w:val="center"/>
        <w:rPr>
          <w:rFonts w:hint="eastAsia" w:ascii="Times New Roman" w:hAnsi="Times New Roman" w:eastAsia="楷体" w:cs="Times New Roman"/>
          <w:color w:val="000000"/>
          <w:spacing w:val="0"/>
          <w:w w:val="100"/>
          <w:kern w:val="0"/>
          <w:position w:val="0"/>
          <w:sz w:val="32"/>
          <w:szCs w:val="32"/>
          <w:lang w:val="en-US" w:eastAsia="zh-CN"/>
        </w:rPr>
      </w:pPr>
      <w:r>
        <w:rPr>
          <w:rFonts w:hint="eastAsia" w:ascii="Times New Roman" w:hAnsi="Times New Roman" w:eastAsia="楷体" w:cs="Times New Roman"/>
          <w:color w:val="000000"/>
          <w:spacing w:val="0"/>
          <w:w w:val="100"/>
          <w:kern w:val="0"/>
          <w:position w:val="0"/>
          <w:sz w:val="32"/>
          <w:szCs w:val="32"/>
          <w:lang w:val="en-US" w:eastAsia="zh-CN"/>
        </w:rPr>
        <w:t>（缩略版）</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2717"/>
        <w:gridCol w:w="1773"/>
        <w:gridCol w:w="1789"/>
        <w:gridCol w:w="1660"/>
      </w:tblGrid>
      <w:tr>
        <w:tblPrEx>
          <w:tblCellMar>
            <w:top w:w="0" w:type="dxa"/>
            <w:left w:w="10" w:type="dxa"/>
            <w:bottom w:w="0" w:type="dxa"/>
            <w:right w:w="10" w:type="dxa"/>
          </w:tblCellMar>
        </w:tblPrEx>
        <w:trPr>
          <w:trHeight w:val="499"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color w:val="000000"/>
                <w:spacing w:val="0"/>
                <w:w w:val="100"/>
                <w:kern w:val="0"/>
                <w:position w:val="0"/>
                <w:sz w:val="28"/>
                <w:szCs w:val="28"/>
                <w:u w:val="none"/>
                <w:shd w:val="clear" w:color="auto" w:fill="auto"/>
                <w:lang w:val="en-US" w:eastAsia="zh-CN" w:bidi="zh-TW"/>
              </w:rPr>
              <w:t>18.33</w:t>
            </w:r>
          </w:p>
        </w:tc>
      </w:tr>
      <w:tr>
        <w:tblPrEx>
          <w:tblCellMar>
            <w:top w:w="0" w:type="dxa"/>
            <w:left w:w="10" w:type="dxa"/>
            <w:bottom w:w="0" w:type="dxa"/>
            <w:right w:w="10" w:type="dxa"/>
          </w:tblCellMar>
        </w:tblPrEx>
        <w:trPr>
          <w:trHeight w:val="494"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40</w:t>
            </w:r>
            <w:r>
              <w:rPr>
                <w:rFonts w:hint="eastAsia" w:ascii="仿宋" w:hAnsi="仿宋" w:eastAsia="仿宋" w:cs="仿宋"/>
                <w:b w:val="0"/>
                <w:bCs w:val="0"/>
                <w:color w:val="000000"/>
                <w:spacing w:val="0"/>
                <w:w w:val="100"/>
                <w:position w:val="0"/>
                <w:sz w:val="28"/>
                <w:szCs w:val="28"/>
                <w:highlight w:val="none"/>
              </w:rPr>
              <w:t>%</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34.88</w:t>
            </w:r>
          </w:p>
        </w:tc>
      </w:tr>
      <w:tr>
        <w:tblPrEx>
          <w:tblCellMar>
            <w:top w:w="0" w:type="dxa"/>
            <w:left w:w="10" w:type="dxa"/>
            <w:bottom w:w="0" w:type="dxa"/>
            <w:right w:w="10" w:type="dxa"/>
          </w:tblCellMar>
        </w:tblPrEx>
        <w:trPr>
          <w:trHeight w:val="490"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r>
      <w:tr>
        <w:tblPrEx>
          <w:tblCellMar>
            <w:top w:w="0" w:type="dxa"/>
            <w:left w:w="10" w:type="dxa"/>
            <w:bottom w:w="0" w:type="dxa"/>
            <w:right w:w="10" w:type="dxa"/>
          </w:tblCellMar>
        </w:tblPrEx>
        <w:trPr>
          <w:trHeight w:val="490"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tabs>
                <w:tab w:val="center" w:pos="876"/>
              </w:tabs>
              <w:kinsoku/>
              <w:wordWrap/>
              <w:overflowPunct/>
              <w:topLinePunct w:val="0"/>
              <w:autoSpaceDE/>
              <w:autoSpaceDN/>
              <w:bidi w:val="0"/>
              <w:adjustRightInd/>
              <w:snapToGrid/>
              <w:spacing w:before="0" w:after="0" w:line="560" w:lineRule="atLeast"/>
              <w:ind w:left="0" w:leftChars="0" w:right="0" w:firstLine="0" w:firstLineChars="0"/>
              <w:jc w:val="center"/>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color w:val="000000"/>
                <w:spacing w:val="0"/>
                <w:w w:val="100"/>
                <w:position w:val="0"/>
                <w:sz w:val="28"/>
                <w:szCs w:val="28"/>
                <w:highlight w:val="none"/>
                <w:lang w:val="en-US" w:eastAsia="zh-CN"/>
              </w:rPr>
              <w:t>10</w:t>
            </w:r>
            <w:r>
              <w:rPr>
                <w:rFonts w:hint="eastAsia" w:ascii="仿宋" w:hAnsi="仿宋" w:eastAsia="仿宋" w:cs="仿宋"/>
                <w:b w:val="0"/>
                <w:bCs w:val="0"/>
                <w:color w:val="000000"/>
                <w:spacing w:val="0"/>
                <w:w w:val="100"/>
                <w:position w:val="0"/>
                <w:sz w:val="28"/>
                <w:szCs w:val="28"/>
                <w:highlight w:val="none"/>
              </w:rPr>
              <w:t>%</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w:t>
            </w:r>
            <w:r>
              <w:rPr>
                <w:rFonts w:hint="eastAsia" w:ascii="仿宋" w:hAnsi="仿宋" w:eastAsia="仿宋" w:cs="仿宋"/>
                <w:b w:val="0"/>
                <w:bCs w:val="0"/>
                <w:color w:val="000000"/>
                <w:spacing w:val="0"/>
                <w:w w:val="100"/>
                <w:position w:val="0"/>
                <w:sz w:val="28"/>
                <w:szCs w:val="28"/>
                <w:highlight w:val="none"/>
              </w:rPr>
              <w:t>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10</w:t>
            </w:r>
          </w:p>
        </w:tc>
      </w:tr>
      <w:tr>
        <w:tblPrEx>
          <w:tblCellMar>
            <w:top w:w="0" w:type="dxa"/>
            <w:left w:w="10" w:type="dxa"/>
            <w:bottom w:w="0" w:type="dxa"/>
            <w:right w:w="10" w:type="dxa"/>
          </w:tblCellMar>
        </w:tblPrEx>
        <w:trPr>
          <w:trHeight w:val="504"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default" w:ascii="仿宋" w:hAnsi="仿宋" w:eastAsia="仿宋" w:cs="仿宋"/>
                <w:b w:val="0"/>
                <w:bCs w:val="0"/>
                <w:sz w:val="28"/>
                <w:szCs w:val="28"/>
                <w:highlight w:val="none"/>
                <w:lang w:val="en-US" w:eastAsia="zh-CN"/>
              </w:rPr>
              <w:t>93.21</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499"/>
        <w:jc w:val="both"/>
        <w:textAlignment w:val="auto"/>
        <w:rPr>
          <w:rFonts w:hint="eastAsia" w:ascii="仿宋" w:hAnsi="仿宋" w:eastAsia="仿宋" w:cs="仿宋"/>
          <w:color w:val="000000"/>
          <w:spacing w:val="0"/>
          <w:w w:val="100"/>
          <w:kern w:val="0"/>
          <w:position w:val="0"/>
          <w:sz w:val="32"/>
          <w:szCs w:val="32"/>
          <w:u w:val="none"/>
          <w:shd w:val="clear" w:color="auto" w:fill="auto"/>
          <w:lang w:val="zh-TW"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执行率情况；本年度预算1029.82万元，执行数1015.84万元，执行率91.66%。</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20分，得分18.33分。</w:t>
      </w:r>
      <w:r>
        <w:rPr>
          <w:rFonts w:hint="eastAsia" w:ascii="仿宋" w:hAnsi="仿宋" w:eastAsia="仿宋" w:cs="仿宋"/>
          <w:color w:val="000000"/>
          <w:spacing w:val="0"/>
          <w:w w:val="100"/>
          <w:kern w:val="0"/>
          <w:position w:val="0"/>
          <w:sz w:val="32"/>
          <w:szCs w:val="32"/>
          <w:u w:val="none"/>
          <w:shd w:val="clear" w:color="auto" w:fill="auto"/>
          <w:lang w:val="zh-TW" w:eastAsia="zh-CN" w:bidi="zh-TW"/>
        </w:rPr>
        <w:t>预算执行率</w:t>
      </w:r>
      <w:r>
        <w:rPr>
          <w:rFonts w:hint="eastAsia" w:ascii="仿宋" w:hAnsi="仿宋" w:eastAsia="仿宋" w:cs="仿宋"/>
          <w:color w:val="000000"/>
          <w:spacing w:val="0"/>
          <w:w w:val="100"/>
          <w:kern w:val="0"/>
          <w:position w:val="0"/>
          <w:sz w:val="32"/>
          <w:szCs w:val="32"/>
          <w:u w:val="none"/>
          <w:shd w:val="clear" w:color="auto" w:fill="auto"/>
          <w:lang w:val="en-US" w:eastAsia="zh-CN" w:bidi="zh-TW"/>
        </w:rPr>
        <w:t>为</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91.66%</w:t>
      </w:r>
      <w:r>
        <w:rPr>
          <w:rFonts w:hint="eastAsia" w:ascii="仿宋" w:hAnsi="仿宋" w:eastAsia="仿宋" w:cs="仿宋"/>
          <w:color w:val="000000"/>
          <w:spacing w:val="0"/>
          <w:w w:val="100"/>
          <w:kern w:val="0"/>
          <w:position w:val="0"/>
          <w:sz w:val="32"/>
          <w:szCs w:val="32"/>
          <w:u w:val="none"/>
          <w:shd w:val="clear" w:color="auto" w:fill="auto"/>
          <w:lang w:val="en-US" w:eastAsia="zh-CN" w:bidi="zh-TW"/>
        </w:rPr>
        <w:t>其原因为</w:t>
      </w:r>
      <w:r>
        <w:rPr>
          <w:rFonts w:hint="eastAsia" w:ascii="仿宋" w:hAnsi="仿宋" w:eastAsia="仿宋" w:cs="仿宋"/>
          <w:color w:val="000000"/>
          <w:spacing w:val="0"/>
          <w:w w:val="100"/>
          <w:kern w:val="0"/>
          <w:position w:val="0"/>
          <w:sz w:val="32"/>
          <w:szCs w:val="32"/>
          <w:u w:val="none"/>
          <w:shd w:val="clear" w:color="auto" w:fill="auto"/>
          <w:lang w:val="zh-TW" w:eastAsia="zh-CN" w:bidi="zh-TW"/>
        </w:rPr>
        <w:t>在申报预算时发放人员数量及发放标准预计不准确，所以出现预算申报金额大于实际发放金额的情况。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7"/>
        <w:gridCol w:w="2135"/>
        <w:gridCol w:w="1466"/>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7"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135"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6"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319"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费用增加率（10分）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0</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对经济的发展（10分）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社会稳定（10分）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政府公信力（10分）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受益对象满意度指标（10分）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受益对象满意度（10分）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≥95%</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95%</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2135"/>
        <w:gridCol w:w="1466"/>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1"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135"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6"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319"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41"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生活费发放人数</w:t>
            </w:r>
          </w:p>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517</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462</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41"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w:t>
            </w:r>
          </w:p>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生活费发放率（10分）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大于99%</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89.4%</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41"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时效指标（10分）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发放及时性（10分）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70%</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1.3存在的问题及原因</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①绩效管理水平有待提高，项目执行过程中有效约束力不够。</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②由于户数多且当时有部分合同未完善，导致生活费发放不够及时。</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1.4下一步拟改进措施</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2佐证材料</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2.1基本情况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2.1.1.项目立项目的和年度绩效目标</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pacing w:before="0" w:after="180" w:line="560" w:lineRule="atLeast"/>
        <w:ind w:leftChars="0" w:right="0" w:rightChars="0" w:firstLine="640" w:firstLineChars="200"/>
        <w:jc w:val="both"/>
        <w:rPr>
          <w:rFonts w:hint="default"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项目立项用于发放退地人员生活费，项目年初总预算1108.24万。</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8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2.1.2项目资金本年度情况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7"/>
        <w:gridCol w:w="5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7"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项目总预算</w:t>
            </w:r>
          </w:p>
        </w:tc>
        <w:tc>
          <w:tcPr>
            <w:tcW w:w="5855"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1108.24万元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7"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资金构成</w:t>
            </w:r>
          </w:p>
        </w:tc>
        <w:tc>
          <w:tcPr>
            <w:tcW w:w="5855"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7"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投向</w:t>
            </w:r>
          </w:p>
        </w:tc>
        <w:tc>
          <w:tcPr>
            <w:tcW w:w="5855"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default"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用于大队及各二级单位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7"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用途</w:t>
            </w:r>
          </w:p>
        </w:tc>
        <w:tc>
          <w:tcPr>
            <w:tcW w:w="5855"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各项基础性设施建设及维修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7"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分配方式</w:t>
            </w:r>
          </w:p>
        </w:tc>
        <w:tc>
          <w:tcPr>
            <w:tcW w:w="5855" w:type="dxa"/>
          </w:tcPr>
          <w:p>
            <w:pPr>
              <w:keepNext w:val="0"/>
              <w:keepLines w:val="0"/>
              <w:pageBreakBefore w:val="0"/>
              <w:kinsoku/>
              <w:wordWrap/>
              <w:overflowPunct/>
              <w:topLinePunct w:val="0"/>
              <w:autoSpaceDE/>
              <w:autoSpaceDN/>
              <w:bidi w:val="0"/>
              <w:adjustRightInd/>
              <w:spacing w:line="560" w:lineRule="atLeast"/>
              <w:rPr>
                <w:rFonts w:hint="default"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按项目支出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7"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结果</w:t>
            </w:r>
          </w:p>
        </w:tc>
        <w:tc>
          <w:tcPr>
            <w:tcW w:w="5855" w:type="dxa"/>
          </w:tcPr>
          <w:p>
            <w:pPr>
              <w:keepNext w:val="0"/>
              <w:keepLines w:val="0"/>
              <w:pageBreakBefore w:val="0"/>
              <w:kinsoku/>
              <w:wordWrap/>
              <w:overflowPunct/>
              <w:topLinePunct w:val="0"/>
              <w:autoSpaceDE/>
              <w:autoSpaceDN/>
              <w:bidi w:val="0"/>
              <w:adjustRightInd/>
              <w:spacing w:line="560" w:lineRule="atLeast"/>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资金使用情况达91.66%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7" w:type="dxa"/>
          </w:tcPr>
          <w:p>
            <w:pPr>
              <w:pStyle w:val="9"/>
              <w:keepNext w:val="0"/>
              <w:keepLines w:val="0"/>
              <w:pageBreakBefore w:val="0"/>
              <w:widowControl w:val="0"/>
              <w:numPr>
                <w:ilvl w:val="0"/>
                <w:numId w:val="0"/>
              </w:numPr>
              <w:shd w:val="clear"/>
              <w:kinsoku/>
              <w:wordWrap/>
              <w:overflowPunct/>
              <w:topLinePunct w:val="0"/>
              <w:autoSpaceDE/>
              <w:autoSpaceDN/>
              <w:bidi w:val="0"/>
              <w:adjustRightInd/>
              <w:spacing w:before="0" w:after="180" w:line="560" w:lineRule="atLeast"/>
              <w:ind w:right="0" w:rightChars="0"/>
              <w:jc w:val="both"/>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延续性项目支付情况</w:t>
            </w:r>
          </w:p>
        </w:tc>
        <w:tc>
          <w:tcPr>
            <w:tcW w:w="5855" w:type="dxa"/>
          </w:tcPr>
          <w:p>
            <w:pPr>
              <w:keepNext w:val="0"/>
              <w:keepLines w:val="0"/>
              <w:pageBreakBefore w:val="0"/>
              <w:kinsoku/>
              <w:wordWrap/>
              <w:overflowPunct/>
              <w:topLinePunct w:val="0"/>
              <w:autoSpaceDE/>
              <w:autoSpaceDN/>
              <w:bidi w:val="0"/>
              <w:adjustRightInd/>
              <w:spacing w:line="560" w:lineRule="atLeast"/>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4"/>
                <w:szCs w:val="24"/>
                <w:highlight w:val="none"/>
                <w:u w:val="none"/>
                <w:shd w:val="clear" w:color="auto" w:fill="auto"/>
                <w:lang w:val="en-US" w:eastAsia="zh-CN" w:bidi="zh-TW"/>
              </w:rPr>
              <w:t>2020年预算支出1015.84万元</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2.1.3部门自评工作开展情况</w:t>
      </w:r>
    </w:p>
    <w:p>
      <w:pPr>
        <w:pStyle w:val="9"/>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200" w:right="0" w:rightChars="0" w:firstLine="320" w:firstLineChars="1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①前期准备阶段</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2021年4月，武汉市东西湖区人民政府东山街道办事处按照区财政局《关于开展2020年度预算绩效评价及结果应用工作的通知》（东财〔2020〕42号）中开展财政支出绩效评价工作的要求，对项目资金和部门整体支出的预算资金作为本次自评的对象，在组建武汉市东西湖区人民政府东山街道办事处2021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②具体组织过程</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③撰写项目绩效评价报告。</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根据整理分析基础上评分，形成综合评价结果。</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④建立绩效评价工作档案。</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2.2绩效目标完成情况分析</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2.2.1预算执行情况分析</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5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2020年度项目实际支出共1015.84万元。完成率达到91.66%。</w:t>
      </w:r>
      <w:r>
        <w:rPr>
          <w:rFonts w:hint="eastAsia" w:ascii="仿宋" w:hAnsi="仿宋" w:eastAsia="仿宋" w:cs="仿宋"/>
          <w:color w:val="000000"/>
          <w:spacing w:val="0"/>
          <w:w w:val="100"/>
          <w:kern w:val="0"/>
          <w:position w:val="0"/>
          <w:sz w:val="32"/>
          <w:szCs w:val="32"/>
          <w:u w:val="none"/>
          <w:shd w:val="clear" w:color="auto" w:fill="auto"/>
          <w:lang w:val="en-US" w:eastAsia="zh-CN" w:bidi="zh-TW"/>
        </w:rPr>
        <w:t>其原因为</w:t>
      </w:r>
      <w:r>
        <w:rPr>
          <w:rFonts w:hint="eastAsia" w:ascii="仿宋" w:hAnsi="仿宋" w:eastAsia="仿宋" w:cs="仿宋"/>
          <w:color w:val="000000"/>
          <w:spacing w:val="0"/>
          <w:w w:val="100"/>
          <w:kern w:val="0"/>
          <w:position w:val="0"/>
          <w:sz w:val="32"/>
          <w:szCs w:val="32"/>
          <w:u w:val="none"/>
          <w:shd w:val="clear" w:color="auto" w:fill="auto"/>
          <w:lang w:val="zh-TW" w:eastAsia="zh-CN" w:bidi="zh-TW"/>
        </w:rPr>
        <w:t>在申报预算时发放人员数量及发放标准预计不准确，所以出现预算申报金额大于实际发放金额的情况。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各项目支出金额明细见下表：</w:t>
      </w:r>
    </w:p>
    <w:tbl>
      <w:tblPr>
        <w:tblStyle w:val="6"/>
        <w:tblW w:w="7963" w:type="dxa"/>
        <w:tblInd w:w="93" w:type="dxa"/>
        <w:shd w:val="clear" w:color="auto" w:fill="auto"/>
        <w:tblLayout w:type="fixed"/>
        <w:tblCellMar>
          <w:top w:w="0" w:type="dxa"/>
          <w:left w:w="108" w:type="dxa"/>
          <w:bottom w:w="0" w:type="dxa"/>
          <w:right w:w="108" w:type="dxa"/>
        </w:tblCellMar>
      </w:tblPr>
      <w:tblGrid>
        <w:gridCol w:w="920"/>
        <w:gridCol w:w="1883"/>
        <w:gridCol w:w="3315"/>
        <w:gridCol w:w="1845"/>
      </w:tblGrid>
      <w:tr>
        <w:tblPrEx>
          <w:tblCellMar>
            <w:top w:w="0" w:type="dxa"/>
            <w:left w:w="108" w:type="dxa"/>
            <w:bottom w:w="0" w:type="dxa"/>
            <w:right w:w="108" w:type="dxa"/>
          </w:tblCellMar>
        </w:tblPrEx>
        <w:trPr>
          <w:trHeight w:val="5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pacing w:line="560" w:lineRule="atLeast"/>
              <w:jc w:val="center"/>
              <w:textAlignment w:val="top"/>
              <w:rPr>
                <w:rFonts w:ascii="仿宋" w:hAnsi="仿宋" w:eastAsia="仿宋" w:cs="仿宋"/>
                <w:i w:val="0"/>
                <w:iCs w:val="0"/>
                <w:color w:val="000000"/>
                <w:sz w:val="30"/>
                <w:szCs w:val="30"/>
                <w:u w:val="none"/>
              </w:rPr>
            </w:pPr>
            <w:r>
              <w:rPr>
                <w:rFonts w:hint="eastAsia" w:ascii="仿宋" w:hAnsi="仿宋" w:eastAsia="仿宋" w:cs="仿宋"/>
                <w:i w:val="0"/>
                <w:iCs w:val="0"/>
                <w:color w:val="000000"/>
                <w:spacing w:val="0"/>
                <w:w w:val="100"/>
                <w:kern w:val="0"/>
                <w:position w:val="0"/>
                <w:sz w:val="30"/>
                <w:szCs w:val="30"/>
                <w:u w:val="none"/>
                <w:shd w:val="clear" w:color="auto" w:fill="auto"/>
                <w:lang w:val="en-US" w:eastAsia="zh-CN" w:bidi="ar"/>
              </w:rPr>
              <w:t>序号</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pacing w:line="560" w:lineRule="atLeast"/>
              <w:jc w:val="center"/>
              <w:textAlignment w:val="top"/>
              <w:rPr>
                <w:rFonts w:hint="eastAsia" w:ascii="仿宋" w:hAnsi="仿宋" w:eastAsia="仿宋" w:cs="仿宋"/>
                <w:i w:val="0"/>
                <w:iCs w:val="0"/>
                <w:color w:val="000000"/>
                <w:sz w:val="30"/>
                <w:szCs w:val="30"/>
                <w:u w:val="none"/>
              </w:rPr>
            </w:pPr>
            <w:r>
              <w:rPr>
                <w:rFonts w:hint="eastAsia" w:ascii="仿宋" w:hAnsi="仿宋" w:eastAsia="仿宋" w:cs="仿宋"/>
                <w:i w:val="0"/>
                <w:iCs w:val="0"/>
                <w:color w:val="000000"/>
                <w:spacing w:val="0"/>
                <w:w w:val="100"/>
                <w:kern w:val="0"/>
                <w:position w:val="0"/>
                <w:sz w:val="30"/>
                <w:szCs w:val="30"/>
                <w:u w:val="none"/>
                <w:shd w:val="clear" w:color="auto" w:fill="auto"/>
                <w:lang w:val="en-US" w:eastAsia="zh-CN" w:bidi="ar"/>
              </w:rPr>
              <w:t>项目名称</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pacing w:line="560" w:lineRule="atLeast"/>
              <w:jc w:val="center"/>
              <w:textAlignment w:val="top"/>
              <w:rPr>
                <w:rFonts w:hint="eastAsia" w:ascii="仿宋" w:hAnsi="仿宋" w:eastAsia="仿宋" w:cs="仿宋"/>
                <w:i w:val="0"/>
                <w:iCs w:val="0"/>
                <w:color w:val="000000"/>
                <w:sz w:val="30"/>
                <w:szCs w:val="30"/>
                <w:u w:val="none"/>
              </w:rPr>
            </w:pPr>
            <w:r>
              <w:rPr>
                <w:rFonts w:hint="eastAsia" w:ascii="仿宋" w:hAnsi="仿宋" w:eastAsia="仿宋" w:cs="仿宋"/>
                <w:i w:val="0"/>
                <w:iCs w:val="0"/>
                <w:color w:val="000000"/>
                <w:spacing w:val="0"/>
                <w:w w:val="100"/>
                <w:kern w:val="0"/>
                <w:position w:val="0"/>
                <w:sz w:val="30"/>
                <w:szCs w:val="30"/>
                <w:u w:val="none"/>
                <w:shd w:val="clear" w:color="auto" w:fill="auto"/>
                <w:lang w:val="en-US" w:eastAsia="zh-CN" w:bidi="ar"/>
              </w:rPr>
              <w:t>支付金额（元）</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pacing w:line="560" w:lineRule="atLeast"/>
              <w:jc w:val="center"/>
              <w:textAlignment w:val="top"/>
              <w:rPr>
                <w:rFonts w:hint="eastAsia" w:ascii="仿宋" w:hAnsi="仿宋" w:eastAsia="仿宋" w:cs="仿宋"/>
                <w:i w:val="0"/>
                <w:iCs w:val="0"/>
                <w:color w:val="000000"/>
                <w:sz w:val="30"/>
                <w:szCs w:val="30"/>
                <w:u w:val="none"/>
              </w:rPr>
            </w:pPr>
            <w:r>
              <w:rPr>
                <w:rFonts w:hint="eastAsia" w:ascii="仿宋" w:hAnsi="仿宋" w:eastAsia="仿宋" w:cs="仿宋"/>
                <w:i w:val="0"/>
                <w:iCs w:val="0"/>
                <w:color w:val="000000"/>
                <w:spacing w:val="0"/>
                <w:w w:val="100"/>
                <w:kern w:val="0"/>
                <w:position w:val="0"/>
                <w:sz w:val="30"/>
                <w:szCs w:val="30"/>
                <w:u w:val="none"/>
                <w:shd w:val="clear" w:color="auto" w:fill="auto"/>
                <w:lang w:val="en-US" w:eastAsia="zh-CN" w:bidi="ar"/>
              </w:rPr>
              <w:t>备注</w:t>
            </w: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1</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陈家冲</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94,790.40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2</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东风</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43,766.13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3</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卫东</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177,174.96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4</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胜利</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1,271,214.60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5</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五一</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4,949,854.50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6</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前进</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1,169,980.50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7</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五七</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175,012.00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8</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五四</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322,185.00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9</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蒿口</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814,595.00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10</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灯塔</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i w:val="0"/>
                <w:iCs w:val="0"/>
                <w:color w:val="000000"/>
                <w:spacing w:val="0"/>
                <w:w w:val="100"/>
                <w:position w:val="0"/>
                <w:sz w:val="30"/>
                <w:szCs w:val="30"/>
                <w:u w:val="none"/>
                <w:shd w:val="clear" w:color="auto" w:fill="auto"/>
                <w:lang w:val="en-US" w:eastAsia="zh-CN" w:bidi="en-US"/>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71,420.00</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11</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巨龙</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 324,629.00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12</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水产</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 xml:space="preserve">743,820.00 </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right"/>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jc w:val="center"/>
              <w:textAlignment w:val="center"/>
              <w:rPr>
                <w:rFonts w:hint="eastAsia" w:ascii="仿宋" w:hAnsi="仿宋" w:eastAsia="仿宋" w:cs="仿宋"/>
                <w:color w:val="000000"/>
                <w:spacing w:val="0"/>
                <w:w w:val="100"/>
                <w:position w:val="0"/>
                <w:sz w:val="30"/>
                <w:szCs w:val="30"/>
                <w:highlight w:val="none"/>
                <w:u w:val="none"/>
                <w:shd w:val="clear" w:color="auto" w:fill="auto"/>
                <w:lang w:val="en-US" w:eastAsia="zh-CN" w:bidi="zh-TW"/>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560" w:lineRule="atLeast"/>
              <w:ind w:left="0" w:leftChars="0" w:right="0" w:rightChars="0" w:firstLine="0" w:firstLineChars="0"/>
              <w:jc w:val="right"/>
              <w:textAlignment w:val="center"/>
              <w:rPr>
                <w:rFonts w:hint="default" w:ascii="宋体" w:hAnsi="宋体" w:eastAsia="宋体" w:cs="宋体"/>
                <w:i w:val="0"/>
                <w:iCs w:val="0"/>
                <w:color w:val="000000"/>
                <w:spacing w:val="0"/>
                <w:w w:val="100"/>
                <w:position w:val="0"/>
                <w:sz w:val="30"/>
                <w:szCs w:val="30"/>
                <w:u w:val="none"/>
                <w:shd w:val="clear" w:color="auto" w:fill="auto"/>
                <w:lang w:val="en-US" w:eastAsia="zh-CN" w:bidi="en-US"/>
              </w:rPr>
            </w:pPr>
            <w:r>
              <w:rPr>
                <w:rFonts w:hint="eastAsia" w:ascii="仿宋" w:hAnsi="仿宋" w:eastAsia="仿宋" w:cs="仿宋"/>
                <w:color w:val="000000"/>
                <w:spacing w:val="0"/>
                <w:w w:val="100"/>
                <w:position w:val="0"/>
                <w:sz w:val="30"/>
                <w:szCs w:val="30"/>
                <w:highlight w:val="none"/>
                <w:u w:val="none"/>
                <w:shd w:val="clear" w:color="auto" w:fill="auto"/>
                <w:lang w:val="en-US" w:eastAsia="zh-CN" w:bidi="zh-TW"/>
              </w:rPr>
              <w:t>10,158,442.09</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560" w:lineRule="atLeast"/>
              <w:rPr>
                <w:rFonts w:hint="eastAsia" w:ascii="宋体" w:hAnsi="宋体" w:eastAsia="宋体" w:cs="宋体"/>
                <w:i w:val="0"/>
                <w:iCs w:val="0"/>
                <w:color w:val="000000"/>
                <w:sz w:val="30"/>
                <w:szCs w:val="30"/>
                <w:u w:val="none"/>
              </w:rPr>
            </w:pP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400" w:leftChars="0" w:right="0" w:rightChars="0" w:firstLine="320" w:firstLineChars="1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2.2.2产出指标完成情况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500"/>
        <w:jc w:val="both"/>
        <w:textAlignment w:val="auto"/>
        <w:rPr>
          <w:rFonts w:hint="default"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①</w:t>
      </w:r>
      <w:r>
        <w:rPr>
          <w:rFonts w:hint="eastAsia" w:ascii="仿宋" w:hAnsi="仿宋" w:eastAsia="仿宋" w:cs="仿宋"/>
          <w:color w:val="000000"/>
          <w:spacing w:val="0"/>
          <w:w w:val="100"/>
          <w:kern w:val="0"/>
          <w:position w:val="0"/>
          <w:sz w:val="32"/>
          <w:szCs w:val="32"/>
          <w:u w:val="none"/>
          <w:shd w:val="clear" w:color="auto" w:fill="auto"/>
          <w:lang w:val="zh-TW" w:eastAsia="zh-CN" w:bidi="zh-TW"/>
        </w:rPr>
        <w:t>20</w:t>
      </w:r>
      <w:r>
        <w:rPr>
          <w:rFonts w:hint="eastAsia" w:ascii="仿宋" w:hAnsi="仿宋" w:eastAsia="仿宋" w:cs="仿宋"/>
          <w:color w:val="000000"/>
          <w:spacing w:val="0"/>
          <w:w w:val="100"/>
          <w:kern w:val="0"/>
          <w:position w:val="0"/>
          <w:sz w:val="32"/>
          <w:szCs w:val="32"/>
          <w:u w:val="none"/>
          <w:shd w:val="clear" w:color="auto" w:fill="auto"/>
          <w:lang w:val="en-US" w:eastAsia="zh-CN" w:bidi="zh-TW"/>
        </w:rPr>
        <w:t>20</w:t>
      </w:r>
      <w:r>
        <w:rPr>
          <w:rFonts w:hint="eastAsia" w:ascii="仿宋" w:hAnsi="仿宋" w:eastAsia="仿宋" w:cs="仿宋"/>
          <w:color w:val="000000"/>
          <w:spacing w:val="0"/>
          <w:w w:val="100"/>
          <w:kern w:val="0"/>
          <w:position w:val="0"/>
          <w:sz w:val="32"/>
          <w:szCs w:val="32"/>
          <w:u w:val="none"/>
          <w:shd w:val="clear" w:color="auto" w:fill="auto"/>
          <w:lang w:val="zh-TW" w:eastAsia="zh-CN" w:bidi="zh-TW"/>
        </w:rPr>
        <w:t>年数量指标</w:t>
      </w:r>
      <w:r>
        <w:rPr>
          <w:rFonts w:hint="eastAsia" w:ascii="仿宋" w:hAnsi="仿宋" w:eastAsia="仿宋" w:cs="仿宋"/>
          <w:color w:val="000000"/>
          <w:spacing w:val="0"/>
          <w:w w:val="100"/>
          <w:kern w:val="0"/>
          <w:position w:val="0"/>
          <w:sz w:val="32"/>
          <w:szCs w:val="32"/>
          <w:u w:val="none"/>
          <w:shd w:val="clear" w:color="auto" w:fill="auto"/>
          <w:lang w:val="en-US" w:eastAsia="zh-CN" w:bidi="zh-TW"/>
        </w:rPr>
        <w:t>生活费发放人数年初目标值517户，实际完成值462户，基准分10分，得分8.94分。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②质量</w:t>
      </w:r>
      <w:r>
        <w:rPr>
          <w:rFonts w:hint="eastAsia" w:ascii="仿宋" w:hAnsi="仿宋" w:eastAsia="仿宋" w:cs="仿宋"/>
          <w:color w:val="000000"/>
          <w:spacing w:val="0"/>
          <w:w w:val="100"/>
          <w:kern w:val="0"/>
          <w:position w:val="0"/>
          <w:sz w:val="32"/>
          <w:szCs w:val="32"/>
          <w:u w:val="none"/>
          <w:shd w:val="clear" w:color="auto" w:fill="auto"/>
          <w:lang w:val="zh-TW" w:eastAsia="zh-CN" w:bidi="zh-TW"/>
        </w:rPr>
        <w:t>指标完成</w:t>
      </w:r>
      <w:r>
        <w:rPr>
          <w:rFonts w:hint="eastAsia" w:ascii="仿宋" w:hAnsi="仿宋" w:eastAsia="仿宋" w:cs="仿宋"/>
          <w:color w:val="000000"/>
          <w:spacing w:val="0"/>
          <w:w w:val="100"/>
          <w:kern w:val="0"/>
          <w:position w:val="0"/>
          <w:sz w:val="32"/>
          <w:szCs w:val="32"/>
          <w:u w:val="none"/>
          <w:shd w:val="clear" w:color="auto" w:fill="auto"/>
          <w:lang w:val="en-US" w:eastAsia="zh-CN" w:bidi="zh-TW"/>
        </w:rPr>
        <w:t>生活费发放率</w:t>
      </w:r>
      <w:r>
        <w:rPr>
          <w:rFonts w:hint="eastAsia" w:ascii="仿宋" w:hAnsi="仿宋" w:eastAsia="仿宋" w:cs="仿宋"/>
          <w:color w:val="000000"/>
          <w:spacing w:val="0"/>
          <w:w w:val="100"/>
          <w:kern w:val="0"/>
          <w:position w:val="0"/>
          <w:sz w:val="32"/>
          <w:szCs w:val="32"/>
          <w:u w:val="none"/>
          <w:shd w:val="clear" w:color="auto" w:fill="auto"/>
          <w:lang w:val="zh-TW" w:eastAsia="zh-CN" w:bidi="zh-TW"/>
        </w:rPr>
        <w:t>，</w:t>
      </w:r>
      <w:r>
        <w:rPr>
          <w:rFonts w:hint="eastAsia" w:ascii="仿宋" w:hAnsi="仿宋" w:eastAsia="仿宋" w:cs="仿宋"/>
          <w:color w:val="000000"/>
          <w:spacing w:val="0"/>
          <w:w w:val="100"/>
          <w:kern w:val="0"/>
          <w:position w:val="0"/>
          <w:sz w:val="32"/>
          <w:szCs w:val="32"/>
          <w:u w:val="none"/>
          <w:shd w:val="clear" w:color="auto" w:fill="auto"/>
          <w:lang w:val="en-US" w:eastAsia="zh-CN" w:bidi="zh-TW"/>
        </w:rPr>
        <w:t>年初目标值大于99%，实际完成89.4%，</w:t>
      </w:r>
      <w:r>
        <w:rPr>
          <w:rFonts w:hint="eastAsia" w:ascii="仿宋" w:hAnsi="仿宋" w:eastAsia="仿宋" w:cs="仿宋"/>
          <w:color w:val="000000"/>
          <w:kern w:val="0"/>
          <w:sz w:val="32"/>
          <w:szCs w:val="32"/>
        </w:rPr>
        <w:t>基</w:t>
      </w:r>
      <w:r>
        <w:rPr>
          <w:rFonts w:hint="eastAsia" w:ascii="仿宋" w:hAnsi="仿宋" w:eastAsia="仿宋" w:cs="仿宋"/>
          <w:color w:val="000000"/>
          <w:spacing w:val="0"/>
          <w:w w:val="100"/>
          <w:position w:val="0"/>
          <w:sz w:val="32"/>
          <w:szCs w:val="32"/>
          <w:highlight w:val="none"/>
          <w:lang w:eastAsia="zh-CN"/>
        </w:rPr>
        <w:t>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8.94</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③时效</w:t>
      </w:r>
      <w:r>
        <w:rPr>
          <w:rFonts w:hint="eastAsia" w:ascii="仿宋" w:hAnsi="仿宋" w:eastAsia="仿宋" w:cs="仿宋"/>
          <w:color w:val="000000"/>
          <w:spacing w:val="0"/>
          <w:w w:val="100"/>
          <w:position w:val="0"/>
          <w:sz w:val="32"/>
          <w:szCs w:val="32"/>
          <w:highlight w:val="none"/>
          <w:lang w:val="en-US" w:eastAsia="zh-CN"/>
        </w:rPr>
        <w:t>指标发放及时性，年初目标值100%，实际完成值70%，基准分值10分，得分7分。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④成本指标费用增加率，年初目标值≦5%，现已完成，基准分值10分，得分10分。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2.2.3效益指标完成情况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①经济效益指标对经济的发展，现已完成。基准分</w:t>
      </w:r>
      <w:r>
        <w:rPr>
          <w:rFonts w:hint="eastAsia" w:ascii="仿宋" w:hAnsi="仿宋" w:eastAsia="仿宋" w:cs="仿宋"/>
          <w:color w:val="000000"/>
          <w:spacing w:val="0"/>
          <w:w w:val="100"/>
          <w:position w:val="0"/>
          <w:sz w:val="32"/>
          <w:szCs w:val="32"/>
          <w:highlight w:val="none"/>
          <w:lang w:val="en-US" w:eastAsia="zh-CN"/>
        </w:rPr>
        <w:t>10分，得分10分。</w:t>
      </w:r>
    </w:p>
    <w:p>
      <w:pPr>
        <w:pStyle w:val="2"/>
        <w:keepNext w:val="0"/>
        <w:keepLines w:val="0"/>
        <w:pageBreakBefore w:val="0"/>
        <w:kinsoku/>
        <w:wordWrap/>
        <w:overflowPunct/>
        <w:topLinePunct w:val="0"/>
        <w:autoSpaceDE/>
        <w:autoSpaceDN/>
        <w:bidi w:val="0"/>
        <w:adjustRightInd/>
        <w:spacing w:line="560" w:lineRule="atLeast"/>
        <w:ind w:left="0" w:leftChars="0" w:firstLine="640" w:firstLineChars="200"/>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②社会效益指标改社会稳定，</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分；政府公信力，</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2.2.4满意度指标完成情况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2020年服务对象满意度年初标准值≧95%，通过问卷调查得知居民对该项目满意度达95%。</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2.3上年度部门自评结果应用情况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2.4其他佐证材料</w:t>
      </w:r>
    </w:p>
    <w:p>
      <w:pPr>
        <w:pStyle w:val="2"/>
        <w:ind w:left="0" w:leftChars="0" w:firstLine="640" w:firstLineChars="200"/>
        <w:jc w:val="left"/>
        <w:rPr>
          <w:rFonts w:hint="eastAsia" w:ascii="仿宋" w:hAnsi="仿宋" w:eastAsia="仿宋" w:cs="仿宋"/>
          <w:sz w:val="32"/>
          <w:szCs w:val="32"/>
          <w:lang w:val="en-US" w:eastAsia="zh-CN"/>
        </w:rPr>
      </w:pPr>
    </w:p>
    <w:p>
      <w:pPr>
        <w:widowControl/>
        <w:spacing w:line="432" w:lineRule="atLeast"/>
        <w:ind w:firstLine="1920" w:firstLineChars="600"/>
        <w:jc w:val="both"/>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widowControl/>
        <w:spacing w:line="432" w:lineRule="atLeast"/>
        <w:jc w:val="center"/>
        <w:rPr>
          <w:rFonts w:hint="eastAsia" w:ascii="方正小标宋简体" w:hAnsi="方正小标宋简体" w:eastAsia="方正小标宋简体" w:cs="方正小标宋简体"/>
          <w:color w:val="000000"/>
          <w:kern w:val="0"/>
          <w:sz w:val="40"/>
          <w:szCs w:val="40"/>
          <w:lang w:val="en-US" w:eastAsia="zh-CN"/>
        </w:rPr>
      </w:pPr>
    </w:p>
    <w:p>
      <w:pPr>
        <w:widowControl/>
        <w:spacing w:line="432" w:lineRule="atLeast"/>
        <w:ind w:firstLine="800" w:firstLineChars="200"/>
        <w:jc w:val="both"/>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退地人员生活费发放</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rPr>
        <w:t>表</w:t>
      </w:r>
    </w:p>
    <w:p>
      <w:pPr>
        <w:widowControl/>
        <w:spacing w:line="432" w:lineRule="atLeast"/>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单位名称：</w:t>
      </w:r>
      <w:r>
        <w:rPr>
          <w:rFonts w:hint="eastAsia" w:ascii="仿宋" w:hAnsi="仿宋" w:eastAsia="仿宋" w:cs="仿宋"/>
          <w:color w:val="000000"/>
          <w:kern w:val="0"/>
          <w:sz w:val="24"/>
          <w:szCs w:val="24"/>
          <w:lang w:eastAsia="zh-CN"/>
        </w:rPr>
        <w:t>武汉市东西湖区人民政府东山街道办事处</w:t>
      </w:r>
    </w:p>
    <w:p>
      <w:pPr>
        <w:widowControl/>
        <w:spacing w:line="432" w:lineRule="atLeas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填报日期：</w:t>
      </w:r>
      <w:r>
        <w:rPr>
          <w:rFonts w:hint="eastAsia" w:ascii="仿宋" w:hAnsi="仿宋" w:eastAsia="仿宋" w:cs="仿宋"/>
          <w:color w:val="000000"/>
          <w:kern w:val="0"/>
          <w:sz w:val="24"/>
          <w:szCs w:val="24"/>
          <w:lang w:val="en-US" w:eastAsia="zh-CN"/>
        </w:rPr>
        <w:t>2021年4月26日</w:t>
      </w: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29"/>
        <w:gridCol w:w="1347"/>
        <w:gridCol w:w="1073"/>
        <w:gridCol w:w="415"/>
        <w:gridCol w:w="744"/>
        <w:gridCol w:w="1313"/>
        <w:gridCol w:w="463"/>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7"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项目名称</w:t>
            </w:r>
          </w:p>
        </w:tc>
        <w:tc>
          <w:tcPr>
            <w:tcW w:w="6891" w:type="dxa"/>
            <w:gridSpan w:val="8"/>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退地人员生活费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7"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主管部门</w:t>
            </w:r>
          </w:p>
        </w:tc>
        <w:tc>
          <w:tcPr>
            <w:tcW w:w="2835"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东山街道办事处</w:t>
            </w:r>
          </w:p>
        </w:tc>
        <w:tc>
          <w:tcPr>
            <w:tcW w:w="2520" w:type="dxa"/>
            <w:gridSpan w:val="3"/>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项目实施单位</w:t>
            </w:r>
          </w:p>
        </w:tc>
        <w:tc>
          <w:tcPr>
            <w:tcW w:w="1536" w:type="dxa"/>
            <w:gridSpan w:val="2"/>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拆迁退地办公室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7"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项目类别</w:t>
            </w:r>
          </w:p>
        </w:tc>
        <w:tc>
          <w:tcPr>
            <w:tcW w:w="6891" w:type="dxa"/>
            <w:gridSpan w:val="8"/>
            <w:noWrap w:val="0"/>
            <w:vAlign w:val="center"/>
          </w:tcPr>
          <w:p>
            <w:pPr>
              <w:widowControl/>
              <w:snapToGrid w:val="0"/>
              <w:jc w:val="left"/>
              <w:rPr>
                <w:rFonts w:hint="eastAsia" w:ascii="仿宋" w:hAnsi="仿宋" w:eastAsia="仿宋" w:cs="仿宋"/>
                <w:kern w:val="0"/>
                <w:sz w:val="22"/>
                <w:szCs w:val="22"/>
              </w:rPr>
            </w:pPr>
            <w:r>
              <w:rPr>
                <w:rFonts w:hint="eastAsia" w:ascii="仿宋" w:hAnsi="仿宋" w:eastAsia="仿宋" w:cs="仿宋"/>
                <w:kern w:val="0"/>
                <w:sz w:val="22"/>
                <w:szCs w:val="22"/>
              </w:rPr>
              <w:t>1、部门预算项目   □   2、</w:t>
            </w:r>
            <w:r>
              <w:rPr>
                <w:rFonts w:hint="eastAsia" w:ascii="仿宋" w:hAnsi="仿宋" w:eastAsia="仿宋" w:cs="仿宋"/>
                <w:kern w:val="0"/>
                <w:sz w:val="22"/>
                <w:szCs w:val="22"/>
                <w:lang w:val="en-US" w:eastAsia="zh-CN"/>
              </w:rPr>
              <w:t>区</w:t>
            </w:r>
            <w:r>
              <w:rPr>
                <w:rFonts w:hint="eastAsia" w:ascii="仿宋" w:hAnsi="仿宋" w:eastAsia="仿宋" w:cs="仿宋"/>
                <w:kern w:val="0"/>
                <w:sz w:val="22"/>
                <w:szCs w:val="22"/>
              </w:rPr>
              <w:t xml:space="preserve">直专项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7"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项目属性</w:t>
            </w:r>
          </w:p>
        </w:tc>
        <w:tc>
          <w:tcPr>
            <w:tcW w:w="6891" w:type="dxa"/>
            <w:gridSpan w:val="8"/>
            <w:noWrap w:val="0"/>
            <w:vAlign w:val="center"/>
          </w:tcPr>
          <w:p>
            <w:pPr>
              <w:widowControl/>
              <w:snapToGrid w:val="0"/>
              <w:jc w:val="left"/>
              <w:rPr>
                <w:rFonts w:hint="eastAsia" w:ascii="仿宋" w:hAnsi="仿宋" w:eastAsia="仿宋" w:cs="仿宋"/>
                <w:kern w:val="0"/>
                <w:sz w:val="22"/>
                <w:szCs w:val="22"/>
              </w:rPr>
            </w:pPr>
            <w:r>
              <w:rPr>
                <w:rFonts w:hint="eastAsia" w:ascii="仿宋" w:hAnsi="仿宋" w:eastAsia="仿宋" w:cs="仿宋"/>
                <w:kern w:val="0"/>
                <w:sz w:val="22"/>
                <w:szCs w:val="22"/>
              </w:rPr>
              <w:t xml:space="preserve">1、持续性项目     □   2、新增性项目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7"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项目类型</w:t>
            </w:r>
          </w:p>
        </w:tc>
        <w:tc>
          <w:tcPr>
            <w:tcW w:w="6891" w:type="dxa"/>
            <w:gridSpan w:val="8"/>
            <w:noWrap w:val="0"/>
            <w:vAlign w:val="center"/>
          </w:tcPr>
          <w:p>
            <w:pPr>
              <w:widowControl/>
              <w:snapToGrid w:val="0"/>
              <w:jc w:val="left"/>
              <w:rPr>
                <w:rFonts w:hint="eastAsia" w:ascii="仿宋" w:hAnsi="仿宋" w:eastAsia="仿宋" w:cs="仿宋"/>
                <w:kern w:val="0"/>
                <w:sz w:val="22"/>
                <w:szCs w:val="22"/>
                <w:lang w:eastAsia="zh-CN"/>
              </w:rPr>
            </w:pPr>
            <w:r>
              <w:rPr>
                <w:rFonts w:hint="eastAsia" w:ascii="仿宋" w:hAnsi="仿宋" w:eastAsia="仿宋" w:cs="仿宋"/>
                <w:kern w:val="0"/>
                <w:sz w:val="22"/>
                <w:szCs w:val="22"/>
              </w:rPr>
              <w:t xml:space="preserve">1、常年性项目     □   2、延续性项目 □      3、一次性项目 </w:t>
            </w:r>
            <w:r>
              <w:rPr>
                <w:rFonts w:hint="eastAsia" w:ascii="仿宋" w:hAnsi="仿宋" w:eastAsia="仿宋" w:cs="仿宋"/>
                <w:kern w:val="0"/>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7" w:type="dxa"/>
            <w:gridSpan w:val="2"/>
            <w:vMerge w:val="restart"/>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预算执行</w:t>
            </w:r>
          </w:p>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情况（万元）</w:t>
            </w:r>
          </w:p>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（20分）</w:t>
            </w:r>
          </w:p>
        </w:tc>
        <w:tc>
          <w:tcPr>
            <w:tcW w:w="1347" w:type="dxa"/>
            <w:noWrap w:val="0"/>
            <w:vAlign w:val="center"/>
          </w:tcPr>
          <w:p>
            <w:pPr>
              <w:widowControl/>
              <w:snapToGrid w:val="0"/>
              <w:jc w:val="center"/>
              <w:rPr>
                <w:rFonts w:hint="eastAsia" w:ascii="仿宋" w:hAnsi="仿宋" w:eastAsia="仿宋" w:cs="仿宋"/>
                <w:kern w:val="0"/>
                <w:sz w:val="22"/>
                <w:szCs w:val="22"/>
              </w:rPr>
            </w:pPr>
          </w:p>
        </w:tc>
        <w:tc>
          <w:tcPr>
            <w:tcW w:w="1073" w:type="dxa"/>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预算数（A）</w:t>
            </w:r>
          </w:p>
        </w:tc>
        <w:tc>
          <w:tcPr>
            <w:tcW w:w="1159"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执行数（B）</w:t>
            </w:r>
          </w:p>
        </w:tc>
        <w:tc>
          <w:tcPr>
            <w:tcW w:w="1313" w:type="dxa"/>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执行率（B/A）</w:t>
            </w:r>
          </w:p>
        </w:tc>
        <w:tc>
          <w:tcPr>
            <w:tcW w:w="1999" w:type="dxa"/>
            <w:gridSpan w:val="3"/>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得分</w:t>
            </w:r>
          </w:p>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（20分*执行率）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57" w:type="dxa"/>
            <w:gridSpan w:val="2"/>
            <w:vMerge w:val="continue"/>
            <w:noWrap w:val="0"/>
            <w:vAlign w:val="center"/>
          </w:tcPr>
          <w:p>
            <w:pPr>
              <w:widowControl/>
              <w:snapToGrid w:val="0"/>
              <w:jc w:val="center"/>
              <w:rPr>
                <w:rFonts w:hint="eastAsia" w:ascii="仿宋" w:hAnsi="仿宋" w:eastAsia="仿宋" w:cs="仿宋"/>
                <w:kern w:val="0"/>
                <w:sz w:val="22"/>
                <w:szCs w:val="22"/>
              </w:rPr>
            </w:pPr>
          </w:p>
        </w:tc>
        <w:tc>
          <w:tcPr>
            <w:tcW w:w="1347" w:type="dxa"/>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年度财政资金总额</w:t>
            </w:r>
          </w:p>
        </w:tc>
        <w:tc>
          <w:tcPr>
            <w:tcW w:w="107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1108.24</w:t>
            </w:r>
          </w:p>
        </w:tc>
        <w:tc>
          <w:tcPr>
            <w:tcW w:w="1159"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color w:val="auto"/>
                <w:kern w:val="0"/>
                <w:sz w:val="22"/>
                <w:szCs w:val="22"/>
                <w:highlight w:val="none"/>
                <w:lang w:val="en-US" w:eastAsia="zh-CN"/>
              </w:rPr>
              <w:t>1015.84</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91.66%</w:t>
            </w:r>
          </w:p>
        </w:tc>
        <w:tc>
          <w:tcPr>
            <w:tcW w:w="1999" w:type="dxa"/>
            <w:gridSpan w:val="3"/>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年度绩效目标</w:t>
            </w:r>
          </w:p>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w:t>
            </w:r>
            <w:r>
              <w:rPr>
                <w:rFonts w:hint="eastAsia" w:ascii="仿宋" w:hAnsi="仿宋" w:eastAsia="仿宋" w:cs="仿宋"/>
                <w:kern w:val="0"/>
                <w:sz w:val="18"/>
                <w:szCs w:val="18"/>
                <w:lang w:val="en-US" w:eastAsia="zh-CN"/>
              </w:rPr>
              <w:t>80</w:t>
            </w:r>
            <w:r>
              <w:rPr>
                <w:rFonts w:hint="eastAsia" w:ascii="仿宋" w:hAnsi="仿宋" w:eastAsia="仿宋" w:cs="仿宋"/>
                <w:kern w:val="0"/>
                <w:sz w:val="22"/>
                <w:szCs w:val="22"/>
              </w:rPr>
              <w:t>分）</w:t>
            </w:r>
          </w:p>
        </w:tc>
        <w:tc>
          <w:tcPr>
            <w:tcW w:w="1229" w:type="dxa"/>
            <w:noWrap w:val="0"/>
            <w:vAlign w:val="center"/>
          </w:tcPr>
          <w:p>
            <w:pPr>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一级指标</w:t>
            </w:r>
          </w:p>
        </w:tc>
        <w:tc>
          <w:tcPr>
            <w:tcW w:w="1347" w:type="dxa"/>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二级指标</w:t>
            </w:r>
          </w:p>
        </w:tc>
        <w:tc>
          <w:tcPr>
            <w:tcW w:w="2232" w:type="dxa"/>
            <w:gridSpan w:val="3"/>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三级指标</w:t>
            </w:r>
          </w:p>
        </w:tc>
        <w:tc>
          <w:tcPr>
            <w:tcW w:w="1313" w:type="dxa"/>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年初目标值（A）</w:t>
            </w:r>
          </w:p>
        </w:tc>
        <w:tc>
          <w:tcPr>
            <w:tcW w:w="1122"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实际完成值（B）</w:t>
            </w:r>
          </w:p>
        </w:tc>
        <w:tc>
          <w:tcPr>
            <w:tcW w:w="877" w:type="dxa"/>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28" w:type="dxa"/>
            <w:vMerge w:val="continue"/>
            <w:noWrap w:val="0"/>
            <w:vAlign w:val="center"/>
          </w:tcPr>
          <w:p>
            <w:pPr>
              <w:snapToGrid w:val="0"/>
              <w:jc w:val="center"/>
              <w:rPr>
                <w:rFonts w:hint="eastAsia" w:ascii="仿宋" w:hAnsi="仿宋" w:eastAsia="仿宋" w:cs="仿宋"/>
                <w:kern w:val="0"/>
                <w:sz w:val="22"/>
                <w:szCs w:val="22"/>
              </w:rPr>
            </w:pPr>
          </w:p>
        </w:tc>
        <w:tc>
          <w:tcPr>
            <w:tcW w:w="1229" w:type="dxa"/>
            <w:vMerge w:val="restart"/>
            <w:noWrap w:val="0"/>
            <w:vAlign w:val="center"/>
          </w:tcPr>
          <w:p>
            <w:pPr>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产出指标</w:t>
            </w:r>
          </w:p>
          <w:p>
            <w:pPr>
              <w:snapToGrid w:val="0"/>
              <w:jc w:val="both"/>
              <w:rPr>
                <w:rFonts w:hint="eastAsia" w:ascii="仿宋" w:hAnsi="仿宋" w:eastAsia="仿宋" w:cs="仿宋"/>
                <w:kern w:val="0"/>
                <w:sz w:val="22"/>
                <w:szCs w:val="22"/>
                <w:lang w:eastAsia="zh-CN"/>
              </w:rPr>
            </w:pPr>
            <w:r>
              <w:rPr>
                <w:rFonts w:hint="eastAsia" w:ascii="仿宋" w:hAnsi="仿宋" w:eastAsia="仿宋" w:cs="仿宋"/>
                <w:kern w:val="0"/>
                <w:sz w:val="22"/>
                <w:szCs w:val="22"/>
                <w:lang w:val="en-US" w:eastAsia="zh-CN"/>
              </w:rPr>
              <w:t>（40分</w:t>
            </w:r>
            <w:r>
              <w:rPr>
                <w:rFonts w:hint="eastAsia" w:ascii="仿宋" w:hAnsi="仿宋" w:eastAsia="仿宋" w:cs="仿宋"/>
                <w:kern w:val="0"/>
                <w:sz w:val="22"/>
                <w:szCs w:val="22"/>
                <w:lang w:eastAsia="zh-CN"/>
              </w:rPr>
              <w:t>）</w:t>
            </w:r>
          </w:p>
        </w:tc>
        <w:tc>
          <w:tcPr>
            <w:tcW w:w="1347" w:type="dxa"/>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数量指标（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生活费发放人数</w:t>
            </w:r>
          </w:p>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517</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462</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Merge w:val="continue"/>
            <w:noWrap w:val="0"/>
            <w:vAlign w:val="center"/>
          </w:tcPr>
          <w:p>
            <w:pPr>
              <w:snapToGrid w:val="0"/>
              <w:jc w:val="center"/>
              <w:rPr>
                <w:rFonts w:hint="eastAsia" w:ascii="仿宋" w:hAnsi="仿宋" w:eastAsia="仿宋" w:cs="仿宋"/>
                <w:kern w:val="0"/>
                <w:sz w:val="22"/>
                <w:szCs w:val="22"/>
              </w:rPr>
            </w:pPr>
          </w:p>
        </w:tc>
        <w:tc>
          <w:tcPr>
            <w:tcW w:w="1229" w:type="dxa"/>
            <w:vMerge w:val="continue"/>
            <w:noWrap w:val="0"/>
            <w:vAlign w:val="center"/>
          </w:tcPr>
          <w:p>
            <w:pPr>
              <w:widowControl/>
              <w:snapToGrid w:val="0"/>
              <w:jc w:val="center"/>
              <w:rPr>
                <w:rFonts w:hint="eastAsia" w:ascii="仿宋" w:hAnsi="仿宋" w:eastAsia="仿宋" w:cs="仿宋"/>
                <w:kern w:val="0"/>
                <w:sz w:val="22"/>
                <w:szCs w:val="22"/>
              </w:rPr>
            </w:pPr>
          </w:p>
        </w:tc>
        <w:tc>
          <w:tcPr>
            <w:tcW w:w="1347" w:type="dxa"/>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质量指标</w:t>
            </w:r>
          </w:p>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生活费发放率（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大于99%</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89.36%</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28" w:type="dxa"/>
            <w:vMerge w:val="continue"/>
            <w:noWrap w:val="0"/>
            <w:vAlign w:val="center"/>
          </w:tcPr>
          <w:p>
            <w:pPr>
              <w:snapToGrid w:val="0"/>
              <w:jc w:val="center"/>
              <w:rPr>
                <w:rFonts w:hint="eastAsia" w:ascii="仿宋" w:hAnsi="仿宋" w:eastAsia="仿宋" w:cs="仿宋"/>
                <w:kern w:val="0"/>
                <w:sz w:val="22"/>
                <w:szCs w:val="22"/>
              </w:rPr>
            </w:pPr>
          </w:p>
        </w:tc>
        <w:tc>
          <w:tcPr>
            <w:tcW w:w="1229" w:type="dxa"/>
            <w:vMerge w:val="continue"/>
            <w:noWrap w:val="0"/>
            <w:vAlign w:val="center"/>
          </w:tcPr>
          <w:p>
            <w:pPr>
              <w:widowControl/>
              <w:snapToGrid w:val="0"/>
              <w:jc w:val="center"/>
              <w:rPr>
                <w:rFonts w:hint="eastAsia" w:ascii="仿宋" w:hAnsi="仿宋" w:eastAsia="仿宋" w:cs="仿宋"/>
                <w:kern w:val="0"/>
                <w:sz w:val="22"/>
                <w:szCs w:val="22"/>
              </w:rPr>
            </w:pPr>
          </w:p>
        </w:tc>
        <w:tc>
          <w:tcPr>
            <w:tcW w:w="1347" w:type="dxa"/>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时效指标（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发放及时性（</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100%</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70%</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Merge w:val="continue"/>
            <w:noWrap w:val="0"/>
            <w:vAlign w:val="center"/>
          </w:tcPr>
          <w:p>
            <w:pPr>
              <w:snapToGrid w:val="0"/>
              <w:jc w:val="center"/>
              <w:rPr>
                <w:rFonts w:hint="eastAsia" w:ascii="仿宋" w:hAnsi="仿宋" w:eastAsia="仿宋" w:cs="仿宋"/>
                <w:kern w:val="0"/>
                <w:sz w:val="22"/>
                <w:szCs w:val="22"/>
              </w:rPr>
            </w:pPr>
          </w:p>
        </w:tc>
        <w:tc>
          <w:tcPr>
            <w:tcW w:w="1229" w:type="dxa"/>
            <w:vMerge w:val="continue"/>
            <w:noWrap w:val="0"/>
            <w:vAlign w:val="center"/>
          </w:tcPr>
          <w:p>
            <w:pPr>
              <w:widowControl/>
              <w:snapToGrid w:val="0"/>
              <w:jc w:val="center"/>
              <w:rPr>
                <w:rFonts w:hint="eastAsia" w:ascii="仿宋" w:hAnsi="仿宋" w:eastAsia="仿宋" w:cs="仿宋"/>
                <w:kern w:val="0"/>
                <w:sz w:val="22"/>
                <w:szCs w:val="22"/>
              </w:rPr>
            </w:pPr>
          </w:p>
        </w:tc>
        <w:tc>
          <w:tcPr>
            <w:tcW w:w="134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eastAsia="zh-CN"/>
              </w:rPr>
              <w:t>成本指标</w:t>
            </w:r>
            <w:r>
              <w:rPr>
                <w:rFonts w:hint="eastAsia" w:ascii="仿宋" w:hAnsi="仿宋" w:eastAsia="仿宋" w:cs="仿宋"/>
                <w:kern w:val="0"/>
                <w:sz w:val="22"/>
                <w:szCs w:val="22"/>
                <w:lang w:val="en-US" w:eastAsia="zh-CN"/>
              </w:rPr>
              <w:t>(10分）</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费用增加率（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≤5%</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≤5%</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8" w:type="dxa"/>
            <w:vMerge w:val="continue"/>
            <w:noWrap w:val="0"/>
            <w:vAlign w:val="center"/>
          </w:tcPr>
          <w:p>
            <w:pPr>
              <w:widowControl/>
              <w:snapToGrid w:val="0"/>
              <w:jc w:val="center"/>
              <w:rPr>
                <w:rFonts w:hint="eastAsia" w:ascii="仿宋" w:hAnsi="仿宋" w:eastAsia="仿宋" w:cs="仿宋"/>
                <w:kern w:val="0"/>
                <w:sz w:val="22"/>
                <w:szCs w:val="22"/>
              </w:rPr>
            </w:pPr>
          </w:p>
        </w:tc>
        <w:tc>
          <w:tcPr>
            <w:tcW w:w="1229" w:type="dxa"/>
            <w:vMerge w:val="restart"/>
            <w:noWrap w:val="0"/>
            <w:vAlign w:val="center"/>
          </w:tcPr>
          <w:p>
            <w:pPr>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效益指标</w:t>
            </w:r>
          </w:p>
          <w:p>
            <w:pPr>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w:t>
            </w:r>
            <w:r>
              <w:rPr>
                <w:rFonts w:hint="eastAsia" w:ascii="仿宋" w:hAnsi="仿宋" w:eastAsia="仿宋" w:cs="仿宋"/>
                <w:kern w:val="0"/>
                <w:sz w:val="22"/>
                <w:szCs w:val="22"/>
                <w:lang w:val="en-US" w:eastAsia="zh-CN"/>
              </w:rPr>
              <w:t>30分</w:t>
            </w:r>
            <w:r>
              <w:rPr>
                <w:rFonts w:hint="eastAsia" w:ascii="仿宋" w:hAnsi="仿宋" w:eastAsia="仿宋" w:cs="仿宋"/>
                <w:kern w:val="0"/>
                <w:sz w:val="22"/>
                <w:szCs w:val="22"/>
                <w:lang w:eastAsia="zh-CN"/>
              </w:rPr>
              <w:t>）</w:t>
            </w:r>
          </w:p>
        </w:tc>
        <w:tc>
          <w:tcPr>
            <w:tcW w:w="134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eastAsia="zh-CN"/>
              </w:rPr>
              <w:t>经济效益指标（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对经济的发展（</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有所提升</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有所提升</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28" w:type="dxa"/>
            <w:vMerge w:val="continue"/>
            <w:noWrap w:val="0"/>
            <w:vAlign w:val="center"/>
          </w:tcPr>
          <w:p>
            <w:pPr>
              <w:widowControl/>
              <w:snapToGrid w:val="0"/>
              <w:jc w:val="center"/>
              <w:rPr>
                <w:rFonts w:hint="eastAsia" w:ascii="仿宋" w:hAnsi="仿宋" w:eastAsia="仿宋" w:cs="仿宋"/>
                <w:kern w:val="0"/>
                <w:sz w:val="22"/>
                <w:szCs w:val="22"/>
              </w:rPr>
            </w:pPr>
          </w:p>
        </w:tc>
        <w:tc>
          <w:tcPr>
            <w:tcW w:w="1229" w:type="dxa"/>
            <w:vMerge w:val="continue"/>
            <w:noWrap w:val="0"/>
            <w:vAlign w:val="center"/>
          </w:tcPr>
          <w:p>
            <w:pPr>
              <w:widowControl/>
              <w:snapToGrid w:val="0"/>
              <w:jc w:val="center"/>
              <w:rPr>
                <w:rFonts w:hint="eastAsia" w:ascii="仿宋" w:hAnsi="仿宋" w:eastAsia="仿宋" w:cs="仿宋"/>
                <w:kern w:val="0"/>
                <w:sz w:val="22"/>
                <w:szCs w:val="22"/>
              </w:rPr>
            </w:pPr>
          </w:p>
        </w:tc>
        <w:tc>
          <w:tcPr>
            <w:tcW w:w="1347" w:type="dxa"/>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社会效益指标（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社会稳定（</w:t>
            </w:r>
            <w:r>
              <w:rPr>
                <w:rFonts w:hint="eastAsia" w:ascii="仿宋" w:hAnsi="仿宋" w:eastAsia="仿宋" w:cs="仿宋"/>
                <w:kern w:val="0"/>
                <w:sz w:val="22"/>
                <w:szCs w:val="22"/>
                <w:lang w:val="en-US" w:eastAsia="zh-CN"/>
              </w:rPr>
              <w:t>10分）</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有所提升</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有所提升</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828" w:type="dxa"/>
            <w:vMerge w:val="continue"/>
            <w:noWrap w:val="0"/>
            <w:vAlign w:val="center"/>
          </w:tcPr>
          <w:p>
            <w:pPr>
              <w:widowControl/>
              <w:snapToGrid w:val="0"/>
              <w:jc w:val="center"/>
              <w:rPr>
                <w:rFonts w:hint="eastAsia" w:ascii="仿宋" w:hAnsi="仿宋" w:eastAsia="仿宋" w:cs="仿宋"/>
                <w:kern w:val="0"/>
                <w:sz w:val="22"/>
                <w:szCs w:val="22"/>
              </w:rPr>
            </w:pPr>
          </w:p>
        </w:tc>
        <w:tc>
          <w:tcPr>
            <w:tcW w:w="1229" w:type="dxa"/>
            <w:vMerge w:val="continue"/>
            <w:noWrap w:val="0"/>
            <w:vAlign w:val="center"/>
          </w:tcPr>
          <w:p>
            <w:pPr>
              <w:widowControl/>
              <w:snapToGrid w:val="0"/>
              <w:jc w:val="center"/>
              <w:rPr>
                <w:rFonts w:hint="eastAsia" w:ascii="仿宋" w:hAnsi="仿宋" w:eastAsia="仿宋" w:cs="仿宋"/>
                <w:kern w:val="0"/>
                <w:sz w:val="22"/>
                <w:szCs w:val="22"/>
              </w:rPr>
            </w:pPr>
          </w:p>
        </w:tc>
        <w:tc>
          <w:tcPr>
            <w:tcW w:w="1347" w:type="dxa"/>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社会效益指标（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政府公信力（</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有所提升</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有所提升</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28" w:type="dxa"/>
            <w:vMerge w:val="continue"/>
            <w:noWrap w:val="0"/>
            <w:vAlign w:val="center"/>
          </w:tcPr>
          <w:p>
            <w:pPr>
              <w:widowControl/>
              <w:snapToGrid w:val="0"/>
              <w:jc w:val="center"/>
              <w:rPr>
                <w:rFonts w:hint="eastAsia" w:ascii="仿宋" w:hAnsi="仿宋" w:eastAsia="仿宋" w:cs="仿宋"/>
                <w:kern w:val="0"/>
                <w:sz w:val="22"/>
                <w:szCs w:val="22"/>
              </w:rPr>
            </w:pPr>
          </w:p>
        </w:tc>
        <w:tc>
          <w:tcPr>
            <w:tcW w:w="1229" w:type="dxa"/>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满意度</w:t>
            </w:r>
          </w:p>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指标</w:t>
            </w:r>
          </w:p>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47" w:type="dxa"/>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受益对象满意度指标（</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2232" w:type="dxa"/>
            <w:gridSpan w:val="3"/>
            <w:noWrap w:val="0"/>
            <w:vAlign w:val="center"/>
          </w:tcPr>
          <w:p>
            <w:pPr>
              <w:widowControl/>
              <w:snapToGrid w:val="0"/>
              <w:jc w:val="center"/>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受益对象满意度（</w:t>
            </w:r>
            <w:r>
              <w:rPr>
                <w:rFonts w:hint="eastAsia" w:ascii="仿宋" w:hAnsi="仿宋" w:eastAsia="仿宋" w:cs="仿宋"/>
                <w:kern w:val="0"/>
                <w:sz w:val="22"/>
                <w:szCs w:val="22"/>
                <w:lang w:val="en-US" w:eastAsia="zh-CN"/>
              </w:rPr>
              <w:t>10分</w:t>
            </w:r>
            <w:r>
              <w:rPr>
                <w:rFonts w:hint="eastAsia" w:ascii="仿宋" w:hAnsi="仿宋" w:eastAsia="仿宋" w:cs="仿宋"/>
                <w:kern w:val="0"/>
                <w:sz w:val="22"/>
                <w:szCs w:val="22"/>
                <w:lang w:eastAsia="zh-CN"/>
              </w:rPr>
              <w:t>）</w:t>
            </w:r>
          </w:p>
        </w:tc>
        <w:tc>
          <w:tcPr>
            <w:tcW w:w="1313"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≥95%</w:t>
            </w:r>
          </w:p>
        </w:tc>
        <w:tc>
          <w:tcPr>
            <w:tcW w:w="1122" w:type="dxa"/>
            <w:gridSpan w:val="2"/>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95%</w:t>
            </w:r>
          </w:p>
        </w:tc>
        <w:tc>
          <w:tcPr>
            <w:tcW w:w="877" w:type="dxa"/>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057" w:type="dxa"/>
            <w:gridSpan w:val="2"/>
            <w:noWrap w:val="0"/>
            <w:vAlign w:val="center"/>
          </w:tcPr>
          <w:p>
            <w:pPr>
              <w:widowControl/>
              <w:snapToGrid w:val="0"/>
              <w:jc w:val="center"/>
              <w:rPr>
                <w:rFonts w:hint="eastAsia" w:ascii="仿宋" w:hAnsi="仿宋" w:eastAsia="仿宋" w:cs="仿宋"/>
                <w:kern w:val="0"/>
                <w:sz w:val="22"/>
                <w:szCs w:val="22"/>
              </w:rPr>
            </w:pPr>
            <w:r>
              <w:rPr>
                <w:rFonts w:hint="eastAsia" w:ascii="仿宋" w:hAnsi="仿宋" w:eastAsia="仿宋" w:cs="仿宋"/>
                <w:kern w:val="0"/>
                <w:sz w:val="22"/>
                <w:szCs w:val="22"/>
              </w:rPr>
              <w:t>总分</w:t>
            </w:r>
          </w:p>
        </w:tc>
        <w:tc>
          <w:tcPr>
            <w:tcW w:w="6891" w:type="dxa"/>
            <w:gridSpan w:val="8"/>
            <w:noWrap w:val="0"/>
            <w:vAlign w:val="center"/>
          </w:tcPr>
          <w:p>
            <w:pPr>
              <w:widowControl/>
              <w:snapToGrid w:val="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93.21</w:t>
            </w:r>
          </w:p>
        </w:tc>
      </w:tr>
    </w:tbl>
    <w:p>
      <w:pPr>
        <w:widowControl/>
        <w:jc w:val="center"/>
        <w:rPr>
          <w:rFonts w:hint="eastAsia" w:ascii="仿宋" w:hAnsi="仿宋" w:eastAsia="仿宋" w:cs="仿宋"/>
          <w:kern w:val="0"/>
          <w:sz w:val="22"/>
          <w:szCs w:val="22"/>
        </w:rPr>
        <w:sectPr>
          <w:footerReference r:id="rId5" w:type="default"/>
          <w:pgSz w:w="11906" w:h="16838"/>
          <w:pgMar w:top="2098" w:right="1474" w:bottom="1984" w:left="1587" w:header="851" w:footer="992" w:gutter="0"/>
          <w:pgNumType w:fmt="numberInDash" w:start="1"/>
          <w:cols w:space="0" w:num="1"/>
          <w:rtlGutter w:val="0"/>
          <w:docGrid w:linePitch="312" w:charSpace="0"/>
        </w:sectPr>
      </w:pP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jc w:val="center"/>
        </w:trPr>
        <w:tc>
          <w:tcPr>
            <w:tcW w:w="2057" w:type="dxa"/>
            <w:noWrap w:val="0"/>
            <w:vAlign w:val="center"/>
          </w:tcPr>
          <w:p>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偏差大或</w:t>
            </w:r>
          </w:p>
          <w:p>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目标未完成</w:t>
            </w:r>
          </w:p>
          <w:p>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原因分析</w:t>
            </w:r>
          </w:p>
        </w:tc>
        <w:tc>
          <w:tcPr>
            <w:tcW w:w="6891" w:type="dxa"/>
            <w:noWrap w:val="0"/>
            <w:vAlign w:val="center"/>
          </w:tcPr>
          <w:p>
            <w:pPr>
              <w:widowControl/>
              <w:numPr>
                <w:ilvl w:val="0"/>
                <w:numId w:val="1"/>
              </w:numPr>
              <w:jc w:val="lef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由于户数多且当时有部分合同未完善，导致生活费发放不够及时。</w:t>
            </w:r>
          </w:p>
          <w:p>
            <w:pPr>
              <w:widowControl/>
              <w:numPr>
                <w:ilvl w:val="0"/>
                <w:numId w:val="1"/>
              </w:numPr>
              <w:jc w:val="lef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在申报预算时发放人员数及发放标准预计不准确，所以出现预算申报大于实际发放金额的情况。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2057" w:type="dxa"/>
            <w:noWrap w:val="0"/>
            <w:vAlign w:val="center"/>
          </w:tcPr>
          <w:p>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改进措施及</w:t>
            </w:r>
          </w:p>
          <w:p>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结果应用方案</w:t>
            </w:r>
          </w:p>
        </w:tc>
        <w:tc>
          <w:tcPr>
            <w:tcW w:w="6891" w:type="dxa"/>
            <w:noWrap w:val="0"/>
            <w:vAlign w:val="center"/>
          </w:tcPr>
          <w:p>
            <w:pPr>
              <w:widowControl/>
              <w:jc w:val="left"/>
              <w:rPr>
                <w:rFonts w:hint="eastAsia" w:ascii="仿宋" w:hAnsi="仿宋" w:eastAsia="仿宋" w:cs="仿宋"/>
                <w:kern w:val="0"/>
                <w:sz w:val="22"/>
                <w:szCs w:val="22"/>
                <w:lang w:eastAsia="zh-CN"/>
              </w:rPr>
            </w:pPr>
            <w:r>
              <w:rPr>
                <w:rFonts w:hint="eastAsia" w:ascii="仿宋" w:hAnsi="仿宋" w:eastAsia="仿宋" w:cs="仿宋"/>
                <w:kern w:val="0"/>
                <w:sz w:val="22"/>
                <w:szCs w:val="22"/>
                <w:lang w:eastAsia="zh-CN"/>
              </w:rPr>
              <w:t>完善合同，将生活费及时发放。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jc w:val="center"/>
        </w:trPr>
        <w:tc>
          <w:tcPr>
            <w:tcW w:w="2057" w:type="dxa"/>
            <w:noWrap w:val="0"/>
            <w:vAlign w:val="center"/>
          </w:tcPr>
          <w:p>
            <w:pPr>
              <w:widowControl/>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单位主要负责人</w:t>
            </w:r>
          </w:p>
          <w:p>
            <w:pPr>
              <w:widowControl/>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签批意见</w:t>
            </w:r>
          </w:p>
        </w:tc>
        <w:tc>
          <w:tcPr>
            <w:tcW w:w="6891" w:type="dxa"/>
            <w:noWrap w:val="0"/>
            <w:vAlign w:val="center"/>
          </w:tcPr>
          <w:p>
            <w:pPr>
              <w:widowControl/>
              <w:jc w:val="left"/>
              <w:rPr>
                <w:rFonts w:hint="eastAsia" w:ascii="仿宋" w:hAnsi="仿宋" w:eastAsia="仿宋" w:cs="仿宋"/>
                <w:kern w:val="0"/>
                <w:sz w:val="22"/>
                <w:szCs w:val="22"/>
              </w:rPr>
            </w:pPr>
          </w:p>
          <w:p>
            <w:pPr>
              <w:widowControl/>
              <w:jc w:val="left"/>
              <w:rPr>
                <w:rFonts w:hint="eastAsia" w:ascii="仿宋" w:hAnsi="仿宋" w:eastAsia="仿宋" w:cs="仿宋"/>
                <w:kern w:val="0"/>
                <w:sz w:val="22"/>
                <w:szCs w:val="22"/>
              </w:rPr>
            </w:pPr>
          </w:p>
          <w:p>
            <w:pPr>
              <w:widowControl/>
              <w:jc w:val="left"/>
              <w:rPr>
                <w:rFonts w:hint="eastAsia" w:ascii="仿宋" w:hAnsi="仿宋" w:eastAsia="仿宋" w:cs="仿宋"/>
                <w:kern w:val="0"/>
                <w:sz w:val="22"/>
                <w:szCs w:val="22"/>
              </w:rPr>
            </w:pPr>
          </w:p>
          <w:p>
            <w:pPr>
              <w:widowControl/>
              <w:jc w:val="left"/>
              <w:rPr>
                <w:rFonts w:hint="eastAsia" w:ascii="仿宋" w:hAnsi="仿宋" w:eastAsia="仿宋" w:cs="仿宋"/>
                <w:kern w:val="0"/>
                <w:sz w:val="22"/>
                <w:szCs w:val="22"/>
              </w:rPr>
            </w:pPr>
          </w:p>
          <w:p>
            <w:pPr>
              <w:widowControl/>
              <w:jc w:val="left"/>
              <w:rPr>
                <w:rFonts w:hint="eastAsia" w:ascii="仿宋" w:hAnsi="仿宋" w:eastAsia="仿宋" w:cs="仿宋"/>
                <w:kern w:val="0"/>
                <w:sz w:val="22"/>
                <w:szCs w:val="22"/>
              </w:rPr>
            </w:pPr>
          </w:p>
          <w:p>
            <w:pPr>
              <w:widowControl/>
              <w:jc w:val="left"/>
              <w:rPr>
                <w:rFonts w:hint="eastAsia" w:ascii="仿宋" w:hAnsi="仿宋" w:eastAsia="仿宋" w:cs="仿宋"/>
                <w:kern w:val="0"/>
                <w:sz w:val="22"/>
                <w:szCs w:val="22"/>
              </w:rPr>
            </w:pPr>
          </w:p>
          <w:p>
            <w:pPr>
              <w:widowControl/>
              <w:jc w:val="lef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 xml:space="preserve">  </w:t>
            </w:r>
          </w:p>
          <w:p>
            <w:pPr>
              <w:widowControl/>
              <w:ind w:firstLine="4400" w:firstLineChars="2000"/>
              <w:jc w:val="lef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 xml:space="preserve">签名：               </w:t>
            </w:r>
          </w:p>
          <w:p>
            <w:pPr>
              <w:widowControl/>
              <w:ind w:firstLine="2200" w:firstLineChars="1000"/>
              <w:jc w:val="righ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 xml:space="preserve"> 年    月    日</w:t>
            </w:r>
          </w:p>
          <w:p>
            <w:pPr>
              <w:widowControl/>
              <w:jc w:val="lef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 xml:space="preserve"> </w:t>
            </w:r>
          </w:p>
        </w:tc>
      </w:tr>
    </w:tbl>
    <w:p>
      <w:pPr>
        <w:rPr>
          <w:rFonts w:hint="eastAsia" w:ascii="仿宋" w:hAnsi="仿宋" w:eastAsia="仿宋" w:cs="仿宋"/>
        </w:rPr>
      </w:pPr>
    </w:p>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8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8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8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8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pPr>
        <w:keepNext w:val="0"/>
        <w:keepLines w:val="0"/>
        <w:widowControl/>
        <w:shd w:val="clear"/>
        <w:bidi w:val="0"/>
        <w:spacing w:before="0" w:after="0" w:line="240" w:lineRule="auto"/>
        <w:ind w:left="0" w:right="0" w:firstLine="0"/>
        <w:jc w:val="right"/>
        <w:rPr>
          <w:rFonts w:hint="eastAsia" w:ascii="仿宋" w:hAnsi="仿宋" w:eastAsia="仿宋" w:cs="仿宋"/>
          <w:color w:val="000000"/>
          <w:spacing w:val="0"/>
          <w:w w:val="100"/>
          <w:kern w:val="2"/>
          <w:position w:val="0"/>
          <w:sz w:val="32"/>
          <w:szCs w:val="32"/>
          <w:u w:val="none"/>
          <w:shd w:val="clear" w:color="auto" w:fill="auto"/>
          <w:lang w:val="en-US" w:eastAsia="zh-CN" w:bidi="zh-TW"/>
        </w:rPr>
      </w:pPr>
    </w:p>
    <w:p>
      <w:pPr>
        <w:keepNext w:val="0"/>
        <w:keepLines w:val="0"/>
        <w:pageBreakBefore w:val="0"/>
        <w:widowControl/>
        <w:kinsoku/>
        <w:wordWrap/>
        <w:overflowPunct/>
        <w:topLinePunct w:val="0"/>
        <w:autoSpaceDE/>
        <w:autoSpaceDN/>
        <w:bidi w:val="0"/>
        <w:adjustRightInd/>
        <w:spacing w:line="560" w:lineRule="atLeast"/>
        <w:ind w:firstLine="2000" w:firstLineChars="500"/>
        <w:jc w:val="both"/>
        <w:rPr>
          <w:rFonts w:hint="eastAsia" w:ascii="方正小标宋简体" w:hAnsi="方正小标宋简体" w:eastAsia="方正小标宋简体" w:cs="方正小标宋简体"/>
          <w:color w:val="000000"/>
          <w:kern w:val="0"/>
          <w:sz w:val="40"/>
          <w:szCs w:val="40"/>
          <w:lang w:eastAsia="zh-CN"/>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退地人员生活费</w:t>
      </w:r>
    </w:p>
    <w:p>
      <w:pPr>
        <w:keepNext w:val="0"/>
        <w:keepLines w:val="0"/>
        <w:pageBreakBefore w:val="0"/>
        <w:widowControl/>
        <w:kinsoku/>
        <w:wordWrap/>
        <w:overflowPunct/>
        <w:topLinePunct w:val="0"/>
        <w:autoSpaceDE/>
        <w:autoSpaceDN/>
        <w:bidi w:val="0"/>
        <w:adjustRightInd/>
        <w:spacing w:line="560" w:lineRule="atLeast"/>
        <w:jc w:val="center"/>
        <w:rPr>
          <w:rFonts w:hint="default" w:ascii="方正小标宋简体" w:hAnsi="方正小标宋简体" w:eastAsia="方正小标宋简体" w:cs="方正小标宋简体"/>
          <w:color w:val="000000"/>
          <w:kern w:val="0"/>
          <w:sz w:val="40"/>
          <w:szCs w:val="40"/>
          <w:lang w:val="en-US" w:eastAsia="zh-CN"/>
        </w:rPr>
      </w:pPr>
      <w:r>
        <w:rPr>
          <w:rFonts w:hint="eastAsia" w:ascii="方正小标宋简体" w:hAnsi="方正小标宋简体" w:eastAsia="方正小标宋简体" w:cs="方正小标宋简体"/>
          <w:color w:val="000000"/>
          <w:kern w:val="0"/>
          <w:sz w:val="40"/>
          <w:szCs w:val="40"/>
          <w:lang w:eastAsia="zh-CN"/>
        </w:rPr>
        <w:t>发放</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lang w:val="en-US" w:eastAsia="zh-CN"/>
        </w:rPr>
        <w:t>结果</w:t>
      </w:r>
    </w:p>
    <w:p>
      <w:pPr>
        <w:keepNext w:val="0"/>
        <w:keepLines w:val="0"/>
        <w:pageBreakBefore w:val="0"/>
        <w:widowControl/>
        <w:kinsoku/>
        <w:wordWrap/>
        <w:overflowPunct/>
        <w:topLinePunct w:val="0"/>
        <w:autoSpaceDE/>
        <w:autoSpaceDN/>
        <w:bidi w:val="0"/>
        <w:adjustRightInd/>
        <w:spacing w:line="560" w:lineRule="atLeast"/>
        <w:jc w:val="center"/>
        <w:rPr>
          <w:rFonts w:hint="eastAsia" w:ascii="Times New Roman" w:hAnsi="Times New Roman" w:eastAsia="楷体" w:cs="Times New Roman"/>
          <w:color w:val="000000"/>
          <w:spacing w:val="0"/>
          <w:w w:val="100"/>
          <w:kern w:val="0"/>
          <w:position w:val="0"/>
          <w:sz w:val="32"/>
          <w:szCs w:val="32"/>
          <w:lang w:val="en-US" w:eastAsia="zh-CN"/>
        </w:rPr>
      </w:pPr>
      <w:r>
        <w:rPr>
          <w:rFonts w:hint="eastAsia" w:ascii="Times New Roman" w:hAnsi="Times New Roman" w:eastAsia="楷体" w:cs="Times New Roman"/>
          <w:color w:val="000000"/>
          <w:spacing w:val="0"/>
          <w:w w:val="100"/>
          <w:kern w:val="0"/>
          <w:position w:val="0"/>
          <w:sz w:val="32"/>
          <w:szCs w:val="32"/>
          <w:lang w:val="en-US" w:eastAsia="zh-CN"/>
        </w:rPr>
        <w:t>（</w:t>
      </w:r>
      <w:r>
        <w:rPr>
          <w:rFonts w:hint="eastAsia" w:eastAsia="楷体" w:cs="Times New Roman"/>
          <w:color w:val="000000"/>
          <w:spacing w:val="0"/>
          <w:w w:val="100"/>
          <w:kern w:val="0"/>
          <w:position w:val="0"/>
          <w:sz w:val="32"/>
          <w:szCs w:val="32"/>
          <w:lang w:val="en-US" w:eastAsia="zh-CN"/>
        </w:rPr>
        <w:t>摘要</w:t>
      </w:r>
      <w:r>
        <w:rPr>
          <w:rFonts w:hint="eastAsia" w:ascii="Times New Roman" w:hAnsi="Times New Roman" w:eastAsia="楷体" w:cs="Times New Roman"/>
          <w:color w:val="000000"/>
          <w:spacing w:val="0"/>
          <w:w w:val="100"/>
          <w:kern w:val="0"/>
          <w:position w:val="0"/>
          <w:sz w:val="32"/>
          <w:szCs w:val="32"/>
          <w:lang w:val="en-US" w:eastAsia="zh-CN"/>
        </w:rPr>
        <w:t>版）</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2717"/>
        <w:gridCol w:w="1773"/>
        <w:gridCol w:w="1789"/>
        <w:gridCol w:w="1660"/>
      </w:tblGrid>
      <w:tr>
        <w:tblPrEx>
          <w:tblCellMar>
            <w:top w:w="0" w:type="dxa"/>
            <w:left w:w="10" w:type="dxa"/>
            <w:bottom w:w="0" w:type="dxa"/>
            <w:right w:w="10" w:type="dxa"/>
          </w:tblCellMar>
        </w:tblPrEx>
        <w:trPr>
          <w:trHeight w:val="499"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color w:val="000000"/>
                <w:spacing w:val="0"/>
                <w:w w:val="100"/>
                <w:kern w:val="0"/>
                <w:position w:val="0"/>
                <w:sz w:val="28"/>
                <w:szCs w:val="28"/>
                <w:u w:val="none"/>
                <w:shd w:val="clear" w:color="auto" w:fill="auto"/>
                <w:lang w:val="en-US" w:eastAsia="zh-CN" w:bidi="zh-TW"/>
              </w:rPr>
              <w:t>18.33</w:t>
            </w:r>
          </w:p>
        </w:tc>
      </w:tr>
      <w:tr>
        <w:tblPrEx>
          <w:tblCellMar>
            <w:top w:w="0" w:type="dxa"/>
            <w:left w:w="10" w:type="dxa"/>
            <w:bottom w:w="0" w:type="dxa"/>
            <w:right w:w="10" w:type="dxa"/>
          </w:tblCellMar>
        </w:tblPrEx>
        <w:trPr>
          <w:trHeight w:val="494"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40</w:t>
            </w:r>
            <w:r>
              <w:rPr>
                <w:rFonts w:hint="eastAsia" w:ascii="仿宋" w:hAnsi="仿宋" w:eastAsia="仿宋" w:cs="仿宋"/>
                <w:b w:val="0"/>
                <w:bCs w:val="0"/>
                <w:color w:val="000000"/>
                <w:spacing w:val="0"/>
                <w:w w:val="100"/>
                <w:position w:val="0"/>
                <w:sz w:val="28"/>
                <w:szCs w:val="28"/>
                <w:highlight w:val="none"/>
              </w:rPr>
              <w:t>%</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34.88</w:t>
            </w:r>
          </w:p>
        </w:tc>
      </w:tr>
      <w:tr>
        <w:tblPrEx>
          <w:tblCellMar>
            <w:top w:w="0" w:type="dxa"/>
            <w:left w:w="10" w:type="dxa"/>
            <w:bottom w:w="0" w:type="dxa"/>
            <w:right w:w="10" w:type="dxa"/>
          </w:tblCellMar>
        </w:tblPrEx>
        <w:trPr>
          <w:trHeight w:val="490"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r>
      <w:tr>
        <w:tblPrEx>
          <w:tblCellMar>
            <w:top w:w="0" w:type="dxa"/>
            <w:left w:w="10" w:type="dxa"/>
            <w:bottom w:w="0" w:type="dxa"/>
            <w:right w:w="10" w:type="dxa"/>
          </w:tblCellMar>
        </w:tblPrEx>
        <w:trPr>
          <w:trHeight w:val="490"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tabs>
                <w:tab w:val="center" w:pos="876"/>
              </w:tabs>
              <w:kinsoku/>
              <w:wordWrap/>
              <w:overflowPunct/>
              <w:topLinePunct w:val="0"/>
              <w:autoSpaceDE/>
              <w:autoSpaceDN/>
              <w:bidi w:val="0"/>
              <w:adjustRightInd/>
              <w:snapToGrid/>
              <w:spacing w:before="0" w:after="0" w:line="560" w:lineRule="atLeast"/>
              <w:ind w:left="0" w:leftChars="0" w:right="0" w:firstLine="0" w:firstLineChars="0"/>
              <w:jc w:val="center"/>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color w:val="000000"/>
                <w:spacing w:val="0"/>
                <w:w w:val="100"/>
                <w:position w:val="0"/>
                <w:sz w:val="28"/>
                <w:szCs w:val="28"/>
                <w:highlight w:val="none"/>
                <w:lang w:val="en-US" w:eastAsia="zh-CN"/>
              </w:rPr>
              <w:t>10</w:t>
            </w:r>
            <w:r>
              <w:rPr>
                <w:rFonts w:hint="eastAsia" w:ascii="仿宋" w:hAnsi="仿宋" w:eastAsia="仿宋" w:cs="仿宋"/>
                <w:b w:val="0"/>
                <w:bCs w:val="0"/>
                <w:color w:val="000000"/>
                <w:spacing w:val="0"/>
                <w:w w:val="100"/>
                <w:position w:val="0"/>
                <w:sz w:val="28"/>
                <w:szCs w:val="28"/>
                <w:highlight w:val="none"/>
              </w:rPr>
              <w:t>%</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w:t>
            </w:r>
            <w:r>
              <w:rPr>
                <w:rFonts w:hint="eastAsia" w:ascii="仿宋" w:hAnsi="仿宋" w:eastAsia="仿宋" w:cs="仿宋"/>
                <w:b w:val="0"/>
                <w:bCs w:val="0"/>
                <w:color w:val="000000"/>
                <w:spacing w:val="0"/>
                <w:w w:val="100"/>
                <w:position w:val="0"/>
                <w:sz w:val="28"/>
                <w:szCs w:val="28"/>
                <w:highlight w:val="none"/>
              </w:rPr>
              <w:t>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10</w:t>
            </w:r>
          </w:p>
        </w:tc>
      </w:tr>
      <w:tr>
        <w:tblPrEx>
          <w:tblCellMar>
            <w:top w:w="0" w:type="dxa"/>
            <w:left w:w="10" w:type="dxa"/>
            <w:bottom w:w="0" w:type="dxa"/>
            <w:right w:w="10" w:type="dxa"/>
          </w:tblCellMar>
        </w:tblPrEx>
        <w:trPr>
          <w:trHeight w:val="504" w:hRule="exact"/>
          <w:jc w:val="center"/>
        </w:trPr>
        <w:tc>
          <w:tcPr>
            <w:tcW w:w="27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7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7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0"/>
              <w:jc w:val="center"/>
              <w:textAlignment w:val="auto"/>
              <w:rPr>
                <w:rFonts w:hint="default" w:ascii="仿宋" w:hAnsi="仿宋" w:eastAsia="仿宋" w:cs="仿宋"/>
                <w:b w:val="0"/>
                <w:bCs w:val="0"/>
                <w:sz w:val="28"/>
                <w:szCs w:val="28"/>
                <w:highlight w:val="none"/>
                <w:lang w:val="en-US" w:eastAsia="zh-CN"/>
              </w:rPr>
            </w:pPr>
            <w:r>
              <w:rPr>
                <w:rFonts w:hint="default" w:ascii="仿宋" w:hAnsi="仿宋" w:eastAsia="仿宋" w:cs="仿宋"/>
                <w:b w:val="0"/>
                <w:bCs w:val="0"/>
                <w:sz w:val="28"/>
                <w:szCs w:val="28"/>
                <w:highlight w:val="none"/>
                <w:lang w:val="en-US" w:eastAsia="zh-CN"/>
              </w:rPr>
              <w:t>93.21</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499"/>
        <w:jc w:val="both"/>
        <w:textAlignment w:val="auto"/>
        <w:rPr>
          <w:rFonts w:hint="eastAsia" w:ascii="仿宋" w:hAnsi="仿宋" w:eastAsia="仿宋" w:cs="仿宋"/>
          <w:color w:val="000000"/>
          <w:spacing w:val="0"/>
          <w:w w:val="100"/>
          <w:kern w:val="0"/>
          <w:position w:val="0"/>
          <w:sz w:val="32"/>
          <w:szCs w:val="32"/>
          <w:u w:val="none"/>
          <w:shd w:val="clear" w:color="auto" w:fill="auto"/>
          <w:lang w:val="zh-TW"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执行率情况；本年度预算1029.82万元，执行数1015.84万元，执行率91.66%。</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20分，得分18.33分。</w:t>
      </w:r>
      <w:r>
        <w:rPr>
          <w:rFonts w:hint="eastAsia" w:ascii="仿宋" w:hAnsi="仿宋" w:eastAsia="仿宋" w:cs="仿宋"/>
          <w:color w:val="000000"/>
          <w:spacing w:val="0"/>
          <w:w w:val="100"/>
          <w:kern w:val="0"/>
          <w:position w:val="0"/>
          <w:sz w:val="32"/>
          <w:szCs w:val="32"/>
          <w:u w:val="none"/>
          <w:shd w:val="clear" w:color="auto" w:fill="auto"/>
          <w:lang w:val="zh-TW" w:eastAsia="zh-CN" w:bidi="zh-TW"/>
        </w:rPr>
        <w:t>预算执行率</w:t>
      </w:r>
      <w:r>
        <w:rPr>
          <w:rFonts w:hint="eastAsia" w:ascii="仿宋" w:hAnsi="仿宋" w:eastAsia="仿宋" w:cs="仿宋"/>
          <w:color w:val="000000"/>
          <w:spacing w:val="0"/>
          <w:w w:val="100"/>
          <w:kern w:val="0"/>
          <w:position w:val="0"/>
          <w:sz w:val="32"/>
          <w:szCs w:val="32"/>
          <w:u w:val="none"/>
          <w:shd w:val="clear" w:color="auto" w:fill="auto"/>
          <w:lang w:val="en-US" w:eastAsia="zh-CN" w:bidi="zh-TW"/>
        </w:rPr>
        <w:t>为</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91.66%</w:t>
      </w:r>
      <w:r>
        <w:rPr>
          <w:rFonts w:hint="eastAsia" w:ascii="仿宋" w:hAnsi="仿宋" w:eastAsia="仿宋" w:cs="仿宋"/>
          <w:color w:val="000000"/>
          <w:spacing w:val="0"/>
          <w:w w:val="100"/>
          <w:kern w:val="0"/>
          <w:position w:val="0"/>
          <w:sz w:val="32"/>
          <w:szCs w:val="32"/>
          <w:u w:val="none"/>
          <w:shd w:val="clear" w:color="auto" w:fill="auto"/>
          <w:lang w:val="en-US" w:eastAsia="zh-CN" w:bidi="zh-TW"/>
        </w:rPr>
        <w:t>其原因为</w:t>
      </w:r>
      <w:r>
        <w:rPr>
          <w:rFonts w:hint="eastAsia" w:ascii="仿宋" w:hAnsi="仿宋" w:eastAsia="仿宋" w:cs="仿宋"/>
          <w:color w:val="000000"/>
          <w:spacing w:val="0"/>
          <w:w w:val="100"/>
          <w:kern w:val="0"/>
          <w:position w:val="0"/>
          <w:sz w:val="32"/>
          <w:szCs w:val="32"/>
          <w:u w:val="none"/>
          <w:shd w:val="clear" w:color="auto" w:fill="auto"/>
          <w:lang w:val="zh-TW" w:eastAsia="zh-CN" w:bidi="zh-TW"/>
        </w:rPr>
        <w:t>在申报预算时发放人员数量及发放标准预计不准确，所以出现预算申报金额大于实际发放金额的情况。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7"/>
        <w:gridCol w:w="2135"/>
        <w:gridCol w:w="1466"/>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7"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135"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6"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319"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费用增加率（10分）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0</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1"/>
                <w:szCs w:val="21"/>
                <w:highlight w:val="none"/>
                <w:u w:val="none"/>
                <w:shd w:val="clear" w:color="auto" w:fill="auto"/>
                <w:lang w:val="en-US" w:eastAsia="zh-CN" w:bidi="zh-TW"/>
              </w:rPr>
            </w:pPr>
            <w:r>
              <w:rPr>
                <w:rFonts w:hint="eastAsia" w:ascii="仿宋" w:hAnsi="仿宋" w:eastAsia="仿宋" w:cs="仿宋"/>
                <w:color w:val="000000"/>
                <w:spacing w:val="0"/>
                <w:w w:val="100"/>
                <w:position w:val="0"/>
                <w:sz w:val="21"/>
                <w:szCs w:val="21"/>
                <w:highlight w:val="none"/>
                <w:u w:val="none"/>
                <w:shd w:val="clear" w:color="auto" w:fill="auto"/>
                <w:lang w:val="en-US" w:eastAsia="zh-CN" w:bidi="zh-TW"/>
              </w:rPr>
              <w:t>对经济的发展（</w:t>
            </w:r>
            <w:bookmarkStart w:id="0" w:name="_GoBack"/>
            <w:bookmarkEnd w:id="0"/>
            <w:r>
              <w:rPr>
                <w:rFonts w:hint="eastAsia" w:ascii="仿宋" w:hAnsi="仿宋" w:eastAsia="仿宋" w:cs="仿宋"/>
                <w:color w:val="000000"/>
                <w:spacing w:val="0"/>
                <w:w w:val="100"/>
                <w:position w:val="0"/>
                <w:sz w:val="21"/>
                <w:szCs w:val="21"/>
                <w:highlight w:val="none"/>
                <w:u w:val="none"/>
                <w:shd w:val="clear" w:color="auto" w:fill="auto"/>
                <w:lang w:val="en-US" w:eastAsia="zh-CN" w:bidi="zh-TW"/>
              </w:rPr>
              <w:t>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社会稳定（10分）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政府公信力（10分）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27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受益对象满意度指标（10分）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受益对象满意度（10分）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≥95%</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95%</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2135"/>
        <w:gridCol w:w="1466"/>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1"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135"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6"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319"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77" w:type="dxa"/>
            <w:noWrap w:val="0"/>
            <w:vAlign w:val="center"/>
          </w:tcPr>
          <w:p>
            <w:pPr>
              <w:keepNext w:val="0"/>
              <w:keepLines w:val="0"/>
              <w:pageBreakBefore w:val="0"/>
              <w:widowControl/>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41"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生活费发放人数</w:t>
            </w:r>
          </w:p>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517</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462</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41"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w:t>
            </w:r>
          </w:p>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生活费发放率（10分）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大于99%</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89.4%</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41"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时效指标（10分）</w:t>
            </w:r>
          </w:p>
        </w:tc>
        <w:tc>
          <w:tcPr>
            <w:tcW w:w="2135"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发放及时性（10分）</w:t>
            </w:r>
          </w:p>
        </w:tc>
        <w:tc>
          <w:tcPr>
            <w:tcW w:w="1466"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319"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70%</w:t>
            </w:r>
          </w:p>
        </w:tc>
        <w:tc>
          <w:tcPr>
            <w:tcW w:w="87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val="0"/>
              <w:spacing w:line="560" w:lineRule="atLeast"/>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2存在的问题及原因</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①绩效管理水平有待提高，项目执行过程中有效约束力不够。</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②由于户数多且当时有部分合同未完善，导致生活费发放不够及时。</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3下一步拟改进措施</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2"/>
        <w:ind w:left="0" w:leftChars="0" w:firstLine="640" w:firstLineChars="200"/>
        <w:jc w:val="left"/>
        <w:rPr>
          <w:rFonts w:hint="eastAsia" w:ascii="仿宋" w:hAnsi="仿宋" w:eastAsia="仿宋" w:cs="仿宋"/>
          <w:sz w:val="32"/>
          <w:szCs w:val="32"/>
          <w:lang w:val="en-US" w:eastAsia="zh-CN"/>
        </w:rPr>
      </w:pPr>
    </w:p>
    <w:p>
      <w:pPr>
        <w:widowControl/>
        <w:spacing w:line="432" w:lineRule="atLeast"/>
        <w:jc w:val="right"/>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p>
    <w:p>
      <w:pPr>
        <w:widowControl/>
        <w:spacing w:line="432" w:lineRule="atLeast"/>
        <w:jc w:val="right"/>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p>
    <w:p>
      <w:pPr>
        <w:widowControl/>
        <w:spacing w:line="432" w:lineRule="atLeast"/>
        <w:jc w:val="right"/>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pStyle w:val="2"/>
        <w:rPr>
          <w:rFonts w:hint="eastAsia"/>
          <w:lang w:eastAsia="zh-CN"/>
        </w:rPr>
      </w:pPr>
    </w:p>
    <w:sectPr>
      <w:footerReference r:id="rId6" w:type="default"/>
      <w:pgSz w:w="11906" w:h="16838"/>
      <w:pgMar w:top="2098" w:right="1474" w:bottom="1984" w:left="1587" w:header="851" w:footer="992" w:gutter="0"/>
      <w:pgNumType w:fmt="numberInDash" w:start="1"/>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8A839"/>
    <w:multiLevelType w:val="singleLevel"/>
    <w:tmpl w:val="06F8A83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156"/>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B205B4"/>
    <w:rsid w:val="00F12784"/>
    <w:rsid w:val="02231A0D"/>
    <w:rsid w:val="06EB231B"/>
    <w:rsid w:val="0A382D4F"/>
    <w:rsid w:val="0C9B49A3"/>
    <w:rsid w:val="193F6401"/>
    <w:rsid w:val="242F0749"/>
    <w:rsid w:val="26B205B4"/>
    <w:rsid w:val="2C8238B0"/>
    <w:rsid w:val="4061097D"/>
    <w:rsid w:val="43CA167A"/>
    <w:rsid w:val="4A6961E6"/>
    <w:rsid w:val="4D8D7ECE"/>
    <w:rsid w:val="56905C28"/>
    <w:rsid w:val="588C1469"/>
    <w:rsid w:val="5C3F60F9"/>
    <w:rsid w:val="5F64104A"/>
    <w:rsid w:val="764A516D"/>
    <w:rsid w:val="7C7C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0">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2021-07-09T03:14:00Z</dcterms:created>
  <dc:creator>,</dc:creator>
  <cp:lastModifiedBy>,</cp:lastModifiedBy>
  <dcterms:modified xsi:type="dcterms:W3CDTF">2021-07-27T00:41:30Z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7AD356EF5AA54120B981A302AA6F66C1</vt:lpwstr>
  </property>
</Properties>
</file>