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2016及2017通村湾</w:t>
      </w:r>
      <w:r>
        <w:rPr>
          <w:rFonts w:hint="eastAsia" w:ascii="方正小标宋简体" w:hAnsi="方正小标宋简体" w:eastAsia="方正小标宋简体" w:cs="方正小标宋简体"/>
          <w:color w:val="000000"/>
          <w:kern w:val="0"/>
          <w:sz w:val="40"/>
          <w:szCs w:val="40"/>
        </w:rPr>
        <w:t>项目自评表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2021年4月26日</w:t>
      </w:r>
      <w:bookmarkStart w:id="0" w:name="_GoBack"/>
      <w:bookmarkEnd w:id="0"/>
      <w:r>
        <w:rPr>
          <w:rFonts w:hint="eastAsia" w:ascii="宋体" w:hAnsi="宋体" w:eastAsia="宋体" w:cs="宋体"/>
          <w:color w:val="000000"/>
          <w:kern w:val="0"/>
          <w:sz w:val="24"/>
          <w:szCs w:val="24"/>
        </w:rPr>
        <w:t>        </w:t>
      </w:r>
    </w:p>
    <w:tbl>
      <w:tblPr>
        <w:tblStyle w:val="2"/>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70"/>
        <w:gridCol w:w="1240"/>
        <w:gridCol w:w="1629"/>
        <w:gridCol w:w="611"/>
        <w:gridCol w:w="1104"/>
        <w:gridCol w:w="820"/>
        <w:gridCol w:w="728"/>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06" w:type="dxa"/>
            <w:gridSpan w:val="7"/>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lang w:val="en-US" w:eastAsia="zh-CN"/>
              </w:rPr>
              <w:t>2016及2017通村湾公路维修改造工程</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1240" w:type="dxa"/>
            <w:noWrap w:val="0"/>
            <w:vAlign w:val="center"/>
          </w:tcPr>
          <w:p>
            <w:pPr>
              <w:widowControl/>
              <w:snapToGrid w:val="0"/>
              <w:jc w:val="left"/>
              <w:rPr>
                <w:rFonts w:hint="eastAsia" w:ascii="宋体" w:hAnsi="宋体" w:eastAsia="宋体" w:cs="Times New Roman"/>
                <w:kern w:val="0"/>
                <w:lang w:eastAsia="zh-CN"/>
              </w:rPr>
            </w:pPr>
            <w:r>
              <w:rPr>
                <w:rFonts w:hint="eastAsia" w:ascii="宋体" w:hAnsi="宋体" w:cs="Times New Roman"/>
                <w:kern w:val="0"/>
                <w:lang w:eastAsia="zh-CN"/>
              </w:rPr>
              <w:t>交通局</w:t>
            </w:r>
          </w:p>
        </w:tc>
        <w:tc>
          <w:tcPr>
            <w:tcW w:w="22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3526" w:type="dxa"/>
            <w:gridSpan w:val="4"/>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东山街道办事处</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06" w:type="dxa"/>
            <w:gridSpan w:val="7"/>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893"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0" w:type="dxa"/>
            <w:noWrap w:val="0"/>
            <w:vAlign w:val="center"/>
          </w:tcPr>
          <w:p>
            <w:pPr>
              <w:widowControl/>
              <w:snapToGrid w:val="0"/>
              <w:jc w:val="center"/>
              <w:rPr>
                <w:rFonts w:ascii="宋体" w:hAnsi="宋体" w:eastAsia="宋体" w:cs="Times New Roman"/>
                <w:kern w:val="0"/>
              </w:rPr>
            </w:pPr>
          </w:p>
        </w:tc>
        <w:tc>
          <w:tcPr>
            <w:tcW w:w="1629"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715"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602"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62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82万元</w:t>
            </w:r>
          </w:p>
        </w:tc>
        <w:tc>
          <w:tcPr>
            <w:tcW w:w="1715" w:type="dxa"/>
            <w:gridSpan w:val="2"/>
            <w:noWrap w:val="0"/>
            <w:vAlign w:val="center"/>
          </w:tcPr>
          <w:p>
            <w:pPr>
              <w:widowControl/>
              <w:snapToGrid w:val="0"/>
              <w:jc w:val="center"/>
              <w:rPr>
                <w:rFonts w:ascii="宋体" w:hAnsi="宋体" w:eastAsia="宋体" w:cs="Times New Roman"/>
                <w:kern w:val="0"/>
              </w:rPr>
            </w:pPr>
            <w:r>
              <w:rPr>
                <w:rFonts w:hint="eastAsia" w:ascii="宋体" w:hAnsi="宋体" w:cs="Times New Roman"/>
                <w:kern w:val="0"/>
                <w:lang w:val="en-US" w:eastAsia="zh-CN"/>
              </w:rPr>
              <w:t>82万元</w:t>
            </w:r>
          </w:p>
        </w:tc>
        <w:tc>
          <w:tcPr>
            <w:tcW w:w="820"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100%</w:t>
            </w:r>
          </w:p>
        </w:tc>
        <w:tc>
          <w:tcPr>
            <w:tcW w:w="1602"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3"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0"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3344"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72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4"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0" w:type="dxa"/>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数量指标</w:t>
            </w:r>
          </w:p>
        </w:tc>
        <w:tc>
          <w:tcPr>
            <w:tcW w:w="3344" w:type="dxa"/>
            <w:gridSpan w:val="3"/>
            <w:noWrap w:val="0"/>
            <w:vAlign w:val="center"/>
          </w:tcPr>
          <w:p>
            <w:pPr>
              <w:widowControl/>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2016年、2017年通村湾道路</w:t>
            </w:r>
          </w:p>
        </w:tc>
        <w:tc>
          <w:tcPr>
            <w:tcW w:w="820"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val="en-US" w:eastAsia="zh-CN"/>
              </w:rPr>
              <w:t>16条</w:t>
            </w:r>
          </w:p>
        </w:tc>
        <w:tc>
          <w:tcPr>
            <w:tcW w:w="728"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val="en-US" w:eastAsia="zh-CN"/>
              </w:rPr>
              <w:t>16条</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质量指标</w:t>
            </w:r>
          </w:p>
        </w:tc>
        <w:tc>
          <w:tcPr>
            <w:tcW w:w="3344" w:type="dxa"/>
            <w:gridSpan w:val="3"/>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竣工验收</w:t>
            </w:r>
          </w:p>
        </w:tc>
        <w:tc>
          <w:tcPr>
            <w:tcW w:w="820"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eastAsia="zh-CN"/>
              </w:rPr>
              <w:t>合格</w:t>
            </w:r>
          </w:p>
        </w:tc>
        <w:tc>
          <w:tcPr>
            <w:tcW w:w="728"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eastAsia="zh-CN"/>
              </w:rPr>
              <w:t>合格</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成本指标</w:t>
            </w:r>
          </w:p>
        </w:tc>
        <w:tc>
          <w:tcPr>
            <w:tcW w:w="3344" w:type="dxa"/>
            <w:gridSpan w:val="3"/>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工程费用</w:t>
            </w:r>
          </w:p>
        </w:tc>
        <w:tc>
          <w:tcPr>
            <w:tcW w:w="820"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审计报告</w:t>
            </w:r>
          </w:p>
        </w:tc>
        <w:tc>
          <w:tcPr>
            <w:tcW w:w="728"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审计报告</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240" w:type="dxa"/>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经济效益</w:t>
            </w:r>
          </w:p>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指标</w:t>
            </w:r>
          </w:p>
        </w:tc>
        <w:tc>
          <w:tcPr>
            <w:tcW w:w="3344" w:type="dxa"/>
            <w:gridSpan w:val="3"/>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lang w:eastAsia="zh-CN"/>
              </w:rPr>
              <w:t>乡村及周边的经济发展</w:t>
            </w:r>
          </w:p>
        </w:tc>
        <w:tc>
          <w:tcPr>
            <w:tcW w:w="820"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eastAsia="宋体" w:cs="宋体"/>
                <w:kern w:val="0"/>
                <w:sz w:val="24"/>
                <w:szCs w:val="24"/>
                <w:lang w:val="en-US" w:eastAsia="zh-CN"/>
              </w:rPr>
              <w:t>有效提高</w:t>
            </w:r>
          </w:p>
        </w:tc>
        <w:tc>
          <w:tcPr>
            <w:tcW w:w="728"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val="en-US" w:eastAsia="zh-CN"/>
              </w:rPr>
              <w:t>有效提高</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社会效益</w:t>
            </w:r>
          </w:p>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指标</w:t>
            </w:r>
          </w:p>
        </w:tc>
        <w:tc>
          <w:tcPr>
            <w:tcW w:w="3344" w:type="dxa"/>
            <w:gridSpan w:val="3"/>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lang w:eastAsia="zh-CN"/>
              </w:rPr>
              <w:t>连通周边乡镇道路，确保行车安全、出行便利</w:t>
            </w:r>
          </w:p>
        </w:tc>
        <w:tc>
          <w:tcPr>
            <w:tcW w:w="820"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val="en-US" w:eastAsia="zh-CN"/>
              </w:rPr>
              <w:t>100%</w:t>
            </w:r>
          </w:p>
        </w:tc>
        <w:tc>
          <w:tcPr>
            <w:tcW w:w="728" w:type="dxa"/>
            <w:noWrap w:val="0"/>
            <w:vAlign w:val="center"/>
          </w:tcPr>
          <w:p>
            <w:pPr>
              <w:widowControl/>
              <w:jc w:val="center"/>
              <w:rPr>
                <w:rFonts w:ascii="宋体" w:hAnsi="宋体" w:eastAsia="宋体" w:cs="Times New Roman"/>
                <w:kern w:val="0"/>
              </w:rPr>
            </w:pPr>
            <w:r>
              <w:rPr>
                <w:rFonts w:hint="eastAsia" w:ascii="宋体" w:hAnsi="宋体" w:eastAsia="宋体" w:cs="宋体"/>
                <w:kern w:val="0"/>
                <w:sz w:val="24"/>
                <w:szCs w:val="24"/>
                <w:lang w:val="en-US" w:eastAsia="zh-CN"/>
              </w:rPr>
              <w:t>100%</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生态效益</w:t>
            </w:r>
          </w:p>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指标</w:t>
            </w:r>
          </w:p>
        </w:tc>
        <w:tc>
          <w:tcPr>
            <w:tcW w:w="3344" w:type="dxa"/>
            <w:gridSpan w:val="3"/>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城市形象</w:t>
            </w:r>
          </w:p>
        </w:tc>
        <w:tc>
          <w:tcPr>
            <w:tcW w:w="820"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有效提升</w:t>
            </w:r>
          </w:p>
        </w:tc>
        <w:tc>
          <w:tcPr>
            <w:tcW w:w="728"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有效提升</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可持续</w:t>
            </w:r>
          </w:p>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影响指标</w:t>
            </w:r>
          </w:p>
        </w:tc>
        <w:tc>
          <w:tcPr>
            <w:tcW w:w="3344" w:type="dxa"/>
            <w:gridSpan w:val="3"/>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优化乡村道路建设，促进可持续发展</w:t>
            </w:r>
          </w:p>
        </w:tc>
        <w:tc>
          <w:tcPr>
            <w:tcW w:w="820"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完成</w:t>
            </w:r>
          </w:p>
        </w:tc>
        <w:tc>
          <w:tcPr>
            <w:tcW w:w="728" w:type="dxa"/>
            <w:noWrap w:val="0"/>
            <w:vAlign w:val="center"/>
          </w:tcPr>
          <w:p>
            <w:pPr>
              <w:widowControl/>
              <w:jc w:val="center"/>
              <w:rPr>
                <w:rFonts w:hint="eastAsia" w:ascii="宋体" w:hAnsi="宋体" w:cs="Times New Roman"/>
                <w:kern w:val="0"/>
                <w:lang w:val="en-US" w:eastAsia="zh-CN"/>
              </w:rPr>
            </w:pPr>
            <w:r>
              <w:rPr>
                <w:rFonts w:hint="eastAsia" w:ascii="宋体" w:hAnsi="宋体" w:eastAsia="宋体" w:cs="宋体"/>
                <w:kern w:val="0"/>
                <w:sz w:val="24"/>
                <w:szCs w:val="24"/>
                <w:lang w:eastAsia="zh-CN"/>
              </w:rPr>
              <w:t>完成</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240" w:type="dxa"/>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服务对象</w:t>
            </w:r>
          </w:p>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满意度指标</w:t>
            </w:r>
          </w:p>
        </w:tc>
        <w:tc>
          <w:tcPr>
            <w:tcW w:w="3344" w:type="dxa"/>
            <w:gridSpan w:val="3"/>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lang w:eastAsia="zh-CN"/>
              </w:rPr>
              <w:t>项目实施极大提高了群众出行满意度</w:t>
            </w:r>
          </w:p>
        </w:tc>
        <w:tc>
          <w:tcPr>
            <w:tcW w:w="820"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≥80%</w:t>
            </w:r>
          </w:p>
        </w:tc>
        <w:tc>
          <w:tcPr>
            <w:tcW w:w="728"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85%</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076" w:type="dxa"/>
            <w:gridSpan w:val="8"/>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06" w:type="dxa"/>
            <w:gridSpan w:val="7"/>
            <w:noWrap w:val="0"/>
            <w:vAlign w:val="center"/>
          </w:tcPr>
          <w:p>
            <w:pPr>
              <w:widowControl/>
              <w:jc w:val="left"/>
              <w:rPr>
                <w:rFonts w:ascii="宋体" w:hAnsi="宋体" w:eastAsia="宋体"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06" w:type="dxa"/>
            <w:gridSpan w:val="7"/>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建立健全绩效指标体系，加强绩效管理意识，每年应根据项目特点及项目变化情况合理编制项目涉及到的绩效目标值。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1893"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06"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469FB"/>
    <w:rsid w:val="1BAA2C06"/>
    <w:rsid w:val="3A0D61D6"/>
    <w:rsid w:val="5BB21D9A"/>
    <w:rsid w:val="6E3B3A3F"/>
    <w:rsid w:val="7FD46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2021-04-23T02:49:00Z</dcterms:created>
  <dc:creator>C</dc:creator>
  <cp:lastModifiedBy>Administrator</cp:lastModifiedBy>
  <cp:lastPrinted>2021-07-06T02:53:20Z</cp:lastPrinted>
  <dcterms:modified xsi:type="dcterms:W3CDTF">2021-07-06T02:53:25Z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FA07502876E14D019BCD29EF77C5A465</vt:lpwstr>
  </property>
</Properties>
</file>