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2016及2017通村湾</w:t>
      </w:r>
      <w:r>
        <w:rPr>
          <w:rFonts w:hint="eastAsia" w:ascii="方正小标宋简体" w:hAnsi="方正小标宋简体" w:eastAsia="方正小标宋简体" w:cs="方正小标宋简体"/>
          <w:color w:val="000000"/>
          <w:kern w:val="0"/>
          <w:sz w:val="40"/>
          <w:szCs w:val="40"/>
        </w:rPr>
        <w:t>项目自评表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通村湾公路维修改造资金</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eastAsia="zh-CN"/>
              </w:rPr>
            </w:pPr>
            <w:r>
              <w:rPr>
                <w:rFonts w:hint="eastAsia" w:ascii="宋体" w:hAnsi="宋体" w:cs="Times New Roman"/>
                <w:kern w:val="0"/>
                <w:lang w:eastAsia="zh-CN"/>
              </w:rPr>
              <w:t>交通局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957万元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957万元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100%</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vMerge w:val="restart"/>
            <w:noWrap w:val="0"/>
            <w:vAlign w:val="center"/>
          </w:tcPr>
          <w:p>
            <w:pPr>
              <w:widowControl/>
              <w:jc w:val="center"/>
              <w:rPr>
                <w:rFonts w:hint="eastAsia" w:ascii="宋体" w:hAnsi="宋体" w:eastAsia="宋体" w:cs="Times New Roman"/>
                <w:kern w:val="0"/>
                <w:lang w:eastAsia="zh-CN"/>
              </w:rPr>
            </w:pPr>
            <w:r>
              <w:rPr>
                <w:rFonts w:ascii="宋体" w:hAnsi="宋体" w:eastAsia="宋体" w:cs="宋体"/>
                <w:kern w:val="0"/>
                <w:sz w:val="24"/>
                <w:szCs w:val="24"/>
              </w:rPr>
              <w:t>数量指标</w:t>
            </w:r>
          </w:p>
        </w:tc>
        <w:tc>
          <w:tcPr>
            <w:tcW w:w="3344" w:type="dxa"/>
            <w:gridSpan w:val="3"/>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2016年通村湾</w:t>
            </w:r>
          </w:p>
        </w:tc>
        <w:tc>
          <w:tcPr>
            <w:tcW w:w="820"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14条</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14条</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snapToGrid w:val="0"/>
              <w:jc w:val="both"/>
              <w:rPr>
                <w:rFonts w:hint="eastAsia" w:ascii="宋体" w:hAnsi="宋体" w:cs="仿宋_GB2312"/>
                <w:kern w:val="0"/>
                <w:lang w:val="en-US" w:eastAsia="zh-CN"/>
              </w:rPr>
            </w:pPr>
          </w:p>
        </w:tc>
        <w:tc>
          <w:tcPr>
            <w:tcW w:w="1240" w:type="dxa"/>
            <w:vMerge w:val="continue"/>
            <w:noWrap w:val="0"/>
            <w:vAlign w:val="center"/>
          </w:tcPr>
          <w:p>
            <w:pPr>
              <w:widowControl/>
              <w:jc w:val="center"/>
              <w:rPr>
                <w:rFonts w:ascii="宋体" w:hAnsi="宋体" w:eastAsia="宋体" w:cs="宋体"/>
                <w:kern w:val="0"/>
                <w:sz w:val="24"/>
                <w:szCs w:val="24"/>
              </w:rPr>
            </w:pP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2017年通村湾</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val="en-US" w:eastAsia="zh-CN"/>
              </w:rPr>
              <w:t>2条</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val="en-US" w:eastAsia="zh-CN"/>
              </w:rPr>
              <w:t>2条</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宋体"/>
                <w:kern w:val="0"/>
                <w:sz w:val="24"/>
                <w:szCs w:val="24"/>
              </w:rPr>
              <w:t>质量指标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竣工验收</w:t>
            </w:r>
          </w:p>
        </w:tc>
        <w:tc>
          <w:tcPr>
            <w:tcW w:w="820"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合格</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合格</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jc w:val="center"/>
              <w:rPr>
                <w:rFonts w:hint="eastAsia" w:ascii="宋体" w:hAnsi="宋体" w:cs="仿宋_GB2312"/>
                <w:kern w:val="0"/>
                <w:lang w:eastAsia="zh-CN"/>
              </w:rPr>
            </w:pPr>
            <w:r>
              <w:rPr>
                <w:rFonts w:ascii="宋体" w:hAnsi="宋体" w:eastAsia="宋体" w:cs="宋体"/>
                <w:kern w:val="0"/>
                <w:sz w:val="24"/>
                <w:szCs w:val="24"/>
              </w:rPr>
              <w:t>成本指标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工程费用</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审计报告</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审计报告</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经济效益</w:t>
            </w:r>
          </w:p>
          <w:p>
            <w:pPr>
              <w:widowControl/>
              <w:jc w:val="center"/>
              <w:rPr>
                <w:rFonts w:hint="eastAsia" w:ascii="宋体" w:hAnsi="宋体" w:eastAsia="宋体" w:cs="Times New Roman"/>
                <w:kern w:val="0"/>
                <w:lang w:eastAsia="zh-CN"/>
              </w:rPr>
            </w:pPr>
            <w:r>
              <w:rPr>
                <w:rFonts w:ascii="宋体" w:hAnsi="宋体" w:eastAsia="宋体" w:cs="宋体"/>
                <w:kern w:val="0"/>
                <w:sz w:val="24"/>
                <w:szCs w:val="24"/>
              </w:rPr>
              <w:t>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提高乡村及周边的经济发展</w:t>
            </w:r>
          </w:p>
        </w:tc>
        <w:tc>
          <w:tcPr>
            <w:tcW w:w="820"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eastAsia="宋体" w:cs="宋体"/>
                <w:kern w:val="0"/>
                <w:sz w:val="24"/>
                <w:szCs w:val="24"/>
                <w:lang w:eastAsia="zh-CN"/>
              </w:rPr>
              <w:t>完成</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完成</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社会效益</w:t>
            </w:r>
          </w:p>
          <w:p>
            <w:pPr>
              <w:widowControl/>
              <w:jc w:val="center"/>
              <w:rPr>
                <w:rFonts w:hint="eastAsia" w:ascii="宋体" w:hAnsi="宋体" w:eastAsia="宋体" w:cs="Times New Roman"/>
                <w:kern w:val="0"/>
                <w:lang w:eastAsia="zh-CN"/>
              </w:rPr>
            </w:pPr>
            <w:r>
              <w:rPr>
                <w:rFonts w:ascii="宋体" w:hAnsi="宋体" w:eastAsia="宋体" w:cs="宋体"/>
                <w:kern w:val="0"/>
                <w:sz w:val="24"/>
                <w:szCs w:val="24"/>
              </w:rPr>
              <w:t>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连通周边乡镇道路，确保行车安全、出行便利</w:t>
            </w:r>
          </w:p>
        </w:tc>
        <w:tc>
          <w:tcPr>
            <w:tcW w:w="820"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完成</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完成</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生态效益</w:t>
            </w:r>
          </w:p>
          <w:p>
            <w:pPr>
              <w:widowControl/>
              <w:jc w:val="center"/>
              <w:rPr>
                <w:rFonts w:hint="eastAsia" w:ascii="宋体" w:hAnsi="宋体" w:cs="仿宋_GB2312"/>
                <w:kern w:val="0"/>
                <w:lang w:eastAsia="zh-CN"/>
              </w:rPr>
            </w:pPr>
            <w:r>
              <w:rPr>
                <w:rFonts w:ascii="宋体" w:hAnsi="宋体" w:eastAsia="宋体" w:cs="宋体"/>
                <w:kern w:val="0"/>
                <w:sz w:val="24"/>
                <w:szCs w:val="24"/>
              </w:rPr>
              <w:t>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城市形象</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有效提升</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有效提升</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可持续</w:t>
            </w:r>
          </w:p>
          <w:p>
            <w:pPr>
              <w:widowControl/>
              <w:jc w:val="center"/>
              <w:rPr>
                <w:rFonts w:hint="eastAsia" w:ascii="宋体" w:hAnsi="宋体" w:cs="仿宋_GB2312"/>
                <w:kern w:val="0"/>
                <w:lang w:eastAsia="zh-CN"/>
              </w:rPr>
            </w:pPr>
            <w:r>
              <w:rPr>
                <w:rFonts w:ascii="宋体" w:hAnsi="宋体" w:eastAsia="宋体" w:cs="宋体"/>
                <w:kern w:val="0"/>
                <w:sz w:val="24"/>
                <w:szCs w:val="24"/>
              </w:rPr>
              <w:t>影响指标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优化乡村道路建设，促进可持续发展</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完成</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完成</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服务对象</w:t>
            </w:r>
          </w:p>
          <w:p>
            <w:pPr>
              <w:widowControl/>
              <w:jc w:val="center"/>
              <w:rPr>
                <w:rFonts w:ascii="宋体" w:hAnsi="宋体" w:eastAsia="宋体" w:cs="仿宋_GB2312"/>
                <w:kern w:val="0"/>
              </w:rPr>
            </w:pPr>
            <w:r>
              <w:rPr>
                <w:rFonts w:ascii="宋体" w:hAnsi="宋体" w:eastAsia="宋体" w:cs="宋体"/>
                <w:kern w:val="0"/>
                <w:sz w:val="24"/>
                <w:szCs w:val="24"/>
              </w:rPr>
              <w:t>满意度指标</w:t>
            </w:r>
          </w:p>
        </w:tc>
        <w:tc>
          <w:tcPr>
            <w:tcW w:w="3344"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项目实施极大提高了群众出行满意度</w:t>
            </w:r>
          </w:p>
        </w:tc>
        <w:tc>
          <w:tcPr>
            <w:tcW w:w="820" w:type="dxa"/>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w:t>
            </w:r>
            <w:r>
              <w:rPr>
                <w:rFonts w:hint="eastAsia" w:ascii="宋体" w:hAnsi="宋体" w:cs="宋体"/>
                <w:kern w:val="0"/>
                <w:sz w:val="24"/>
                <w:szCs w:val="24"/>
                <w:lang w:val="en-US" w:eastAsia="zh-CN"/>
              </w:rPr>
              <w:t>80</w:t>
            </w:r>
            <w:r>
              <w:rPr>
                <w:rFonts w:hint="eastAsia" w:ascii="宋体" w:hAnsi="宋体" w:eastAsia="宋体" w:cs="宋体"/>
                <w:kern w:val="0"/>
                <w:sz w:val="24"/>
                <w:szCs w:val="24"/>
                <w:lang w:val="en-US" w:eastAsia="zh-CN"/>
              </w:rPr>
              <w:t>%</w:t>
            </w:r>
          </w:p>
        </w:tc>
        <w:tc>
          <w:tcPr>
            <w:tcW w:w="728"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85%</w:t>
            </w:r>
          </w:p>
        </w:tc>
        <w:tc>
          <w:tcPr>
            <w:tcW w:w="874"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88</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26E01D1B"/>
    <w:rsid w:val="2A236491"/>
    <w:rsid w:val="4B9441E2"/>
    <w:rsid w:val="6E3B3A3F"/>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dcterms:modified xsi:type="dcterms:W3CDTF">2021-05-11T01:55:06Z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FA07502876E14D019BCD29EF77C5A465</vt:lpwstr>
  </property>
</Properties>
</file>