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李家教湖泊退养配套退地安置补偿及退养鱼池治理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东山街道办事处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    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2021年4月26日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1005"/>
        <w:gridCol w:w="736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李家教湖泊退养配套退地安置补偿费及退养鱼池治理费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东山街道办事处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拆迁退地办公室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bookmarkStart w:id="0" w:name="_GoBack"/>
            <w:r>
              <w:rPr>
                <w:rFonts w:hint="eastAsia" w:ascii="宋体" w:hAnsi="宋体" w:eastAsia="宋体" w:cs="仿宋_GB2312"/>
                <w:kern w:val="0"/>
              </w:rPr>
              <w:t>新</w:t>
            </w:r>
            <w:bookmarkEnd w:id="0"/>
            <w:r>
              <w:rPr>
                <w:rFonts w:hint="eastAsia" w:ascii="宋体" w:hAnsi="宋体" w:eastAsia="宋体" w:cs="仿宋_GB2312"/>
                <w:kern w:val="0"/>
              </w:rPr>
              <w:t>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130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1005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162.54</w:t>
            </w:r>
          </w:p>
        </w:tc>
        <w:tc>
          <w:tcPr>
            <w:tcW w:w="1130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25.58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15.7%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数量指标（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治理户数（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13户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13户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质量指标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治理效果（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时效指标（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按期完成率（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成本指标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(10分）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费用增加率（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≤5%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经济效益指标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对经济的发展（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生态效益指标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生物多样化程度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多样化程度有所改善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多样化程度有所改善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可持续影响指标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区域生态环境变化程度（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70%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受益对象满意度指标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居民满意度（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85%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82.62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1.李家教湖泊治理已经完成，针对年度财政资金的执行率为15.7%，当年资金拨付未到位。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696"/>
              </w:tabs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争取在2021年将资金发放完毕。</w:t>
            </w: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月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D469FB"/>
    <w:rsid w:val="11900831"/>
    <w:rsid w:val="1D994BD9"/>
    <w:rsid w:val="1FCF7C06"/>
    <w:rsid w:val="2EA23033"/>
    <w:rsid w:val="42235C5C"/>
    <w:rsid w:val="444B0946"/>
    <w:rsid w:val="56A727C2"/>
    <w:rsid w:val="743604B3"/>
    <w:rsid w:val="7CBE401D"/>
    <w:rsid w:val="7EF654AD"/>
    <w:rsid w:val="7FD4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2021-04-23T02:49:00Z</dcterms:created>
  <dc:creator>C</dc:creator>
  <cp:lastModifiedBy>Administrator</cp:lastModifiedBy>
  <cp:lastPrinted>2021-07-06T03:07:31Z</cp:lastPrinted>
  <dcterms:modified xsi:type="dcterms:W3CDTF">2021-07-06T03:16:31Z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22537A6CC5604F6AAEC2BE23937CC552</vt:lpwstr>
  </property>
</Properties>
</file>