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auto"/>
        <w:spacing w:line="432" w:lineRule="atLeast"/>
        <w:ind w:firstLine="1200" w:firstLineChars="300"/>
        <w:jc w:val="both"/>
        <w:rPr>
          <w:rFonts w:hint="default" w:ascii="方正小标宋简体" w:hAnsi="方正小标宋简体" w:eastAsia="方正小标宋简体" w:cs="方正小标宋简体"/>
          <w:color w:val="000000"/>
          <w:kern w:val="0"/>
          <w:sz w:val="40"/>
          <w:szCs w:val="40"/>
          <w:lang w:val="en-US" w:eastAsia="zh-CN"/>
        </w:rPr>
      </w:pPr>
      <w:r>
        <w:rPr>
          <w:rFonts w:hint="eastAsia" w:ascii="方正小标宋简体" w:hAnsi="方正小标宋简体" w:eastAsia="方正小标宋简体" w:cs="方正小标宋简体"/>
          <w:color w:val="000000"/>
          <w:kern w:val="0"/>
          <w:sz w:val="40"/>
          <w:szCs w:val="40"/>
          <w:lang w:val="en-US" w:eastAsia="zh-CN"/>
        </w:rPr>
        <w:t>2020年度拆迁过渡项目自评结果</w:t>
      </w:r>
    </w:p>
    <w:p>
      <w:pPr>
        <w:widowControl/>
        <w:spacing w:line="560" w:lineRule="exact"/>
        <w:jc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（缩略版）</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default" w:ascii="仿宋" w:hAnsi="仿宋" w:eastAsia="仿宋" w:cs="仿宋"/>
          <w:color w:val="000000"/>
          <w:spacing w:val="0"/>
          <w:w w:val="100"/>
          <w:kern w:val="2"/>
          <w:position w:val="0"/>
          <w:sz w:val="32"/>
          <w:szCs w:val="32"/>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3337"/>
        <w:gridCol w:w="1491"/>
        <w:gridCol w:w="1510"/>
        <w:gridCol w:w="1592"/>
      </w:tblGrid>
      <w:tr>
        <w:tblPrEx>
          <w:tblCellMar>
            <w:top w:w="0" w:type="dxa"/>
            <w:left w:w="10" w:type="dxa"/>
            <w:bottom w:w="0" w:type="dxa"/>
            <w:right w:w="10" w:type="dxa"/>
          </w:tblCellMar>
        </w:tblPrEx>
        <w:trPr>
          <w:trHeight w:val="499"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CN" w:bidi="zh-TW"/>
              </w:rPr>
              <w:t>自评</w:t>
            </w: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项目</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权重</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评级分值</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本项得分</w:t>
            </w:r>
          </w:p>
        </w:tc>
      </w:tr>
      <w:tr>
        <w:tblPrEx>
          <w:tblCellMar>
            <w:top w:w="0" w:type="dxa"/>
            <w:left w:w="10" w:type="dxa"/>
            <w:bottom w:w="0" w:type="dxa"/>
            <w:right w:w="10" w:type="dxa"/>
          </w:tblCellMar>
        </w:tblPrEx>
        <w:trPr>
          <w:trHeight w:val="490"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预算执行情况</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20%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20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7.03</w:t>
            </w:r>
          </w:p>
        </w:tc>
      </w:tr>
      <w:tr>
        <w:tblPrEx>
          <w:tblCellMar>
            <w:top w:w="0" w:type="dxa"/>
            <w:left w:w="10" w:type="dxa"/>
            <w:bottom w:w="0" w:type="dxa"/>
            <w:right w:w="10" w:type="dxa"/>
          </w:tblCellMar>
        </w:tblPrEx>
        <w:trPr>
          <w:trHeight w:val="494"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项目产出</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40%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40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29.83</w:t>
            </w:r>
          </w:p>
        </w:tc>
      </w:tr>
      <w:tr>
        <w:tblPrEx>
          <w:tblCellMar>
            <w:top w:w="0" w:type="dxa"/>
            <w:left w:w="10" w:type="dxa"/>
            <w:bottom w:w="0" w:type="dxa"/>
            <w:right w:w="10" w:type="dxa"/>
          </w:tblCellMar>
        </w:tblPrEx>
        <w:trPr>
          <w:trHeight w:val="490"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项目效益</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30%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30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560" w:firstLineChars="200"/>
              <w:jc w:val="both"/>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30</w:t>
            </w:r>
          </w:p>
        </w:tc>
      </w:tr>
      <w:tr>
        <w:tblPrEx>
          <w:tblCellMar>
            <w:top w:w="0" w:type="dxa"/>
            <w:left w:w="10" w:type="dxa"/>
            <w:bottom w:w="0" w:type="dxa"/>
            <w:right w:w="10" w:type="dxa"/>
          </w:tblCellMar>
        </w:tblPrEx>
        <w:trPr>
          <w:trHeight w:val="490"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项目满意度</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38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10%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10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10</w:t>
            </w:r>
          </w:p>
        </w:tc>
      </w:tr>
      <w:tr>
        <w:tblPrEx>
          <w:tblCellMar>
            <w:top w:w="0" w:type="dxa"/>
            <w:left w:w="10" w:type="dxa"/>
            <w:bottom w:w="0" w:type="dxa"/>
            <w:right w:w="10" w:type="dxa"/>
          </w:tblCellMar>
        </w:tblPrEx>
        <w:trPr>
          <w:trHeight w:val="504"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综合绩效</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100%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100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76.86</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10"/>
        <w:keepNext w:val="0"/>
        <w:keepLines w:val="0"/>
        <w:pageBreakBefore w:val="0"/>
        <w:widowControl w:val="0"/>
        <w:numPr>
          <w:ilvl w:val="0"/>
          <w:numId w:val="0"/>
        </w:numPr>
        <w:shd w:val="clear" w:color="auto" w:fill="auto"/>
        <w:tabs>
          <w:tab w:val="left" w:pos="819"/>
        </w:tabs>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仿宋" w:hAnsi="仿宋" w:eastAsia="仿宋" w:cs="仿宋"/>
          <w:color w:val="000000"/>
          <w:spacing w:val="0"/>
          <w:w w:val="100"/>
          <w:position w:val="0"/>
          <w:sz w:val="32"/>
          <w:szCs w:val="32"/>
          <w:highlight w:val="none"/>
        </w:rPr>
      </w:pPr>
      <w:r>
        <w:rPr>
          <w:rFonts w:hint="eastAsia" w:ascii="仿宋" w:hAnsi="仿宋" w:eastAsia="仿宋" w:cs="仿宋"/>
          <w:color w:val="000000"/>
          <w:spacing w:val="0"/>
          <w:w w:val="100"/>
          <w:position w:val="0"/>
          <w:sz w:val="32"/>
          <w:szCs w:val="32"/>
          <w:highlight w:val="none"/>
        </w:rPr>
        <w:t>该专项资金项目</w:t>
      </w:r>
      <w:r>
        <w:rPr>
          <w:rFonts w:hint="eastAsia" w:ascii="仿宋" w:hAnsi="仿宋" w:eastAsia="仿宋" w:cs="仿宋"/>
          <w:color w:val="000000"/>
          <w:spacing w:val="0"/>
          <w:w w:val="100"/>
          <w:position w:val="0"/>
          <w:sz w:val="32"/>
          <w:szCs w:val="32"/>
          <w:highlight w:val="none"/>
          <w:lang w:val="en-US" w:eastAsia="zh-CN"/>
        </w:rPr>
        <w:t>主要用于退地搬迁过渡费、生活费、拆迁补偿费项目资金</w:t>
      </w:r>
      <w:r>
        <w:rPr>
          <w:rFonts w:hint="eastAsia" w:ascii="仿宋" w:hAnsi="仿宋" w:eastAsia="仿宋" w:cs="仿宋"/>
          <w:color w:val="000000"/>
          <w:spacing w:val="0"/>
          <w:w w:val="100"/>
          <w:position w:val="0"/>
          <w:sz w:val="32"/>
          <w:szCs w:val="32"/>
          <w:highlight w:val="none"/>
        </w:rPr>
        <w:t>。20</w:t>
      </w:r>
      <w:r>
        <w:rPr>
          <w:rFonts w:hint="eastAsia" w:ascii="仿宋" w:hAnsi="仿宋" w:eastAsia="仿宋" w:cs="仿宋"/>
          <w:color w:val="000000"/>
          <w:spacing w:val="0"/>
          <w:w w:val="100"/>
          <w:position w:val="0"/>
          <w:sz w:val="32"/>
          <w:szCs w:val="32"/>
          <w:highlight w:val="none"/>
          <w:lang w:val="en-US" w:eastAsia="zh-CN"/>
        </w:rPr>
        <w:t>20</w:t>
      </w:r>
      <w:r>
        <w:rPr>
          <w:rFonts w:hint="eastAsia" w:ascii="仿宋" w:hAnsi="仿宋" w:eastAsia="仿宋" w:cs="仿宋"/>
          <w:color w:val="000000"/>
          <w:spacing w:val="0"/>
          <w:w w:val="100"/>
          <w:position w:val="0"/>
          <w:sz w:val="32"/>
          <w:szCs w:val="32"/>
          <w:highlight w:val="none"/>
        </w:rPr>
        <w:t>年项目年初预算为</w:t>
      </w:r>
      <w:r>
        <w:rPr>
          <w:rFonts w:hint="eastAsia" w:ascii="仿宋" w:hAnsi="仿宋" w:eastAsia="仿宋" w:cs="仿宋"/>
          <w:color w:val="000000"/>
          <w:spacing w:val="0"/>
          <w:w w:val="100"/>
          <w:position w:val="0"/>
          <w:sz w:val="32"/>
          <w:szCs w:val="32"/>
          <w:highlight w:val="none"/>
          <w:lang w:val="en-US" w:eastAsia="zh-CN"/>
        </w:rPr>
        <w:t>2326</w:t>
      </w:r>
      <w:r>
        <w:rPr>
          <w:rFonts w:hint="eastAsia" w:ascii="仿宋" w:hAnsi="仿宋" w:eastAsia="仿宋" w:cs="仿宋"/>
          <w:color w:val="000000"/>
          <w:spacing w:val="0"/>
          <w:w w:val="100"/>
          <w:position w:val="0"/>
          <w:sz w:val="32"/>
          <w:szCs w:val="32"/>
          <w:highlight w:val="none"/>
        </w:rPr>
        <w:t>万元，实际支出</w:t>
      </w:r>
      <w:r>
        <w:rPr>
          <w:rFonts w:hint="eastAsia" w:ascii="仿宋" w:hAnsi="仿宋" w:eastAsia="仿宋" w:cs="仿宋"/>
          <w:color w:val="000000"/>
          <w:spacing w:val="0"/>
          <w:w w:val="100"/>
          <w:position w:val="0"/>
          <w:sz w:val="32"/>
          <w:szCs w:val="32"/>
          <w:highlight w:val="none"/>
          <w:lang w:val="en-US" w:eastAsia="zh-CN"/>
        </w:rPr>
        <w:t>817.99</w:t>
      </w:r>
      <w:r>
        <w:rPr>
          <w:rFonts w:hint="eastAsia" w:ascii="仿宋" w:hAnsi="仿宋" w:eastAsia="仿宋" w:cs="仿宋"/>
          <w:color w:val="000000"/>
          <w:spacing w:val="0"/>
          <w:w w:val="100"/>
          <w:position w:val="0"/>
          <w:sz w:val="32"/>
          <w:szCs w:val="32"/>
          <w:highlight w:val="none"/>
        </w:rPr>
        <w:t>万元，预算执行率为</w:t>
      </w:r>
      <w:r>
        <w:rPr>
          <w:rFonts w:hint="eastAsia" w:ascii="仿宋" w:hAnsi="仿宋" w:eastAsia="仿宋" w:cs="仿宋"/>
          <w:color w:val="000000"/>
          <w:spacing w:val="0"/>
          <w:w w:val="100"/>
          <w:position w:val="0"/>
          <w:sz w:val="32"/>
          <w:szCs w:val="32"/>
          <w:highlight w:val="none"/>
          <w:lang w:val="en-US" w:eastAsia="zh-CN"/>
        </w:rPr>
        <w:t>35.17</w:t>
      </w:r>
      <w:r>
        <w:rPr>
          <w:rFonts w:hint="eastAsia" w:ascii="仿宋" w:hAnsi="仿宋" w:eastAsia="仿宋" w:cs="仿宋"/>
          <w:color w:val="000000"/>
          <w:spacing w:val="0"/>
          <w:w w:val="100"/>
          <w:position w:val="0"/>
          <w:sz w:val="32"/>
          <w:szCs w:val="32"/>
          <w:highlight w:val="none"/>
          <w:lang w:val="en-US" w:eastAsia="en-US"/>
        </w:rPr>
        <w:t>%</w:t>
      </w:r>
      <w:r>
        <w:rPr>
          <w:rFonts w:hint="eastAsia" w:ascii="仿宋" w:hAnsi="仿宋" w:eastAsia="仿宋" w:cs="仿宋"/>
          <w:color w:val="000000"/>
          <w:spacing w:val="0"/>
          <w:w w:val="100"/>
          <w:position w:val="0"/>
          <w:sz w:val="32"/>
          <w:szCs w:val="32"/>
          <w:highlight w:val="none"/>
          <w:lang w:val="en-US" w:eastAsia="zh-CN"/>
        </w:rPr>
        <w:t>，</w:t>
      </w:r>
      <w:r>
        <w:rPr>
          <w:rFonts w:hint="eastAsia" w:ascii="仿宋" w:hAnsi="仿宋" w:eastAsia="仿宋" w:cs="仿宋"/>
          <w:color w:val="000000"/>
          <w:spacing w:val="0"/>
          <w:w w:val="100"/>
          <w:position w:val="0"/>
          <w:sz w:val="32"/>
          <w:szCs w:val="32"/>
          <w:highlight w:val="none"/>
        </w:rPr>
        <w:t>基准分值</w:t>
      </w:r>
      <w:r>
        <w:rPr>
          <w:rFonts w:hint="eastAsia" w:ascii="仿宋" w:hAnsi="仿宋" w:eastAsia="仿宋" w:cs="仿宋"/>
          <w:color w:val="000000"/>
          <w:spacing w:val="0"/>
          <w:w w:val="100"/>
          <w:position w:val="0"/>
          <w:sz w:val="32"/>
          <w:szCs w:val="32"/>
          <w:highlight w:val="none"/>
          <w:lang w:val="en-US" w:eastAsia="zh-CN"/>
        </w:rPr>
        <w:t>20分，得分7.03分。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0"/>
        <w:gridCol w:w="2264"/>
        <w:gridCol w:w="1554"/>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4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二级指标</w:t>
            </w:r>
          </w:p>
        </w:tc>
        <w:tc>
          <w:tcPr>
            <w:tcW w:w="2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三级指标</w:t>
            </w:r>
          </w:p>
        </w:tc>
        <w:tc>
          <w:tcPr>
            <w:tcW w:w="15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年初目标值（A）</w:t>
            </w:r>
          </w:p>
        </w:tc>
        <w:tc>
          <w:tcPr>
            <w:tcW w:w="13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实际完成值（B）</w:t>
            </w:r>
          </w:p>
        </w:tc>
        <w:tc>
          <w:tcPr>
            <w:tcW w:w="877"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成本指标</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费用增加率（</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w:t>
            </w:r>
          </w:p>
        </w:tc>
        <w:tc>
          <w:tcPr>
            <w:tcW w:w="15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c>
          <w:tcPr>
            <w:tcW w:w="1319"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0%</w:t>
            </w:r>
          </w:p>
        </w:tc>
        <w:tc>
          <w:tcPr>
            <w:tcW w:w="877"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zh-TW" w:eastAsia="zh-CN" w:bidi="zh-TW"/>
              </w:rPr>
              <w:t>经济效益指标（</w:t>
            </w: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10分</w:t>
            </w:r>
            <w:r>
              <w:rPr>
                <w:rFonts w:hint="eastAsia" w:ascii="仿宋" w:hAnsi="仿宋" w:eastAsia="仿宋" w:cs="仿宋"/>
                <w:color w:val="000000"/>
                <w:spacing w:val="0"/>
                <w:w w:val="100"/>
                <w:position w:val="0"/>
                <w:sz w:val="22"/>
                <w:szCs w:val="22"/>
                <w:highlight w:val="none"/>
                <w:u w:val="none"/>
                <w:shd w:val="clear" w:color="auto" w:fill="auto"/>
                <w:lang w:val="zh-TW" w:eastAsia="zh-CN" w:bidi="zh-TW"/>
              </w:rPr>
              <w:t>）</w:t>
            </w:r>
          </w:p>
        </w:tc>
        <w:tc>
          <w:tcPr>
            <w:tcW w:w="2264"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zh-TW" w:eastAsia="zh-CN" w:bidi="zh-TW"/>
              </w:rPr>
              <w:t>对经济的发展（</w:t>
            </w: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10分</w:t>
            </w:r>
            <w:r>
              <w:rPr>
                <w:rFonts w:hint="eastAsia" w:ascii="仿宋" w:hAnsi="仿宋" w:eastAsia="仿宋" w:cs="仿宋"/>
                <w:color w:val="000000"/>
                <w:spacing w:val="0"/>
                <w:w w:val="100"/>
                <w:position w:val="0"/>
                <w:sz w:val="22"/>
                <w:szCs w:val="22"/>
                <w:highlight w:val="none"/>
                <w:u w:val="none"/>
                <w:shd w:val="clear" w:color="auto" w:fill="auto"/>
                <w:lang w:val="zh-TW" w:eastAsia="zh-CN" w:bidi="zh-TW"/>
              </w:rPr>
              <w:t>）</w:t>
            </w:r>
          </w:p>
        </w:tc>
        <w:tc>
          <w:tcPr>
            <w:tcW w:w="1554" w:type="dxa"/>
            <w:vAlign w:val="center"/>
          </w:tcPr>
          <w:p>
            <w:pPr>
              <w:widowControl/>
              <w:shd w:val="clear" w:color="auto" w:fill="auto"/>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vAlign w:val="center"/>
          </w:tcPr>
          <w:p>
            <w:pPr>
              <w:widowControl/>
              <w:shd w:val="clear" w:color="auto" w:fill="auto"/>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vAlign w:val="center"/>
          </w:tcPr>
          <w:p>
            <w:pPr>
              <w:widowControl/>
              <w:shd w:val="clear" w:color="auto" w:fill="auto"/>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社会效益指标（15分）</w:t>
            </w:r>
          </w:p>
        </w:tc>
        <w:tc>
          <w:tcPr>
            <w:tcW w:w="2264"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社会稳定（10分）</w:t>
            </w:r>
          </w:p>
        </w:tc>
        <w:tc>
          <w:tcPr>
            <w:tcW w:w="1554" w:type="dxa"/>
            <w:vAlign w:val="center"/>
          </w:tcPr>
          <w:p>
            <w:pPr>
              <w:widowControl/>
              <w:shd w:val="clear" w:color="auto" w:fill="auto"/>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vAlign w:val="center"/>
          </w:tcPr>
          <w:p>
            <w:pPr>
              <w:widowControl/>
              <w:shd w:val="clear" w:color="auto" w:fill="auto"/>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社会效益指标（15分）</w:t>
            </w:r>
          </w:p>
        </w:tc>
        <w:tc>
          <w:tcPr>
            <w:tcW w:w="2264"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政府公信力（10分）</w:t>
            </w:r>
          </w:p>
        </w:tc>
        <w:tc>
          <w:tcPr>
            <w:tcW w:w="1554" w:type="dxa"/>
            <w:vAlign w:val="center"/>
          </w:tcPr>
          <w:p>
            <w:pPr>
              <w:widowControl/>
              <w:shd w:val="clear" w:color="auto" w:fill="auto"/>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vAlign w:val="center"/>
          </w:tcPr>
          <w:p>
            <w:pPr>
              <w:widowControl/>
              <w:shd w:val="clear" w:color="auto" w:fill="auto"/>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受益对象满意度指标（10分）</w:t>
            </w:r>
          </w:p>
        </w:tc>
        <w:tc>
          <w:tcPr>
            <w:tcW w:w="2264"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受益对象满意度（10分）</w:t>
            </w:r>
          </w:p>
        </w:tc>
        <w:tc>
          <w:tcPr>
            <w:tcW w:w="1554"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≥95%</w:t>
            </w:r>
          </w:p>
        </w:tc>
        <w:tc>
          <w:tcPr>
            <w:tcW w:w="1319"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95%</w:t>
            </w:r>
          </w:p>
        </w:tc>
        <w:tc>
          <w:tcPr>
            <w:tcW w:w="877"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6"/>
        <w:gridCol w:w="2452"/>
        <w:gridCol w:w="1466"/>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96" w:type="dxa"/>
            <w:noWrap w:val="0"/>
            <w:vAlign w:val="center"/>
          </w:tcPr>
          <w:p>
            <w:pPr>
              <w:widowControl/>
              <w:snapToGrid w:val="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452"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6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3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77"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896" w:type="dxa"/>
            <w:noWrap w:val="0"/>
            <w:vAlign w:val="center"/>
          </w:tcPr>
          <w:p>
            <w:pPr>
              <w:widowControl/>
              <w:snapToGrid w:val="0"/>
              <w:ind w:left="0" w:leftChars="0" w:right="0" w:rightChars="0" w:firstLine="0" w:firstLineChars="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数量指标（10分）</w:t>
            </w:r>
          </w:p>
        </w:tc>
        <w:tc>
          <w:tcPr>
            <w:tcW w:w="2452"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过渡费发放户数</w:t>
            </w:r>
          </w:p>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1466"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449</w:t>
            </w:r>
          </w:p>
        </w:tc>
        <w:tc>
          <w:tcPr>
            <w:tcW w:w="1319"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297</w:t>
            </w:r>
          </w:p>
        </w:tc>
        <w:tc>
          <w:tcPr>
            <w:tcW w:w="877"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96" w:type="dxa"/>
            <w:noWrap w:val="0"/>
            <w:vAlign w:val="center"/>
          </w:tcPr>
          <w:p>
            <w:pPr>
              <w:widowControl/>
              <w:snapToGrid w:val="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w:t>
            </w:r>
          </w:p>
          <w:p>
            <w:pPr>
              <w:widowControl/>
              <w:snapToGrid w:val="0"/>
              <w:ind w:left="0" w:leftChars="0" w:right="0" w:rightChars="0" w:firstLine="0" w:firstLineChars="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452" w:type="dxa"/>
            <w:noWrap w:val="0"/>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过渡费发放率（10分）</w:t>
            </w:r>
          </w:p>
        </w:tc>
        <w:tc>
          <w:tcPr>
            <w:tcW w:w="1466"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大于99%</w:t>
            </w:r>
          </w:p>
        </w:tc>
        <w:tc>
          <w:tcPr>
            <w:tcW w:w="1319"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66.15%</w:t>
            </w:r>
          </w:p>
        </w:tc>
        <w:tc>
          <w:tcPr>
            <w:tcW w:w="877"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96" w:type="dxa"/>
            <w:noWrap w:val="0"/>
            <w:vAlign w:val="center"/>
          </w:tcPr>
          <w:p>
            <w:pPr>
              <w:widowControl/>
              <w:snapToGrid w:val="0"/>
              <w:ind w:left="0" w:leftChars="0" w:right="0" w:rightChars="0" w:firstLine="0" w:firstLineChars="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时效指标（10分）</w:t>
            </w:r>
          </w:p>
        </w:tc>
        <w:tc>
          <w:tcPr>
            <w:tcW w:w="2452" w:type="dxa"/>
            <w:noWrap w:val="0"/>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发放及时性（10分）</w:t>
            </w:r>
          </w:p>
        </w:tc>
        <w:tc>
          <w:tcPr>
            <w:tcW w:w="1466"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319"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66.15%</w:t>
            </w:r>
          </w:p>
        </w:tc>
        <w:tc>
          <w:tcPr>
            <w:tcW w:w="877"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w:t>
            </w:r>
          </w:p>
        </w:tc>
      </w:tr>
    </w:tbl>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1.3存在的问题及原因</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①因陈家冲小区还建房分两期建设，一期在2017年建成完毕，二期在2019年才建成，另外搬迁合同未完善，导致过渡费发放不及时。</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②绩效管理水平有待提高，项目执行过程中有效约束力不够。</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③年初预算项目不规范，概念混淆导致过渡费发放执行率较低。</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1.4下一步拟改进措施</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②加强资金管理，合理安排预算，规范适应资金渠道。</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zh-CN"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③提高绩效目标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以便加强预算执行分析，强化财务监控，强化预算刚性约束；</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绩效指标变动时要及时更改，实施动态管理，</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加强绩效考评基础信息档案管理；完善绩效考评制度，提高全员项目绩效考核意识，建立日常跟踪及考评机制，加强内部监督考评。</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黑体" w:hAnsi="黑体" w:eastAsia="黑体" w:cs="黑体"/>
          <w:color w:val="000000"/>
          <w:spacing w:val="0"/>
          <w:w w:val="100"/>
          <w:position w:val="0"/>
          <w:sz w:val="32"/>
          <w:szCs w:val="32"/>
          <w:highlight w:val="none"/>
          <w:lang w:val="en-US" w:eastAsia="zh-CN"/>
        </w:rPr>
      </w:pPr>
      <w:r>
        <w:rPr>
          <w:rFonts w:hint="eastAsia" w:ascii="黑体" w:hAnsi="黑体" w:eastAsia="黑体" w:cs="黑体"/>
          <w:color w:val="000000"/>
          <w:spacing w:val="0"/>
          <w:w w:val="100"/>
          <w:position w:val="0"/>
          <w:sz w:val="32"/>
          <w:szCs w:val="32"/>
          <w:highlight w:val="none"/>
          <w:u w:val="none"/>
          <w:shd w:val="clear" w:color="auto" w:fill="auto"/>
          <w:lang w:val="en-US" w:eastAsia="zh-CN" w:bidi="zh-TW"/>
        </w:rPr>
        <w:t>2佐证材料</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2.1基本情况</w:t>
      </w:r>
    </w:p>
    <w:p>
      <w:pPr>
        <w:keepNext w:val="0"/>
        <w:keepLines w:val="0"/>
        <w:pageBreakBefore w:val="0"/>
        <w:widowControl/>
        <w:shd w:val="clear"/>
        <w:kinsoku/>
        <w:wordWrap/>
        <w:overflowPunct/>
        <w:topLinePunct w:val="0"/>
        <w:autoSpaceDE/>
        <w:autoSpaceDN/>
        <w:bidi w:val="0"/>
        <w:adjustRightInd/>
        <w:snapToGrid/>
        <w:spacing w:before="0" w:after="0" w:line="560" w:lineRule="atLeast"/>
        <w:ind w:left="0" w:right="0" w:firstLine="640" w:firstLineChars="200"/>
        <w:jc w:val="left"/>
        <w:textAlignment w:val="auto"/>
        <w:rPr>
          <w:rFonts w:hint="eastAsia" w:ascii="宋体" w:hAnsi="宋体" w:cs="宋体" w:eastAsiaTheme="minorEastAsia"/>
          <w:color w:val="000000"/>
          <w:spacing w:val="0"/>
          <w:w w:val="100"/>
          <w:kern w:val="0"/>
          <w:position w:val="0"/>
          <w:sz w:val="32"/>
          <w:szCs w:val="32"/>
          <w:shd w:val="clear"/>
          <w:lang w:val="en-US" w:eastAsia="zh-CN" w:bidi="ar"/>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2.1.1.项目立项目的和年度绩效目标</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80" w:line="560" w:lineRule="atLeast"/>
        <w:ind w:leftChars="0" w:right="0" w:rightChars="0" w:firstLine="720" w:firstLineChars="200"/>
        <w:jc w:val="both"/>
        <w:textAlignment w:val="auto"/>
        <w:rPr>
          <w:rFonts w:hint="default" w:ascii="仿宋" w:hAnsi="仿宋" w:eastAsia="仿宋" w:cs="仿宋"/>
          <w:color w:val="000000"/>
          <w:spacing w:val="0"/>
          <w:w w:val="100"/>
          <w:position w:val="0"/>
          <w:sz w:val="36"/>
          <w:szCs w:val="36"/>
          <w:highlight w:val="none"/>
          <w:u w:val="none"/>
          <w:shd w:val="clear" w:color="auto" w:fill="auto"/>
          <w:lang w:val="en-US" w:eastAsia="zh-CN" w:bidi="zh-TW"/>
        </w:rPr>
      </w:pPr>
      <w:r>
        <w:rPr>
          <w:rFonts w:hint="eastAsia" w:ascii="仿宋" w:hAnsi="仿宋" w:eastAsia="仿宋" w:cs="仿宋"/>
          <w:color w:val="000000"/>
          <w:spacing w:val="0"/>
          <w:w w:val="100"/>
          <w:position w:val="0"/>
          <w:sz w:val="36"/>
          <w:szCs w:val="36"/>
          <w:highlight w:val="none"/>
          <w:u w:val="none"/>
          <w:shd w:val="clear" w:color="auto" w:fill="auto"/>
          <w:lang w:val="en-US" w:eastAsia="zh-CN" w:bidi="zh-TW"/>
        </w:rPr>
        <w:t>为促进城乡协调发展，加快推进东山农场新农村建设进程，改善居民居住条件，提高居民幸福指数，根据《湖北省国有土地上房屋征收与补偿实施办法》（省政府令380号）和《武汉市国有土地上房屋征收与补偿实施办法》（市政府令第275号）及《东西湖区人民政府关于全房屋搬迁还建和退地补偿结算的实施指导意见（试行）》制定方案。</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8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2.1.2项目资金本年度情况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6"/>
        <w:gridCol w:w="5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262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项目总预算</w:t>
            </w:r>
          </w:p>
        </w:tc>
        <w:tc>
          <w:tcPr>
            <w:tcW w:w="589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2326万元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62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资金构成</w:t>
            </w:r>
          </w:p>
        </w:tc>
        <w:tc>
          <w:tcPr>
            <w:tcW w:w="589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62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投向</w:t>
            </w:r>
          </w:p>
        </w:tc>
        <w:tc>
          <w:tcPr>
            <w:tcW w:w="589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拆迁过渡费发放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62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用途</w:t>
            </w:r>
          </w:p>
        </w:tc>
        <w:tc>
          <w:tcPr>
            <w:tcW w:w="589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拆迁过渡费发放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62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分配方式</w:t>
            </w:r>
          </w:p>
        </w:tc>
        <w:tc>
          <w:tcPr>
            <w:tcW w:w="589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发放拆迁还建范围内过渡费、生活费、拆迁补偿费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62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结果</w:t>
            </w:r>
          </w:p>
        </w:tc>
        <w:tc>
          <w:tcPr>
            <w:tcW w:w="589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资金使用情况达35.17%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62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延续性项目支付情况</w:t>
            </w:r>
          </w:p>
        </w:tc>
        <w:tc>
          <w:tcPr>
            <w:tcW w:w="5896" w:type="dxa"/>
            <w:vAlign w:val="top"/>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2020年预算支出817.99万元</w:t>
            </w:r>
          </w:p>
        </w:tc>
      </w:tr>
    </w:tbl>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2.1.3部门自评工作开展情况</w:t>
      </w:r>
    </w:p>
    <w:p>
      <w:pPr>
        <w:pStyle w:val="10"/>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200" w:right="0" w:rightChars="0" w:firstLine="320" w:firstLineChars="1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①前期准备阶段</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2021年4月，武汉市东西湖区人民政府东山街道办事处按照区财政局《关于开展2020年度预算绩效评价及结果应用工作的通知》（东财〔2020〕42号）中开展财政支出绩效评价工作的要求，对项目资金和部门整体支出的预算资金作为本次自评的对象，在组建武汉市东西湖区人民政府东山街道办事处2021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②具体组织过程</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项目绩效评价工作方案，自评小组从2021年4月6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③撰写项目绩效评价报告。</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根据整理分析基础上评分，形成综合评价结果。</w:t>
      </w:r>
    </w:p>
    <w:p>
      <w:pPr>
        <w:pStyle w:val="10"/>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④建立绩效评价工作档案。</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2.2绩效目标完成情况分析</w:t>
      </w:r>
    </w:p>
    <w:p>
      <w:pPr>
        <w:pStyle w:val="2"/>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b w:val="0"/>
          <w:bCs/>
          <w:sz w:val="36"/>
          <w:szCs w:val="44"/>
          <w:u w:val="single"/>
          <w:lang w:val="en-US" w:eastAsia="zh-CN"/>
        </w:rPr>
      </w:pPr>
      <w:r>
        <w:rPr>
          <w:rFonts w:hint="eastAsia" w:ascii="楷体" w:hAnsi="楷体" w:eastAsia="楷体" w:cs="楷体"/>
          <w:color w:val="000000"/>
          <w:spacing w:val="0"/>
          <w:w w:val="100"/>
          <w:position w:val="0"/>
          <w:sz w:val="32"/>
          <w:szCs w:val="32"/>
          <w:highlight w:val="none"/>
          <w:lang w:val="en-US" w:eastAsia="zh-CN"/>
        </w:rPr>
        <w:t>2.2.1预算执行情况分析</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2020年度项目实际支出共817.99万元。完成率达到35.17%。</w:t>
      </w:r>
      <w:r>
        <w:rPr>
          <w:rFonts w:hint="eastAsia" w:ascii="仿宋" w:hAnsi="仿宋" w:eastAsia="仿宋" w:cs="仿宋"/>
          <w:color w:val="000000"/>
          <w:kern w:val="0"/>
          <w:sz w:val="32"/>
          <w:szCs w:val="32"/>
          <w:highlight w:val="none"/>
        </w:rPr>
        <w:t>基准分值</w:t>
      </w:r>
      <w:r>
        <w:rPr>
          <w:rFonts w:hint="eastAsia" w:ascii="仿宋" w:hAnsi="仿宋" w:eastAsia="仿宋" w:cs="仿宋"/>
          <w:color w:val="000000"/>
          <w:kern w:val="0"/>
          <w:sz w:val="32"/>
          <w:szCs w:val="32"/>
          <w:highlight w:val="none"/>
          <w:lang w:val="en-US" w:eastAsia="zh-CN"/>
        </w:rPr>
        <w:t>20分，</w:t>
      </w:r>
      <w:r>
        <w:rPr>
          <w:rFonts w:hint="eastAsia" w:ascii="仿宋" w:hAnsi="仿宋" w:eastAsia="仿宋" w:cs="仿宋"/>
          <w:color w:val="000000"/>
          <w:spacing w:val="0"/>
          <w:w w:val="100"/>
          <w:position w:val="0"/>
          <w:sz w:val="32"/>
          <w:szCs w:val="32"/>
          <w:highlight w:val="none"/>
          <w:lang w:val="en-US" w:eastAsia="zh-CN"/>
        </w:rPr>
        <w:t>得分7.03分。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各项目支出情况明细见下表：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3360"/>
        <w:gridCol w:w="2505"/>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796" w:type="dxa"/>
          </w:tcPr>
          <w:p>
            <w:pPr>
              <w:pStyle w:val="10"/>
              <w:keepNext w:val="0"/>
              <w:keepLines w:val="0"/>
              <w:widowControl w:val="0"/>
              <w:numPr>
                <w:ilvl w:val="0"/>
                <w:numId w:val="0"/>
              </w:numPr>
              <w:shd w:val="clear"/>
              <w:bidi w:val="0"/>
              <w:spacing w:before="0" w:after="180" w:line="240" w:lineRule="auto"/>
              <w:ind w:right="0" w:rightChars="0"/>
              <w:jc w:val="center"/>
              <w:rPr>
                <w:rFonts w:hint="eastAsia"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序号</w:t>
            </w:r>
          </w:p>
        </w:tc>
        <w:tc>
          <w:tcPr>
            <w:tcW w:w="3360"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项目名称</w:t>
            </w:r>
          </w:p>
        </w:tc>
        <w:tc>
          <w:tcPr>
            <w:tcW w:w="2505"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支付金额（元）</w:t>
            </w:r>
          </w:p>
        </w:tc>
        <w:tc>
          <w:tcPr>
            <w:tcW w:w="1861"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96"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1</w:t>
            </w:r>
          </w:p>
        </w:tc>
        <w:tc>
          <w:tcPr>
            <w:tcW w:w="3360" w:type="dxa"/>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陈家冲</w:t>
            </w:r>
          </w:p>
        </w:tc>
        <w:tc>
          <w:tcPr>
            <w:tcW w:w="2505"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 xml:space="preserve">141,200.00 </w:t>
            </w:r>
          </w:p>
        </w:tc>
        <w:tc>
          <w:tcPr>
            <w:tcW w:w="1861"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96"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2</w:t>
            </w:r>
          </w:p>
        </w:tc>
        <w:tc>
          <w:tcPr>
            <w:tcW w:w="3360" w:type="dxa"/>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向阳</w:t>
            </w:r>
          </w:p>
        </w:tc>
        <w:tc>
          <w:tcPr>
            <w:tcW w:w="2505"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 xml:space="preserve">4,780,345.44 </w:t>
            </w:r>
          </w:p>
        </w:tc>
        <w:tc>
          <w:tcPr>
            <w:tcW w:w="1861"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96"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3</w:t>
            </w:r>
          </w:p>
        </w:tc>
        <w:tc>
          <w:tcPr>
            <w:tcW w:w="3360" w:type="dxa"/>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五七</w:t>
            </w:r>
          </w:p>
        </w:tc>
        <w:tc>
          <w:tcPr>
            <w:tcW w:w="2505"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 xml:space="preserve">555,828.80 </w:t>
            </w:r>
          </w:p>
        </w:tc>
        <w:tc>
          <w:tcPr>
            <w:tcW w:w="1861"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96" w:type="dxa"/>
          </w:tcPr>
          <w:p>
            <w:pPr>
              <w:pStyle w:val="10"/>
              <w:keepNext w:val="0"/>
              <w:keepLines w:val="0"/>
              <w:widowControl w:val="0"/>
              <w:numPr>
                <w:ilvl w:val="0"/>
                <w:numId w:val="0"/>
              </w:numPr>
              <w:shd w:val="clear"/>
              <w:bidi w:val="0"/>
              <w:spacing w:before="0" w:after="180" w:line="240" w:lineRule="auto"/>
              <w:ind w:right="0" w:rightChars="0"/>
              <w:jc w:val="both"/>
              <w:rPr>
                <w:rFonts w:hint="default"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4</w:t>
            </w:r>
          </w:p>
        </w:tc>
        <w:tc>
          <w:tcPr>
            <w:tcW w:w="3360" w:type="dxa"/>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灯塔</w:t>
            </w:r>
          </w:p>
        </w:tc>
        <w:tc>
          <w:tcPr>
            <w:tcW w:w="2505"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i w:val="0"/>
                <w:iCs w:val="0"/>
                <w:color w:val="000000"/>
                <w:spacing w:val="0"/>
                <w:w w:val="100"/>
                <w:position w:val="0"/>
                <w:sz w:val="24"/>
                <w:szCs w:val="24"/>
                <w:u w:val="none"/>
                <w:shd w:val="clear" w:color="auto" w:fill="auto"/>
                <w:lang w:val="en-US" w:eastAsia="zh-CN" w:bidi="en-US"/>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2,617,475.68</w:t>
            </w:r>
          </w:p>
        </w:tc>
        <w:tc>
          <w:tcPr>
            <w:tcW w:w="1861"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96" w:type="dxa"/>
          </w:tcPr>
          <w:p>
            <w:pPr>
              <w:pStyle w:val="10"/>
              <w:keepNext w:val="0"/>
              <w:keepLines w:val="0"/>
              <w:widowControl w:val="0"/>
              <w:numPr>
                <w:ilvl w:val="0"/>
                <w:numId w:val="0"/>
              </w:numPr>
              <w:shd w:val="clear"/>
              <w:bidi w:val="0"/>
              <w:spacing w:before="0" w:after="180" w:line="240" w:lineRule="auto"/>
              <w:ind w:right="0" w:rightChars="0"/>
              <w:jc w:val="both"/>
              <w:rPr>
                <w:rFonts w:hint="default"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5</w:t>
            </w:r>
          </w:p>
        </w:tc>
        <w:tc>
          <w:tcPr>
            <w:tcW w:w="3360" w:type="dxa"/>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群力</w:t>
            </w:r>
          </w:p>
        </w:tc>
        <w:tc>
          <w:tcPr>
            <w:tcW w:w="2505"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 xml:space="preserve"> 2,545,451.20 </w:t>
            </w:r>
          </w:p>
        </w:tc>
        <w:tc>
          <w:tcPr>
            <w:tcW w:w="1861"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96" w:type="dxa"/>
          </w:tcPr>
          <w:p>
            <w:pPr>
              <w:pStyle w:val="10"/>
              <w:keepNext w:val="0"/>
              <w:keepLines w:val="0"/>
              <w:widowControl w:val="0"/>
              <w:numPr>
                <w:ilvl w:val="0"/>
                <w:numId w:val="0"/>
              </w:numPr>
              <w:shd w:val="clear"/>
              <w:bidi w:val="0"/>
              <w:spacing w:before="0" w:after="180" w:line="240" w:lineRule="auto"/>
              <w:ind w:right="0" w:rightChars="0"/>
              <w:jc w:val="both"/>
              <w:rPr>
                <w:rFonts w:hint="default"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6</w:t>
            </w:r>
          </w:p>
        </w:tc>
        <w:tc>
          <w:tcPr>
            <w:tcW w:w="3360" w:type="dxa"/>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旭东</w:t>
            </w:r>
          </w:p>
        </w:tc>
        <w:tc>
          <w:tcPr>
            <w:tcW w:w="2505" w:type="dxa"/>
            <w:vAlign w:val="center"/>
          </w:tcPr>
          <w:p>
            <w:pPr>
              <w:keepNext w:val="0"/>
              <w:keepLines w:val="0"/>
              <w:widowControl/>
              <w:suppressLineNumbers w:val="0"/>
              <w:ind w:left="0" w:leftChars="0" w:right="0" w:rightChars="0" w:firstLine="0" w:firstLineChars="0"/>
              <w:jc w:val="right"/>
              <w:textAlignment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 xml:space="preserve">85,700.00 </w:t>
            </w:r>
          </w:p>
        </w:tc>
        <w:tc>
          <w:tcPr>
            <w:tcW w:w="1861"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96" w:type="dxa"/>
          </w:tcPr>
          <w:p>
            <w:pPr>
              <w:pStyle w:val="10"/>
              <w:keepNext w:val="0"/>
              <w:keepLines w:val="0"/>
              <w:widowControl w:val="0"/>
              <w:numPr>
                <w:ilvl w:val="0"/>
                <w:numId w:val="0"/>
              </w:numPr>
              <w:shd w:val="clear"/>
              <w:bidi w:val="0"/>
              <w:spacing w:before="0" w:after="180" w:line="240" w:lineRule="auto"/>
              <w:ind w:right="0" w:rightChars="0"/>
              <w:jc w:val="both"/>
              <w:rPr>
                <w:rFonts w:hint="default" w:ascii="仿宋" w:hAnsi="仿宋" w:eastAsia="仿宋" w:cs="仿宋"/>
                <w:color w:val="000000"/>
                <w:spacing w:val="0"/>
                <w:w w:val="100"/>
                <w:position w:val="0"/>
                <w:sz w:val="28"/>
                <w:szCs w:val="28"/>
                <w:highlight w:val="none"/>
                <w:vertAlign w:val="baseline"/>
                <w:lang w:val="en-US" w:eastAsia="zh-CN"/>
              </w:rPr>
            </w:pPr>
            <w:r>
              <w:rPr>
                <w:rFonts w:hint="eastAsia" w:ascii="仿宋" w:hAnsi="仿宋" w:eastAsia="仿宋" w:cs="仿宋"/>
                <w:color w:val="000000"/>
                <w:spacing w:val="0"/>
                <w:w w:val="100"/>
                <w:position w:val="0"/>
                <w:sz w:val="28"/>
                <w:szCs w:val="28"/>
                <w:highlight w:val="none"/>
                <w:vertAlign w:val="baseline"/>
                <w:lang w:val="en-US" w:eastAsia="zh-CN"/>
              </w:rPr>
              <w:t>7</w:t>
            </w:r>
          </w:p>
        </w:tc>
        <w:tc>
          <w:tcPr>
            <w:tcW w:w="3360" w:type="dxa"/>
            <w:vAlign w:val="center"/>
          </w:tcPr>
          <w:p>
            <w:pPr>
              <w:keepNext w:val="0"/>
              <w:keepLines w:val="0"/>
              <w:widowControl/>
              <w:suppressLineNumbers w:val="0"/>
              <w:ind w:left="0" w:leftChars="0" w:right="0" w:rightChars="0" w:firstLine="0" w:firstLineChars="0"/>
              <w:jc w:val="center"/>
              <w:textAlignment w:val="center"/>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合  计</w:t>
            </w:r>
          </w:p>
        </w:tc>
        <w:tc>
          <w:tcPr>
            <w:tcW w:w="2505" w:type="dxa"/>
            <w:vAlign w:val="center"/>
          </w:tcPr>
          <w:p>
            <w:pPr>
              <w:keepNext w:val="0"/>
              <w:keepLines w:val="0"/>
              <w:widowControl/>
              <w:suppressLineNumbers w:val="0"/>
              <w:ind w:left="0" w:leftChars="0" w:right="0" w:rightChars="0" w:firstLine="0" w:firstLineChars="0"/>
              <w:jc w:val="right"/>
              <w:textAlignment w:val="center"/>
              <w:rPr>
                <w:rFonts w:hint="eastAsia" w:ascii="宋体" w:hAnsi="宋体" w:eastAsia="宋体" w:cs="宋体"/>
                <w:i w:val="0"/>
                <w:iCs w:val="0"/>
                <w:color w:val="000000"/>
                <w:spacing w:val="0"/>
                <w:w w:val="100"/>
                <w:position w:val="0"/>
                <w:sz w:val="20"/>
                <w:szCs w:val="20"/>
                <w:u w:val="none"/>
                <w:shd w:val="clear" w:color="auto" w:fill="auto"/>
                <w:lang w:val="en-US" w:eastAsia="zh-CN" w:bidi="en-US"/>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10,726,001.12</w:t>
            </w:r>
          </w:p>
        </w:tc>
        <w:tc>
          <w:tcPr>
            <w:tcW w:w="1861" w:type="dxa"/>
          </w:tcPr>
          <w:p>
            <w:pPr>
              <w:pStyle w:val="10"/>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400" w:leftChars="0" w:right="0" w:rightChars="0" w:firstLine="320" w:firstLineChars="1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2.2.2产出指标完成情况</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rPr>
        <w:t>20</w:t>
      </w:r>
      <w:r>
        <w:rPr>
          <w:rFonts w:hint="eastAsia" w:ascii="仿宋" w:hAnsi="仿宋" w:eastAsia="仿宋" w:cs="仿宋"/>
          <w:color w:val="000000"/>
          <w:spacing w:val="0"/>
          <w:w w:val="100"/>
          <w:position w:val="0"/>
          <w:sz w:val="32"/>
          <w:szCs w:val="32"/>
          <w:highlight w:val="none"/>
          <w:lang w:val="en-US" w:eastAsia="zh-CN"/>
        </w:rPr>
        <w:t>20</w:t>
      </w:r>
      <w:r>
        <w:rPr>
          <w:rFonts w:hint="eastAsia" w:ascii="仿宋" w:hAnsi="仿宋" w:eastAsia="仿宋" w:cs="仿宋"/>
          <w:color w:val="000000"/>
          <w:spacing w:val="0"/>
          <w:w w:val="100"/>
          <w:position w:val="0"/>
          <w:sz w:val="32"/>
          <w:szCs w:val="32"/>
          <w:highlight w:val="none"/>
        </w:rPr>
        <w:t>年</w:t>
      </w:r>
      <w:r>
        <w:rPr>
          <w:rFonts w:hint="eastAsia" w:ascii="仿宋" w:hAnsi="仿宋" w:eastAsia="仿宋" w:cs="仿宋"/>
          <w:color w:val="000000"/>
          <w:spacing w:val="0"/>
          <w:w w:val="100"/>
          <w:position w:val="0"/>
          <w:sz w:val="32"/>
          <w:szCs w:val="32"/>
          <w:highlight w:val="none"/>
          <w:lang w:eastAsia="zh-CN"/>
        </w:rPr>
        <w:t>数量指标过渡费发放户数年初目标值</w:t>
      </w:r>
      <w:r>
        <w:rPr>
          <w:rFonts w:hint="eastAsia" w:ascii="仿宋" w:hAnsi="仿宋" w:eastAsia="仿宋" w:cs="仿宋"/>
          <w:color w:val="000000"/>
          <w:spacing w:val="0"/>
          <w:w w:val="100"/>
          <w:position w:val="0"/>
          <w:sz w:val="32"/>
          <w:szCs w:val="32"/>
          <w:highlight w:val="none"/>
          <w:lang w:val="en-US" w:eastAsia="zh-CN"/>
        </w:rPr>
        <w:t>449，实际完成值297，基准分10分，得分6.61分。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②质量指标过渡费发放率</w:t>
      </w:r>
      <w:r>
        <w:rPr>
          <w:rFonts w:hint="eastAsia" w:ascii="仿宋" w:hAnsi="仿宋" w:eastAsia="仿宋" w:cs="仿宋"/>
          <w:color w:val="000000"/>
          <w:spacing w:val="0"/>
          <w:w w:val="100"/>
          <w:position w:val="0"/>
          <w:sz w:val="32"/>
          <w:szCs w:val="32"/>
          <w:highlight w:val="none"/>
          <w:lang w:val="en-US" w:eastAsia="zh-CN"/>
        </w:rPr>
        <w:t>，年初目标值大于99%，实际完成66.15%，</w:t>
      </w:r>
      <w:r>
        <w:rPr>
          <w:rFonts w:hint="eastAsia" w:ascii="仿宋" w:hAnsi="仿宋" w:eastAsia="仿宋" w:cs="仿宋"/>
          <w:color w:val="000000"/>
          <w:kern w:val="0"/>
          <w:sz w:val="32"/>
          <w:szCs w:val="32"/>
        </w:rPr>
        <w:t>基</w:t>
      </w:r>
      <w:r>
        <w:rPr>
          <w:rFonts w:hint="eastAsia" w:ascii="仿宋" w:hAnsi="仿宋" w:eastAsia="仿宋" w:cs="仿宋"/>
          <w:color w:val="000000"/>
          <w:spacing w:val="0"/>
          <w:w w:val="100"/>
          <w:position w:val="0"/>
          <w:sz w:val="32"/>
          <w:szCs w:val="32"/>
          <w:highlight w:val="none"/>
          <w:lang w:eastAsia="zh-CN"/>
        </w:rPr>
        <w:t>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6.61</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③时效指标发放及时性年初目标值</w:t>
      </w:r>
      <w:r>
        <w:rPr>
          <w:rFonts w:hint="eastAsia" w:ascii="仿宋" w:hAnsi="仿宋" w:eastAsia="仿宋" w:cs="仿宋"/>
          <w:color w:val="000000"/>
          <w:spacing w:val="0"/>
          <w:w w:val="100"/>
          <w:position w:val="0"/>
          <w:sz w:val="32"/>
          <w:szCs w:val="32"/>
          <w:highlight w:val="none"/>
          <w:lang w:val="en-US" w:eastAsia="zh-CN"/>
        </w:rPr>
        <w:t>100%，实际完成值66.15%，基准分10分，得分6.61分。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right="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④成本指标费用增加率年初目标值</w:t>
      </w:r>
      <w:r>
        <w:rPr>
          <w:rFonts w:hint="default" w:ascii="Arial" w:hAnsi="Arial" w:eastAsia="仿宋" w:cs="Arial"/>
          <w:color w:val="000000"/>
          <w:spacing w:val="0"/>
          <w:w w:val="100"/>
          <w:position w:val="0"/>
          <w:sz w:val="32"/>
          <w:szCs w:val="32"/>
          <w:highlight w:val="none"/>
          <w:lang w:val="en-US" w:eastAsia="zh-CN"/>
        </w:rPr>
        <w:t>≤</w:t>
      </w:r>
      <w:r>
        <w:rPr>
          <w:rFonts w:hint="eastAsia" w:ascii="Arial" w:hAnsi="Arial" w:eastAsia="仿宋" w:cs="Arial"/>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val="en-US" w:eastAsia="zh-CN"/>
        </w:rPr>
        <w:t>，现已完成。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2.2.3效益指标完成情况</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①经济效益指标完成对经济的发展</w:t>
      </w:r>
      <w:r>
        <w:rPr>
          <w:rFonts w:hint="eastAsia" w:ascii="仿宋" w:hAnsi="仿宋" w:eastAsia="仿宋" w:cs="仿宋"/>
          <w:color w:val="000000"/>
          <w:spacing w:val="0"/>
          <w:w w:val="100"/>
          <w:position w:val="0"/>
          <w:sz w:val="32"/>
          <w:szCs w:val="32"/>
          <w:highlight w:val="none"/>
          <w:lang w:val="en-US" w:eastAsia="zh-CN"/>
        </w:rPr>
        <w:t>有所提升</w:t>
      </w:r>
      <w:r>
        <w:rPr>
          <w:rFonts w:hint="eastAsia" w:ascii="仿宋" w:hAnsi="仿宋" w:eastAsia="仿宋" w:cs="仿宋"/>
          <w:color w:val="000000"/>
          <w:spacing w:val="0"/>
          <w:w w:val="100"/>
          <w:position w:val="0"/>
          <w:sz w:val="32"/>
          <w:szCs w:val="32"/>
          <w:highlight w:val="none"/>
          <w:lang w:eastAsia="zh-CN"/>
        </w:rPr>
        <w:t>，现已</w:t>
      </w:r>
      <w:r>
        <w:rPr>
          <w:rFonts w:hint="eastAsia" w:ascii="仿宋" w:hAnsi="仿宋" w:eastAsia="仿宋" w:cs="仿宋"/>
          <w:color w:val="000000"/>
          <w:spacing w:val="0"/>
          <w:w w:val="100"/>
          <w:position w:val="0"/>
          <w:sz w:val="32"/>
          <w:szCs w:val="32"/>
          <w:highlight w:val="none"/>
          <w:lang w:val="en-US" w:eastAsia="zh-CN"/>
        </w:rPr>
        <w:t>完成</w:t>
      </w:r>
      <w:r>
        <w:rPr>
          <w:rFonts w:hint="eastAsia" w:ascii="仿宋" w:hAnsi="仿宋" w:eastAsia="仿宋" w:cs="仿宋"/>
          <w:color w:val="000000"/>
          <w:spacing w:val="0"/>
          <w:w w:val="100"/>
          <w:position w:val="0"/>
          <w:sz w:val="32"/>
          <w:szCs w:val="32"/>
          <w:highlight w:val="none"/>
          <w:lang w:eastAsia="zh-CN"/>
        </w:rPr>
        <w:t>，基准分</w:t>
      </w:r>
      <w:r>
        <w:rPr>
          <w:rFonts w:hint="eastAsia" w:ascii="仿宋" w:hAnsi="仿宋" w:eastAsia="仿宋" w:cs="仿宋"/>
          <w:color w:val="000000"/>
          <w:spacing w:val="0"/>
          <w:w w:val="100"/>
          <w:position w:val="0"/>
          <w:sz w:val="32"/>
          <w:szCs w:val="32"/>
          <w:highlight w:val="none"/>
          <w:lang w:val="en-US" w:eastAsia="zh-CN"/>
        </w:rPr>
        <w:t>10分，得分10分。</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②社会效益指标完成社会稳定</w:t>
      </w:r>
      <w:r>
        <w:rPr>
          <w:rFonts w:hint="eastAsia" w:ascii="仿宋" w:hAnsi="仿宋" w:eastAsia="仿宋" w:cs="仿宋"/>
          <w:color w:val="000000"/>
          <w:spacing w:val="0"/>
          <w:w w:val="100"/>
          <w:position w:val="0"/>
          <w:sz w:val="32"/>
          <w:szCs w:val="32"/>
          <w:highlight w:val="none"/>
          <w:lang w:val="en-US" w:eastAsia="zh-CN"/>
        </w:rPr>
        <w:t>有所提升，现已完成，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分；完成政府公信力</w:t>
      </w:r>
      <w:r>
        <w:rPr>
          <w:rFonts w:hint="eastAsia" w:ascii="仿宋" w:hAnsi="仿宋" w:eastAsia="仿宋" w:cs="仿宋"/>
          <w:color w:val="000000"/>
          <w:spacing w:val="0"/>
          <w:w w:val="100"/>
          <w:position w:val="0"/>
          <w:sz w:val="32"/>
          <w:szCs w:val="32"/>
          <w:highlight w:val="none"/>
          <w:lang w:val="en-US" w:eastAsia="zh-CN"/>
        </w:rPr>
        <w:t>有所提升，现已完成，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2.2.4满意度指标完成情况</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2020年拆迁过渡项目收益群众满意度年初标准值≥95%，通过问卷调查得知居民对该项目满意度达95%。</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2.3上年度部门自评结果应用情况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2.4其他佐证材料</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支付凭证、现场勘查记录等</w:t>
      </w:r>
    </w:p>
    <w:p>
      <w:pPr>
        <w:pStyle w:val="2"/>
        <w:rPr>
          <w:rFonts w:hint="eastAsia" w:ascii="仿宋" w:hAnsi="仿宋" w:eastAsia="仿宋" w:cs="仿宋"/>
          <w:color w:val="000000"/>
          <w:spacing w:val="0"/>
          <w:w w:val="100"/>
          <w:position w:val="0"/>
          <w:sz w:val="32"/>
          <w:szCs w:val="32"/>
          <w:highlight w:val="none"/>
          <w:lang w:val="en-US" w:eastAsia="zh-CN"/>
        </w:rPr>
      </w:pPr>
    </w:p>
    <w:p>
      <w:pPr>
        <w:pStyle w:val="2"/>
        <w:rPr>
          <w:rFonts w:hint="eastAsia" w:ascii="仿宋" w:hAnsi="仿宋" w:eastAsia="仿宋" w:cs="仿宋"/>
          <w:color w:val="000000"/>
          <w:spacing w:val="0"/>
          <w:w w:val="100"/>
          <w:position w:val="0"/>
          <w:sz w:val="32"/>
          <w:szCs w:val="32"/>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pStyle w:val="2"/>
        <w:rPr>
          <w:rFonts w:hint="eastAsia" w:ascii="方正小标宋简体" w:hAnsi="方正小标宋_GBK" w:eastAsia="方正小标宋简体" w:cs="方正小标宋_GBK"/>
          <w:bCs/>
          <w:spacing w:val="0"/>
          <w:w w:val="100"/>
          <w:kern w:val="2"/>
          <w:position w:val="0"/>
          <w:sz w:val="36"/>
          <w:szCs w:val="44"/>
          <w:shd w:val="clear"/>
          <w:lang w:val="en-US" w:eastAsia="zh-CN" w:bidi="ar-SA"/>
        </w:rPr>
      </w:pPr>
    </w:p>
    <w:p>
      <w:pPr>
        <w:widowControl/>
        <w:spacing w:line="432" w:lineRule="atLeast"/>
        <w:jc w:val="center"/>
        <w:rPr>
          <w:rFonts w:hint="eastAsia" w:ascii="方正小标宋简体" w:hAnsi="方正小标宋简体" w:eastAsia="方正小标宋简体" w:cs="方正小标宋简体"/>
          <w:color w:val="000000"/>
          <w:kern w:val="0"/>
          <w:sz w:val="40"/>
          <w:szCs w:val="40"/>
          <w:lang w:val="en-US" w:eastAsia="zh-CN"/>
        </w:rPr>
      </w:pPr>
    </w:p>
    <w:p>
      <w:pPr>
        <w:widowControl/>
        <w:spacing w:line="432" w:lineRule="atLeast"/>
        <w:jc w:val="center"/>
        <w:rPr>
          <w:rFonts w:hint="eastAsia" w:ascii="方正小标宋简体" w:hAnsi="方正小标宋简体" w:eastAsia="方正小标宋简体" w:cs="方正小标宋简体"/>
          <w:color w:val="000000"/>
          <w:kern w:val="0"/>
          <w:sz w:val="40"/>
          <w:szCs w:val="40"/>
          <w:lang w:val="en-US" w:eastAsia="zh-CN"/>
        </w:rPr>
      </w:pPr>
    </w:p>
    <w:p>
      <w:pPr>
        <w:pStyle w:val="2"/>
        <w:rPr>
          <w:rFonts w:hint="eastAsia" w:ascii="方正小标宋简体" w:hAnsi="方正小标宋简体" w:eastAsia="方正小标宋简体" w:cs="方正小标宋简体"/>
          <w:color w:val="000000"/>
          <w:kern w:val="0"/>
          <w:sz w:val="40"/>
          <w:szCs w:val="40"/>
          <w:lang w:val="en-US" w:eastAsia="zh-CN"/>
        </w:rPr>
      </w:pPr>
    </w:p>
    <w:p>
      <w:pPr>
        <w:pStyle w:val="2"/>
        <w:rPr>
          <w:rFonts w:hint="eastAsia" w:ascii="方正小标宋简体" w:hAnsi="方正小标宋简体" w:eastAsia="方正小标宋简体" w:cs="方正小标宋简体"/>
          <w:color w:val="000000"/>
          <w:kern w:val="0"/>
          <w:sz w:val="40"/>
          <w:szCs w:val="40"/>
          <w:lang w:val="en-US" w:eastAsia="zh-CN"/>
        </w:rPr>
      </w:pPr>
    </w:p>
    <w:p>
      <w:pPr>
        <w:pStyle w:val="2"/>
        <w:rPr>
          <w:rFonts w:hint="eastAsia" w:ascii="方正小标宋简体" w:hAnsi="方正小标宋简体" w:eastAsia="方正小标宋简体" w:cs="方正小标宋简体"/>
          <w:color w:val="000000"/>
          <w:kern w:val="0"/>
          <w:sz w:val="40"/>
          <w:szCs w:val="40"/>
          <w:lang w:val="en-US" w:eastAsia="zh-CN"/>
        </w:rPr>
      </w:pPr>
    </w:p>
    <w:p>
      <w:pPr>
        <w:pStyle w:val="2"/>
        <w:rPr>
          <w:rFonts w:hint="eastAsia" w:ascii="方正小标宋简体" w:hAnsi="方正小标宋简体" w:eastAsia="方正小标宋简体" w:cs="方正小标宋简体"/>
          <w:color w:val="000000"/>
          <w:kern w:val="0"/>
          <w:sz w:val="40"/>
          <w:szCs w:val="40"/>
          <w:lang w:val="en-US" w:eastAsia="zh-CN"/>
        </w:rPr>
      </w:pPr>
    </w:p>
    <w:p>
      <w:pPr>
        <w:pStyle w:val="2"/>
        <w:rPr>
          <w:rFonts w:hint="eastAsia" w:ascii="方正小标宋简体" w:hAnsi="方正小标宋简体" w:eastAsia="方正小标宋简体" w:cs="方正小标宋简体"/>
          <w:color w:val="000000"/>
          <w:kern w:val="0"/>
          <w:sz w:val="40"/>
          <w:szCs w:val="40"/>
          <w:lang w:val="en-US" w:eastAsia="zh-CN"/>
        </w:rPr>
      </w:pPr>
    </w:p>
    <w:p>
      <w:pPr>
        <w:pStyle w:val="2"/>
        <w:rPr>
          <w:rFonts w:hint="eastAsia" w:ascii="方正小标宋简体" w:hAnsi="方正小标宋简体" w:eastAsia="方正小标宋简体" w:cs="方正小标宋简体"/>
          <w:color w:val="000000"/>
          <w:kern w:val="0"/>
          <w:sz w:val="40"/>
          <w:szCs w:val="40"/>
          <w:lang w:val="en-US" w:eastAsia="zh-CN"/>
        </w:rPr>
      </w:pPr>
    </w:p>
    <w:p>
      <w:pPr>
        <w:pStyle w:val="2"/>
        <w:rPr>
          <w:rFonts w:hint="eastAsia" w:ascii="方正小标宋简体" w:hAnsi="方正小标宋简体" w:eastAsia="方正小标宋简体" w:cs="方正小标宋简体"/>
          <w:color w:val="000000"/>
          <w:kern w:val="0"/>
          <w:sz w:val="40"/>
          <w:szCs w:val="40"/>
          <w:lang w:val="en-US" w:eastAsia="zh-CN"/>
        </w:rPr>
      </w:pPr>
    </w:p>
    <w:p>
      <w:pPr>
        <w:widowControl/>
        <w:spacing w:line="432" w:lineRule="atLeast"/>
        <w:ind w:firstLine="1600" w:firstLineChars="400"/>
        <w:jc w:val="both"/>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拆迁过渡</w:t>
      </w:r>
      <w:r>
        <w:rPr>
          <w:rFonts w:hint="eastAsia" w:ascii="方正小标宋简体" w:hAnsi="方正小标宋简体" w:eastAsia="方正小标宋简体" w:cs="方正小标宋简体"/>
          <w:color w:val="000000"/>
          <w:kern w:val="0"/>
          <w:sz w:val="40"/>
          <w:szCs w:val="40"/>
        </w:rPr>
        <w:t>项目</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rPr>
        <w:t>表</w:t>
      </w:r>
    </w:p>
    <w:p>
      <w:pPr>
        <w:widowControl/>
        <w:spacing w:line="432" w:lineRule="atLeast"/>
        <w:jc w:val="left"/>
        <w:rPr>
          <w:rFonts w:hint="eastAsia" w:ascii="楷体_GB2312" w:hAnsi="宋体" w:eastAsia="楷体_GB2312" w:cs="宋体"/>
          <w:color w:val="000000"/>
          <w:kern w:val="0"/>
          <w:sz w:val="24"/>
          <w:szCs w:val="24"/>
          <w:lang w:eastAsia="zh-CN"/>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12"/>
        <w:gridCol w:w="1111"/>
        <w:gridCol w:w="1005"/>
        <w:gridCol w:w="736"/>
        <w:gridCol w:w="420"/>
        <w:gridCol w:w="1440"/>
        <w:gridCol w:w="660"/>
        <w:gridCol w:w="65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6908" w:type="dxa"/>
            <w:gridSpan w:val="8"/>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拆迁过渡费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2852" w:type="dxa"/>
            <w:gridSpan w:val="3"/>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东山街道办事处</w:t>
            </w:r>
          </w:p>
        </w:tc>
        <w:tc>
          <w:tcPr>
            <w:tcW w:w="2520"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1536" w:type="dxa"/>
            <w:gridSpan w:val="2"/>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拆迁退地办公室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6908" w:type="dxa"/>
            <w:gridSpan w:val="8"/>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6908" w:type="dxa"/>
            <w:gridSpan w:val="8"/>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6908" w:type="dxa"/>
            <w:gridSpan w:val="8"/>
            <w:noWrap w:val="0"/>
            <w:vAlign w:val="center"/>
          </w:tcPr>
          <w:p>
            <w:pPr>
              <w:widowControl/>
              <w:snapToGrid w:val="0"/>
              <w:jc w:val="left"/>
              <w:rPr>
                <w:rFonts w:hint="eastAsia" w:ascii="宋体" w:hAnsi="宋体" w:eastAsia="宋体" w:cs="Times New Roman"/>
                <w:kern w:val="0"/>
                <w:lang w:eastAsia="zh-CN"/>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cs="仿宋_GB2312"/>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0"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111" w:type="dxa"/>
            <w:noWrap w:val="0"/>
            <w:vAlign w:val="center"/>
          </w:tcPr>
          <w:p>
            <w:pPr>
              <w:widowControl/>
              <w:snapToGrid w:val="0"/>
              <w:jc w:val="center"/>
              <w:rPr>
                <w:rFonts w:ascii="宋体" w:hAnsi="宋体" w:eastAsia="宋体" w:cs="Times New Roman"/>
                <w:kern w:val="0"/>
              </w:rPr>
            </w:pPr>
          </w:p>
        </w:tc>
        <w:tc>
          <w:tcPr>
            <w:tcW w:w="1005"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156" w:type="dxa"/>
            <w:gridSpan w:val="2"/>
            <w:noWrap w:val="0"/>
            <w:vAlign w:val="center"/>
          </w:tcPr>
          <w:p>
            <w:pPr>
              <w:widowControl/>
              <w:snapToGrid w:val="0"/>
              <w:jc w:val="center"/>
              <w:rPr>
                <w:rFonts w:ascii="宋体" w:hAnsi="宋体" w:eastAsia="宋体" w:cs="仿宋_GB2312"/>
                <w:kern w:val="0"/>
                <w:highlight w:val="none"/>
              </w:rPr>
            </w:pPr>
            <w:r>
              <w:rPr>
                <w:rFonts w:hint="eastAsia" w:ascii="宋体" w:hAnsi="宋体" w:eastAsia="宋体" w:cs="仿宋_GB2312"/>
                <w:kern w:val="0"/>
                <w:highlight w:val="none"/>
              </w:rPr>
              <w:t>执行数</w:t>
            </w:r>
            <w:r>
              <w:rPr>
                <w:rFonts w:ascii="宋体" w:hAnsi="宋体" w:eastAsia="宋体" w:cs="仿宋_GB2312"/>
                <w:kern w:val="0"/>
                <w:highlight w:val="none"/>
              </w:rPr>
              <w:t>（B）</w:t>
            </w:r>
          </w:p>
        </w:tc>
        <w:tc>
          <w:tcPr>
            <w:tcW w:w="144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2196"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0" w:type="dxa"/>
            <w:gridSpan w:val="2"/>
            <w:vMerge w:val="continue"/>
            <w:noWrap w:val="0"/>
            <w:vAlign w:val="center"/>
          </w:tcPr>
          <w:p>
            <w:pPr>
              <w:widowControl/>
              <w:snapToGrid w:val="0"/>
              <w:jc w:val="center"/>
              <w:rPr>
                <w:rFonts w:ascii="宋体" w:hAnsi="宋体" w:eastAsia="宋体" w:cs="Times New Roman"/>
                <w:kern w:val="0"/>
              </w:rPr>
            </w:pPr>
          </w:p>
        </w:tc>
        <w:tc>
          <w:tcPr>
            <w:tcW w:w="1111"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005"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2326</w:t>
            </w:r>
          </w:p>
        </w:tc>
        <w:tc>
          <w:tcPr>
            <w:tcW w:w="1156" w:type="dxa"/>
            <w:gridSpan w:val="2"/>
            <w:noWrap w:val="0"/>
            <w:vAlign w:val="center"/>
          </w:tcPr>
          <w:p>
            <w:pPr>
              <w:widowControl/>
              <w:snapToGrid w:val="0"/>
              <w:jc w:val="center"/>
              <w:rPr>
                <w:rFonts w:hint="default" w:ascii="宋体" w:hAnsi="宋体" w:eastAsia="宋体" w:cs="Times New Roman"/>
                <w:kern w:val="0"/>
                <w:highlight w:val="none"/>
                <w:lang w:val="en-US" w:eastAsia="zh-CN"/>
              </w:rPr>
            </w:pPr>
            <w:r>
              <w:rPr>
                <w:rFonts w:hint="eastAsia" w:ascii="宋体" w:hAnsi="宋体" w:cs="Times New Roman"/>
                <w:kern w:val="0"/>
                <w:highlight w:val="none"/>
                <w:lang w:val="en-US" w:eastAsia="zh-CN"/>
              </w:rPr>
              <w:t>1072.6</w:t>
            </w:r>
          </w:p>
        </w:tc>
        <w:tc>
          <w:tcPr>
            <w:tcW w:w="1440"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46.11%</w:t>
            </w:r>
          </w:p>
        </w:tc>
        <w:tc>
          <w:tcPr>
            <w:tcW w:w="2196" w:type="dxa"/>
            <w:gridSpan w:val="3"/>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212"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111"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2161"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144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19"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212"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111" w:type="dxa"/>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数量指标（</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2161" w:type="dxa"/>
            <w:gridSpan w:val="3"/>
            <w:noWrap w:val="0"/>
            <w:vAlign w:val="center"/>
          </w:tcPr>
          <w:p>
            <w:pPr>
              <w:widowControl/>
              <w:snapToGrid w:val="0"/>
              <w:jc w:val="center"/>
              <w:rPr>
                <w:rFonts w:hint="eastAsia" w:ascii="宋体" w:hAnsi="宋体" w:cs="Times New Roman"/>
                <w:kern w:val="0"/>
                <w:lang w:eastAsia="zh-CN"/>
              </w:rPr>
            </w:pPr>
            <w:r>
              <w:rPr>
                <w:rFonts w:hint="eastAsia" w:ascii="宋体" w:hAnsi="宋体" w:cs="Times New Roman"/>
                <w:kern w:val="0"/>
                <w:lang w:eastAsia="zh-CN"/>
              </w:rPr>
              <w:t>过渡费发放户数</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40"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449</w:t>
            </w:r>
          </w:p>
        </w:tc>
        <w:tc>
          <w:tcPr>
            <w:tcW w:w="1319"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380</w:t>
            </w:r>
          </w:p>
        </w:tc>
        <w:tc>
          <w:tcPr>
            <w:tcW w:w="877"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212" w:type="dxa"/>
            <w:vMerge w:val="continue"/>
            <w:noWrap w:val="0"/>
            <w:vAlign w:val="center"/>
          </w:tcPr>
          <w:p>
            <w:pPr>
              <w:widowControl/>
              <w:snapToGrid w:val="0"/>
              <w:jc w:val="center"/>
              <w:rPr>
                <w:rFonts w:ascii="宋体" w:hAnsi="宋体" w:eastAsia="宋体" w:cs="Times New Roman"/>
                <w:kern w:val="0"/>
              </w:rPr>
            </w:pPr>
          </w:p>
        </w:tc>
        <w:tc>
          <w:tcPr>
            <w:tcW w:w="1111" w:type="dxa"/>
            <w:noWrap w:val="0"/>
            <w:vAlign w:val="center"/>
          </w:tcPr>
          <w:p>
            <w:pPr>
              <w:widowControl/>
              <w:snapToGrid w:val="0"/>
              <w:jc w:val="center"/>
              <w:rPr>
                <w:rFonts w:hint="eastAsia" w:ascii="宋体" w:hAnsi="宋体" w:cs="Times New Roman"/>
                <w:kern w:val="0"/>
                <w:lang w:eastAsia="zh-CN"/>
              </w:rPr>
            </w:pPr>
            <w:r>
              <w:rPr>
                <w:rFonts w:hint="eastAsia" w:ascii="宋体" w:hAnsi="宋体" w:cs="Times New Roman"/>
                <w:kern w:val="0"/>
                <w:lang w:eastAsia="zh-CN"/>
              </w:rPr>
              <w:t>质量指标</w:t>
            </w:r>
          </w:p>
          <w:p>
            <w:pPr>
              <w:widowControl/>
              <w:snapToGrid w:val="0"/>
              <w:jc w:val="center"/>
              <w:rPr>
                <w:rFonts w:hint="eastAsia" w:ascii="宋体" w:hAnsi="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2161" w:type="dxa"/>
            <w:gridSpan w:val="3"/>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过渡费发放率（</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40"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大于99%</w:t>
            </w:r>
          </w:p>
        </w:tc>
        <w:tc>
          <w:tcPr>
            <w:tcW w:w="1319"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84.63%</w:t>
            </w:r>
          </w:p>
        </w:tc>
        <w:tc>
          <w:tcPr>
            <w:tcW w:w="877"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212" w:type="dxa"/>
            <w:vMerge w:val="continue"/>
            <w:noWrap w:val="0"/>
            <w:vAlign w:val="center"/>
          </w:tcPr>
          <w:p>
            <w:pPr>
              <w:widowControl/>
              <w:snapToGrid w:val="0"/>
              <w:jc w:val="center"/>
              <w:rPr>
                <w:rFonts w:ascii="宋体" w:hAnsi="宋体" w:eastAsia="宋体" w:cs="Times New Roman"/>
                <w:kern w:val="0"/>
              </w:rPr>
            </w:pPr>
          </w:p>
        </w:tc>
        <w:tc>
          <w:tcPr>
            <w:tcW w:w="1111" w:type="dxa"/>
            <w:noWrap w:val="0"/>
            <w:vAlign w:val="center"/>
          </w:tcPr>
          <w:p>
            <w:pPr>
              <w:widowControl/>
              <w:snapToGrid w:val="0"/>
              <w:jc w:val="center"/>
              <w:rPr>
                <w:rFonts w:hint="eastAsia" w:ascii="宋体" w:hAnsi="宋体" w:cs="Times New Roman"/>
                <w:kern w:val="0"/>
                <w:lang w:eastAsia="zh-CN"/>
              </w:rPr>
            </w:pPr>
            <w:r>
              <w:rPr>
                <w:rFonts w:hint="eastAsia" w:ascii="宋体" w:hAnsi="宋体" w:cs="Times New Roman"/>
                <w:kern w:val="0"/>
                <w:lang w:eastAsia="zh-CN"/>
              </w:rPr>
              <w:t>时效指标（</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2161" w:type="dxa"/>
            <w:gridSpan w:val="3"/>
            <w:noWrap w:val="0"/>
            <w:vAlign w:val="center"/>
          </w:tcPr>
          <w:p>
            <w:pPr>
              <w:widowControl/>
              <w:snapToGrid w:val="0"/>
              <w:jc w:val="center"/>
              <w:rPr>
                <w:rFonts w:hint="eastAsia" w:ascii="宋体" w:hAnsi="宋体" w:cs="Times New Roman"/>
                <w:kern w:val="0"/>
                <w:lang w:eastAsia="zh-CN"/>
              </w:rPr>
            </w:pPr>
            <w:r>
              <w:rPr>
                <w:rFonts w:hint="eastAsia" w:ascii="宋体" w:hAnsi="宋体" w:cs="Times New Roman"/>
                <w:kern w:val="0"/>
                <w:lang w:eastAsia="zh-CN"/>
              </w:rPr>
              <w:t>发放及时性（</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40"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100%</w:t>
            </w:r>
          </w:p>
        </w:tc>
        <w:tc>
          <w:tcPr>
            <w:tcW w:w="1319" w:type="dxa"/>
            <w:gridSpan w:val="2"/>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84.63%</w:t>
            </w:r>
          </w:p>
        </w:tc>
        <w:tc>
          <w:tcPr>
            <w:tcW w:w="877"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212" w:type="dxa"/>
            <w:vMerge w:val="continue"/>
            <w:noWrap w:val="0"/>
            <w:vAlign w:val="center"/>
          </w:tcPr>
          <w:p>
            <w:pPr>
              <w:widowControl/>
              <w:snapToGrid w:val="0"/>
              <w:jc w:val="center"/>
              <w:rPr>
                <w:rFonts w:ascii="宋体" w:hAnsi="宋体" w:eastAsia="宋体" w:cs="Times New Roman"/>
                <w:kern w:val="0"/>
              </w:rPr>
            </w:pPr>
          </w:p>
        </w:tc>
        <w:tc>
          <w:tcPr>
            <w:tcW w:w="1111"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eastAsia="zh-CN"/>
              </w:rPr>
              <w:t>成本指标</w:t>
            </w:r>
            <w:r>
              <w:rPr>
                <w:rFonts w:hint="eastAsia" w:ascii="宋体" w:hAnsi="宋体" w:cs="Times New Roman"/>
                <w:kern w:val="0"/>
                <w:lang w:val="en-US" w:eastAsia="zh-CN"/>
              </w:rPr>
              <w:t>(10分）</w:t>
            </w:r>
          </w:p>
        </w:tc>
        <w:tc>
          <w:tcPr>
            <w:tcW w:w="2161" w:type="dxa"/>
            <w:gridSpan w:val="3"/>
            <w:noWrap w:val="0"/>
            <w:vAlign w:val="center"/>
          </w:tcPr>
          <w:p>
            <w:pPr>
              <w:widowControl/>
              <w:snapToGrid w:val="0"/>
              <w:jc w:val="center"/>
              <w:rPr>
                <w:rFonts w:hint="eastAsia" w:ascii="宋体" w:hAnsi="宋体" w:cs="Times New Roman"/>
                <w:kern w:val="0"/>
                <w:lang w:eastAsia="zh-CN"/>
              </w:rPr>
            </w:pPr>
            <w:r>
              <w:rPr>
                <w:rFonts w:hint="eastAsia" w:ascii="宋体" w:hAnsi="宋体" w:cs="Times New Roman"/>
                <w:kern w:val="0"/>
                <w:lang w:eastAsia="zh-CN"/>
              </w:rPr>
              <w:t>费用增加率（</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40"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≤5%</w:t>
            </w:r>
          </w:p>
        </w:tc>
        <w:tc>
          <w:tcPr>
            <w:tcW w:w="1319" w:type="dxa"/>
            <w:gridSpan w:val="2"/>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≤5%</w:t>
            </w:r>
          </w:p>
        </w:tc>
        <w:tc>
          <w:tcPr>
            <w:tcW w:w="877" w:type="dxa"/>
            <w:noWrap w:val="0"/>
            <w:vAlign w:val="center"/>
          </w:tcPr>
          <w:p>
            <w:pPr>
              <w:widowControl/>
              <w:snapToGrid w:val="0"/>
              <w:jc w:val="center"/>
              <w:rPr>
                <w:rFonts w:hint="default" w:ascii="宋体" w:hAnsi="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212"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111" w:type="dxa"/>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经济效益指标（</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2161" w:type="dxa"/>
            <w:gridSpan w:val="3"/>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对经济的发展（</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40"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有所提升</w:t>
            </w:r>
          </w:p>
        </w:tc>
        <w:tc>
          <w:tcPr>
            <w:tcW w:w="1319"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有所提升</w:t>
            </w:r>
          </w:p>
        </w:tc>
        <w:tc>
          <w:tcPr>
            <w:tcW w:w="877"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212" w:type="dxa"/>
            <w:vMerge w:val="continue"/>
            <w:noWrap w:val="0"/>
            <w:vAlign w:val="center"/>
          </w:tcPr>
          <w:p>
            <w:pPr>
              <w:widowControl/>
              <w:snapToGrid w:val="0"/>
              <w:jc w:val="center"/>
              <w:rPr>
                <w:rFonts w:ascii="宋体" w:hAnsi="宋体" w:eastAsia="宋体" w:cs="Times New Roman"/>
                <w:kern w:val="0"/>
              </w:rPr>
            </w:pPr>
          </w:p>
        </w:tc>
        <w:tc>
          <w:tcPr>
            <w:tcW w:w="1111" w:type="dxa"/>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社会效益指标（</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2161" w:type="dxa"/>
            <w:gridSpan w:val="3"/>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社会稳定（</w:t>
            </w:r>
            <w:r>
              <w:rPr>
                <w:rFonts w:hint="eastAsia" w:ascii="宋体" w:hAnsi="宋体" w:cs="Times New Roman"/>
                <w:kern w:val="0"/>
                <w:lang w:val="en-US" w:eastAsia="zh-CN"/>
              </w:rPr>
              <w:t>10分）</w:t>
            </w:r>
          </w:p>
        </w:tc>
        <w:tc>
          <w:tcPr>
            <w:tcW w:w="1440"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有所提升</w:t>
            </w:r>
          </w:p>
        </w:tc>
        <w:tc>
          <w:tcPr>
            <w:tcW w:w="1319"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有所提升</w:t>
            </w:r>
          </w:p>
        </w:tc>
        <w:tc>
          <w:tcPr>
            <w:tcW w:w="877"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bl>
    <w:p>
      <w:pPr>
        <w:widowControl/>
        <w:snapToGrid w:val="0"/>
        <w:jc w:val="center"/>
        <w:rPr>
          <w:rFonts w:ascii="宋体" w:hAnsi="宋体" w:eastAsia="宋体" w:cs="Times New Roman"/>
          <w:kern w:val="0"/>
        </w:rPr>
        <w:sectPr>
          <w:footerReference r:id="rId5" w:type="default"/>
          <w:pgSz w:w="11906" w:h="16838"/>
          <w:pgMar w:top="2098" w:right="1474" w:bottom="1984" w:left="1587" w:header="851" w:footer="992" w:gutter="0"/>
          <w:cols w:space="0" w:num="1"/>
          <w:rtlGutter w:val="0"/>
          <w:docGrid w:linePitch="312" w:charSpace="0"/>
        </w:sectPr>
      </w:pP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12"/>
        <w:gridCol w:w="1111"/>
        <w:gridCol w:w="2135"/>
        <w:gridCol w:w="1466"/>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828" w:type="dxa"/>
            <w:vMerge w:val="restart"/>
            <w:noWrap w:val="0"/>
            <w:vAlign w:val="center"/>
          </w:tcPr>
          <w:p>
            <w:pPr>
              <w:pStyle w:val="2"/>
              <w:ind w:left="0" w:leftChars="0" w:firstLine="0" w:firstLineChars="0"/>
            </w:pPr>
          </w:p>
        </w:tc>
        <w:tc>
          <w:tcPr>
            <w:tcW w:w="1212" w:type="dxa"/>
            <w:noWrap w:val="0"/>
            <w:vAlign w:val="center"/>
          </w:tcPr>
          <w:p>
            <w:pPr>
              <w:widowControl/>
              <w:snapToGrid w:val="0"/>
              <w:jc w:val="center"/>
              <w:rPr>
                <w:rFonts w:ascii="宋体" w:hAnsi="宋体" w:eastAsia="宋体" w:cs="Times New Roman"/>
                <w:kern w:val="0"/>
              </w:rPr>
            </w:pPr>
          </w:p>
        </w:tc>
        <w:tc>
          <w:tcPr>
            <w:tcW w:w="1111" w:type="dxa"/>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社会效益指标（</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2135" w:type="dxa"/>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政府公信力（</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66"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有所提升</w:t>
            </w:r>
          </w:p>
        </w:tc>
        <w:tc>
          <w:tcPr>
            <w:tcW w:w="131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有所提升</w:t>
            </w:r>
          </w:p>
        </w:tc>
        <w:tc>
          <w:tcPr>
            <w:tcW w:w="877"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212"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111" w:type="dxa"/>
            <w:noWrap w:val="0"/>
            <w:vAlign w:val="center"/>
          </w:tcPr>
          <w:p>
            <w:pPr>
              <w:widowControl/>
              <w:snapToGrid w:val="0"/>
              <w:jc w:val="center"/>
              <w:rPr>
                <w:rFonts w:hint="eastAsia" w:ascii="宋体" w:hAnsi="宋体" w:eastAsia="宋体" w:cs="仿宋_GB2312"/>
                <w:kern w:val="0"/>
                <w:lang w:eastAsia="zh-CN"/>
              </w:rPr>
            </w:pPr>
            <w:r>
              <w:rPr>
                <w:rFonts w:hint="eastAsia" w:ascii="宋体" w:hAnsi="宋体" w:cs="仿宋_GB2312"/>
                <w:kern w:val="0"/>
                <w:lang w:eastAsia="zh-CN"/>
              </w:rPr>
              <w:t>受益对象满意度指标（</w:t>
            </w:r>
            <w:r>
              <w:rPr>
                <w:rFonts w:hint="eastAsia" w:ascii="宋体" w:hAnsi="宋体" w:cs="仿宋_GB2312"/>
                <w:kern w:val="0"/>
                <w:lang w:val="en-US" w:eastAsia="zh-CN"/>
              </w:rPr>
              <w:t>10分</w:t>
            </w:r>
            <w:r>
              <w:rPr>
                <w:rFonts w:hint="eastAsia" w:ascii="宋体" w:hAnsi="宋体" w:cs="仿宋_GB2312"/>
                <w:kern w:val="0"/>
                <w:lang w:eastAsia="zh-CN"/>
              </w:rPr>
              <w:t>）</w:t>
            </w:r>
          </w:p>
        </w:tc>
        <w:tc>
          <w:tcPr>
            <w:tcW w:w="2135" w:type="dxa"/>
            <w:noWrap w:val="0"/>
            <w:vAlign w:val="center"/>
          </w:tcPr>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受益对象满意度（</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466"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≥95%</w:t>
            </w:r>
          </w:p>
        </w:tc>
        <w:tc>
          <w:tcPr>
            <w:tcW w:w="131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95%</w:t>
            </w:r>
          </w:p>
        </w:tc>
        <w:tc>
          <w:tcPr>
            <w:tcW w:w="877"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828"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120" w:type="dxa"/>
            <w:gridSpan w:val="6"/>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4" w:hRule="atLeast"/>
          <w:jc w:val="center"/>
        </w:trPr>
        <w:tc>
          <w:tcPr>
            <w:tcW w:w="204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6908" w:type="dxa"/>
            <w:gridSpan w:val="5"/>
            <w:noWrap w:val="0"/>
            <w:vAlign w:val="center"/>
          </w:tcPr>
          <w:p>
            <w:pPr>
              <w:widowControl/>
              <w:numPr>
                <w:ilvl w:val="0"/>
                <w:numId w:val="1"/>
              </w:numPr>
              <w:jc w:val="left"/>
              <w:rPr>
                <w:rFonts w:hint="eastAsia" w:ascii="宋体" w:hAnsi="宋体" w:cs="Times New Roman"/>
                <w:kern w:val="0"/>
                <w:lang w:val="en-US" w:eastAsia="zh-CN"/>
              </w:rPr>
            </w:pPr>
            <w:r>
              <w:rPr>
                <w:rFonts w:hint="eastAsia" w:ascii="宋体" w:hAnsi="宋体" w:cs="Times New Roman"/>
                <w:kern w:val="0"/>
                <w:lang w:val="en-US" w:eastAsia="zh-CN"/>
              </w:rPr>
              <w:t xml:space="preserve">因陈家冲小区还建房分两期建设，一期在2017年建成完毕，二期在2019年才建成，另外搬迁合同未完善，导致过渡费发放不及时。 </w:t>
            </w:r>
          </w:p>
          <w:p>
            <w:pPr>
              <w:widowControl/>
              <w:numPr>
                <w:ilvl w:val="0"/>
                <w:numId w:val="1"/>
              </w:numPr>
              <w:jc w:val="left"/>
              <w:rPr>
                <w:rFonts w:hint="default" w:ascii="宋体" w:hAnsi="宋体" w:cs="Times New Roman"/>
                <w:kern w:val="0"/>
                <w:lang w:val="en-US" w:eastAsia="zh-CN"/>
              </w:rPr>
            </w:pPr>
            <w:r>
              <w:rPr>
                <w:rFonts w:hint="eastAsia" w:ascii="宋体" w:hAnsi="宋体" w:cs="Times New Roman"/>
                <w:kern w:val="0"/>
                <w:lang w:val="en-US" w:eastAsia="zh-CN"/>
              </w:rPr>
              <w:t>年初预算项目设置不规范，概念混淆导致过渡费发放执行率较低。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204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6908" w:type="dxa"/>
            <w:gridSpan w:val="5"/>
            <w:noWrap w:val="0"/>
            <w:vAlign w:val="center"/>
          </w:tcPr>
          <w:p>
            <w:pPr>
              <w:tabs>
                <w:tab w:val="left" w:pos="696"/>
              </w:tabs>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bCs/>
                <w:sz w:val="21"/>
                <w:szCs w:val="21"/>
                <w:lang w:val="en-US" w:eastAsia="zh-CN"/>
              </w:rPr>
              <w:t>.</w:t>
            </w:r>
            <w:r>
              <w:rPr>
                <w:rFonts w:hint="eastAsia" w:ascii="宋体" w:hAnsi="宋体" w:cs="宋体"/>
                <w:b w:val="0"/>
                <w:bCs w:val="0"/>
                <w:sz w:val="21"/>
                <w:szCs w:val="21"/>
                <w:lang w:val="en-US" w:eastAsia="zh-CN"/>
              </w:rPr>
              <w:t>完善搬迁合同，推进测量、评估审计工作，尽快将过渡费发放到位。</w:t>
            </w:r>
          </w:p>
          <w:p>
            <w:pPr>
              <w:tabs>
                <w:tab w:val="left" w:pos="696"/>
              </w:tabs>
              <w:rPr>
                <w:rFonts w:hint="eastAsia" w:ascii="宋体" w:hAnsi="宋体" w:cs="宋体"/>
                <w:b w:val="0"/>
                <w:bCs w:val="0"/>
                <w:sz w:val="21"/>
                <w:szCs w:val="21"/>
                <w:lang w:val="en-US" w:eastAsia="zh-CN"/>
              </w:rPr>
            </w:pPr>
            <w:r>
              <w:rPr>
                <w:rFonts w:hint="eastAsia" w:ascii="宋体" w:hAnsi="宋体" w:cs="Times New Roman"/>
                <w:kern w:val="0"/>
                <w:lang w:val="en-US" w:eastAsia="zh-CN"/>
              </w:rPr>
              <w:t>2</w:t>
            </w:r>
            <w:r>
              <w:rPr>
                <w:rFonts w:hint="eastAsia" w:ascii="宋体" w:hAnsi="宋体" w:cs="宋体"/>
                <w:b w:val="0"/>
                <w:bCs w:val="0"/>
                <w:sz w:val="21"/>
                <w:szCs w:val="21"/>
                <w:lang w:val="en-US" w:eastAsia="zh-CN"/>
              </w:rPr>
              <w:t>.加强资金管理，合理安排预算，规范适应资金渠道。</w:t>
            </w:r>
          </w:p>
          <w:p>
            <w:pPr>
              <w:tabs>
                <w:tab w:val="left" w:pos="696"/>
              </w:tabs>
              <w:rPr>
                <w:rFonts w:hint="default" w:ascii="宋体" w:hAnsi="宋体" w:cs="Times New Roman"/>
                <w:kern w:val="0"/>
                <w:lang w:val="en-US" w:eastAsia="zh-CN"/>
              </w:rPr>
            </w:pPr>
            <w:r>
              <w:rPr>
                <w:rFonts w:hint="eastAsia" w:ascii="宋体" w:hAnsi="宋体" w:cs="宋体"/>
                <w:b w:val="0"/>
                <w:bCs w:val="0"/>
                <w:sz w:val="21"/>
                <w:szCs w:val="21"/>
                <w:lang w:val="en-US" w:eastAsia="zh-CN"/>
              </w:rPr>
              <w:t>3.提高绩效目标</w:t>
            </w:r>
            <w:r>
              <w:rPr>
                <w:rFonts w:hint="eastAsia" w:ascii="宋体" w:hAnsi="宋体" w:cs="宋体"/>
                <w:b w:val="0"/>
                <w:bCs w:val="0"/>
                <w:sz w:val="21"/>
                <w:szCs w:val="21"/>
                <w:lang w:val="zh-CN" w:eastAsia="zh-CN"/>
              </w:rPr>
              <w:t>绩效管理意识。</w:t>
            </w:r>
            <w:r>
              <w:rPr>
                <w:rFonts w:hint="eastAsia" w:ascii="宋体" w:hAnsi="宋体" w:cs="宋体"/>
                <w:b w:val="0"/>
                <w:bCs w:val="0"/>
                <w:sz w:val="21"/>
                <w:szCs w:val="21"/>
                <w:lang w:val="en-US" w:eastAsia="zh-CN"/>
              </w:rPr>
              <w:t>统一预算支出与绩效目标的统一，</w:t>
            </w:r>
            <w:r>
              <w:rPr>
                <w:rFonts w:hint="eastAsia" w:ascii="宋体" w:hAnsi="宋体" w:cs="宋体"/>
                <w:b w:val="0"/>
                <w:bCs w:val="0"/>
                <w:sz w:val="21"/>
                <w:szCs w:val="21"/>
                <w:lang w:val="zh-CN" w:eastAsia="zh-CN"/>
              </w:rPr>
              <w:t>以便加强预算执行分析，强化财务监控，强化预算刚性约束；</w:t>
            </w:r>
            <w:r>
              <w:rPr>
                <w:rFonts w:hint="eastAsia" w:ascii="宋体" w:hAnsi="宋体" w:cs="宋体"/>
                <w:b w:val="0"/>
                <w:bCs w:val="0"/>
                <w:sz w:val="21"/>
                <w:szCs w:val="21"/>
                <w:lang w:val="en-US" w:eastAsia="zh-CN"/>
              </w:rPr>
              <w:t>绩效指标变动时要及时更改，实施动态管理，</w:t>
            </w:r>
            <w:r>
              <w:rPr>
                <w:rFonts w:hint="eastAsia" w:ascii="宋体" w:hAnsi="宋体" w:cs="宋体"/>
                <w:b w:val="0"/>
                <w:bCs w:val="0"/>
                <w:sz w:val="21"/>
                <w:szCs w:val="21"/>
                <w:lang w:val="zh-CN" w:eastAsia="zh-CN"/>
              </w:rPr>
              <w:t>加强绩效考评基础信息档案管理；完善绩效考评制度，提高全员项目绩效考核意识，建立日常跟踪及考评机制，加强内部监督考评。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2040"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6908" w:type="dxa"/>
            <w:gridSpan w:val="5"/>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8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jc w:val="right"/>
              <w:rPr>
                <w:rFonts w:hint="default" w:ascii="宋体" w:hAnsi="宋体" w:cs="Times New Roman"/>
                <w:kern w:val="0"/>
                <w:lang w:val="en-US" w:eastAsia="zh-CN"/>
              </w:rPr>
            </w:pPr>
            <w:r>
              <w:rPr>
                <w:rFonts w:hint="eastAsia" w:ascii="宋体" w:hAnsi="宋体" w:cs="Times New Roman"/>
                <w:kern w:val="0"/>
                <w:lang w:val="en-US" w:eastAsia="zh-CN"/>
              </w:rPr>
              <w:t xml:space="preserve">年   月   日 </w:t>
            </w:r>
          </w:p>
        </w:tc>
      </w:tr>
    </w:tbl>
    <w:p>
      <w:pPr>
        <w:widowControl/>
        <w:rPr>
          <w:rFonts w:ascii="宋体" w:hAnsi="宋体" w:eastAsia="宋体" w:cs="Times New Roman"/>
          <w:kern w:val="0"/>
          <w:sz w:val="22"/>
          <w:szCs w:val="22"/>
        </w:rPr>
      </w:pPr>
      <w:r>
        <w:rPr>
          <w:rFonts w:hint="eastAsia" w:ascii="宋体" w:hAnsi="宋体" w:eastAsia="宋体" w:cs="仿宋_GB2312"/>
          <w:kern w:val="0"/>
          <w:sz w:val="22"/>
          <w:szCs w:val="22"/>
        </w:rPr>
        <w:t>备注：</w:t>
      </w:r>
    </w:p>
    <w:p>
      <w:pPr>
        <w:widowControl/>
        <w:ind w:firstLine="440" w:firstLineChars="200"/>
        <w:rPr>
          <w:rFonts w:ascii="宋体" w:hAnsi="宋体" w:eastAsia="宋体" w:cs="Times New Roman"/>
          <w:kern w:val="0"/>
          <w:sz w:val="22"/>
          <w:szCs w:val="22"/>
        </w:rPr>
      </w:pPr>
      <w:r>
        <w:rPr>
          <w:rFonts w:ascii="宋体" w:hAnsi="宋体" w:eastAsia="宋体" w:cs="仿宋_GB2312"/>
          <w:kern w:val="0"/>
          <w:sz w:val="22"/>
          <w:szCs w:val="22"/>
        </w:rPr>
        <w:t>1.</w:t>
      </w:r>
      <w:r>
        <w:rPr>
          <w:rFonts w:hint="eastAsia" w:ascii="宋体" w:hAnsi="宋体" w:eastAsia="宋体" w:cs="仿宋_GB2312"/>
          <w:kern w:val="0"/>
          <w:sz w:val="22"/>
          <w:szCs w:val="22"/>
        </w:rPr>
        <w:t>预算执行情况口径：预算数为调整后财政资金总额（包括上年结余结转），执行数为资金使用单位财政资金实际支出数。</w:t>
      </w:r>
    </w:p>
    <w:p>
      <w:pPr>
        <w:widowControl/>
        <w:ind w:firstLine="440" w:firstLineChars="200"/>
        <w:rPr>
          <w:rFonts w:ascii="宋体" w:hAnsi="宋体" w:eastAsia="宋体" w:cs="Times New Roman"/>
          <w:kern w:val="0"/>
          <w:sz w:val="22"/>
          <w:szCs w:val="22"/>
        </w:rPr>
      </w:pPr>
      <w:r>
        <w:rPr>
          <w:rFonts w:ascii="宋体" w:hAnsi="宋体" w:eastAsia="宋体" w:cs="仿宋_GB2312"/>
          <w:kern w:val="0"/>
          <w:sz w:val="22"/>
          <w:szCs w:val="22"/>
        </w:rPr>
        <w:t>2.</w:t>
      </w:r>
      <w:r>
        <w:rPr>
          <w:rFonts w:hint="eastAsia" w:ascii="宋体" w:hAnsi="宋体" w:eastAsia="宋体" w:cs="仿宋_GB2312"/>
          <w:kern w:val="0"/>
          <w:sz w:val="22"/>
          <w:szCs w:val="22"/>
        </w:rPr>
        <w:t>定量指标完成数汇总原则：绝对值直接累加计算，相对值按照资金额度加权平均计算。定量指标计分原则：正向指标（即目标值为≥</w:t>
      </w:r>
      <w:r>
        <w:rPr>
          <w:rFonts w:ascii="宋体" w:hAnsi="宋体" w:eastAsia="宋体" w:cs="仿宋_GB2312"/>
          <w:kern w:val="0"/>
          <w:sz w:val="22"/>
          <w:szCs w:val="22"/>
        </w:rPr>
        <w:t>X,</w:t>
      </w:r>
      <w:r>
        <w:rPr>
          <w:rFonts w:hint="eastAsia" w:ascii="宋体" w:hAnsi="宋体" w:eastAsia="宋体" w:cs="仿宋_GB2312"/>
          <w:kern w:val="0"/>
          <w:sz w:val="22"/>
          <w:szCs w:val="22"/>
        </w:rPr>
        <w:t>得分</w:t>
      </w:r>
      <w:r>
        <w:rPr>
          <w:rFonts w:ascii="宋体" w:hAnsi="宋体" w:eastAsia="宋体" w:cs="仿宋_GB2312"/>
          <w:kern w:val="0"/>
          <w:sz w:val="22"/>
          <w:szCs w:val="22"/>
        </w:rPr>
        <w:t>=</w:t>
      </w:r>
      <w:r>
        <w:rPr>
          <w:rFonts w:hint="eastAsia" w:ascii="宋体" w:hAnsi="宋体" w:eastAsia="宋体" w:cs="仿宋_GB2312"/>
          <w:kern w:val="0"/>
          <w:sz w:val="22"/>
          <w:szCs w:val="22"/>
        </w:rPr>
        <w:t>权重</w:t>
      </w:r>
      <w:r>
        <w:rPr>
          <w:rFonts w:ascii="宋体" w:hAnsi="宋体" w:eastAsia="宋体" w:cs="仿宋_GB2312"/>
          <w:kern w:val="0"/>
          <w:sz w:val="22"/>
          <w:szCs w:val="22"/>
        </w:rPr>
        <w:t>*B/A</w:t>
      </w:r>
      <w:r>
        <w:rPr>
          <w:rFonts w:hint="eastAsia" w:ascii="宋体" w:hAnsi="宋体" w:eastAsia="宋体" w:cs="仿宋_GB2312"/>
          <w:kern w:val="0"/>
          <w:sz w:val="22"/>
          <w:szCs w:val="22"/>
        </w:rPr>
        <w:t>），反向指标（即目标值为≤</w:t>
      </w:r>
      <w:r>
        <w:rPr>
          <w:rFonts w:ascii="宋体" w:hAnsi="宋体" w:eastAsia="宋体" w:cs="仿宋_GB2312"/>
          <w:kern w:val="0"/>
          <w:sz w:val="22"/>
          <w:szCs w:val="22"/>
        </w:rPr>
        <w:t>X</w:t>
      </w:r>
      <w:r>
        <w:rPr>
          <w:rFonts w:hint="eastAsia" w:ascii="宋体" w:hAnsi="宋体" w:eastAsia="宋体" w:cs="仿宋_GB2312"/>
          <w:kern w:val="0"/>
          <w:sz w:val="22"/>
          <w:szCs w:val="22"/>
        </w:rPr>
        <w:t>，得分</w:t>
      </w:r>
      <w:r>
        <w:rPr>
          <w:rFonts w:ascii="宋体" w:hAnsi="宋体" w:eastAsia="宋体" w:cs="仿宋_GB2312"/>
          <w:kern w:val="0"/>
          <w:sz w:val="22"/>
          <w:szCs w:val="22"/>
        </w:rPr>
        <w:t>=</w:t>
      </w:r>
      <w:r>
        <w:rPr>
          <w:rFonts w:hint="eastAsia" w:ascii="宋体" w:hAnsi="宋体" w:eastAsia="宋体" w:cs="仿宋_GB2312"/>
          <w:kern w:val="0"/>
          <w:sz w:val="22"/>
          <w:szCs w:val="22"/>
        </w:rPr>
        <w:t>权重</w:t>
      </w:r>
      <w:r>
        <w:rPr>
          <w:rFonts w:ascii="宋体" w:hAnsi="宋体" w:eastAsia="宋体" w:cs="仿宋_GB2312"/>
          <w:kern w:val="0"/>
          <w:sz w:val="22"/>
          <w:szCs w:val="22"/>
        </w:rPr>
        <w:t>*A/B）</w:t>
      </w:r>
      <w:r>
        <w:rPr>
          <w:rFonts w:hint="eastAsia" w:ascii="宋体" w:hAnsi="宋体" w:eastAsia="宋体" w:cs="仿宋_GB2312"/>
          <w:kern w:val="0"/>
          <w:sz w:val="22"/>
          <w:szCs w:val="22"/>
        </w:rPr>
        <w:t>，得分不得突破权重总额。定量指标先汇总完成数，再计算得分。</w:t>
      </w:r>
    </w:p>
    <w:p>
      <w:pPr>
        <w:widowControl/>
        <w:ind w:firstLine="440" w:firstLineChars="200"/>
        <w:rPr>
          <w:rFonts w:hint="eastAsia" w:ascii="宋体" w:hAnsi="宋体" w:eastAsia="宋体" w:cs="仿宋_GB2312"/>
          <w:kern w:val="0"/>
          <w:sz w:val="22"/>
          <w:szCs w:val="22"/>
        </w:rPr>
      </w:pPr>
      <w:r>
        <w:rPr>
          <w:rFonts w:ascii="宋体" w:hAnsi="宋体" w:eastAsia="宋体" w:cs="仿宋_GB2312"/>
          <w:kern w:val="0"/>
          <w:sz w:val="22"/>
          <w:szCs w:val="22"/>
        </w:rPr>
        <w:t>3.</w:t>
      </w:r>
      <w:r>
        <w:rPr>
          <w:rFonts w:hint="eastAsia" w:ascii="宋体" w:hAnsi="宋体" w:eastAsia="宋体" w:cs="仿宋_GB2312"/>
          <w:kern w:val="0"/>
          <w:sz w:val="22"/>
          <w:szCs w:val="22"/>
        </w:rPr>
        <w:t>定性指标计分原则：达成预期指标、部分达成预期指标并具有一定效果、未达成预期指标且效果较差三档，分别按照该指标对应分值区间</w:t>
      </w:r>
      <w:r>
        <w:rPr>
          <w:rFonts w:ascii="宋体" w:hAnsi="宋体" w:eastAsia="宋体" w:cs="仿宋_GB2312"/>
          <w:kern w:val="0"/>
          <w:sz w:val="22"/>
          <w:szCs w:val="22"/>
        </w:rPr>
        <w:t>100-80%</w:t>
      </w:r>
      <w:r>
        <w:rPr>
          <w:rFonts w:hint="eastAsia" w:ascii="宋体" w:hAnsi="宋体" w:eastAsia="宋体" w:cs="仿宋_GB2312"/>
          <w:kern w:val="0"/>
          <w:sz w:val="22"/>
          <w:szCs w:val="22"/>
        </w:rPr>
        <w:t>（含</w:t>
      </w:r>
      <w:r>
        <w:rPr>
          <w:rFonts w:ascii="宋体" w:hAnsi="宋体" w:eastAsia="宋体" w:cs="仿宋_GB2312"/>
          <w:kern w:val="0"/>
          <w:sz w:val="22"/>
          <w:szCs w:val="22"/>
        </w:rPr>
        <w:t>80%</w:t>
      </w:r>
      <w:r>
        <w:rPr>
          <w:rFonts w:hint="eastAsia" w:ascii="宋体" w:hAnsi="宋体" w:eastAsia="宋体" w:cs="仿宋_GB2312"/>
          <w:kern w:val="0"/>
          <w:sz w:val="22"/>
          <w:szCs w:val="22"/>
        </w:rPr>
        <w:t>）、</w:t>
      </w:r>
      <w:r>
        <w:rPr>
          <w:rFonts w:ascii="宋体" w:hAnsi="宋体" w:eastAsia="宋体" w:cs="仿宋_GB2312"/>
          <w:kern w:val="0"/>
          <w:sz w:val="22"/>
          <w:szCs w:val="22"/>
        </w:rPr>
        <w:t>80-50%</w:t>
      </w:r>
      <w:r>
        <w:rPr>
          <w:rFonts w:hint="eastAsia" w:ascii="宋体" w:hAnsi="宋体" w:eastAsia="宋体" w:cs="仿宋_GB2312"/>
          <w:kern w:val="0"/>
          <w:sz w:val="22"/>
          <w:szCs w:val="22"/>
        </w:rPr>
        <w:t>（含</w:t>
      </w:r>
      <w:r>
        <w:rPr>
          <w:rFonts w:ascii="宋体" w:hAnsi="宋体" w:eastAsia="宋体" w:cs="仿宋_GB2312"/>
          <w:kern w:val="0"/>
          <w:sz w:val="22"/>
          <w:szCs w:val="22"/>
        </w:rPr>
        <w:t>50%</w:t>
      </w:r>
      <w:r>
        <w:rPr>
          <w:rFonts w:hint="eastAsia" w:ascii="宋体" w:hAnsi="宋体" w:eastAsia="宋体" w:cs="仿宋_GB2312"/>
          <w:kern w:val="0"/>
          <w:sz w:val="22"/>
          <w:szCs w:val="22"/>
        </w:rPr>
        <w:t>）、</w:t>
      </w:r>
      <w:r>
        <w:rPr>
          <w:rFonts w:ascii="宋体" w:hAnsi="宋体" w:eastAsia="宋体" w:cs="仿宋_GB2312"/>
          <w:kern w:val="0"/>
          <w:sz w:val="22"/>
          <w:szCs w:val="22"/>
        </w:rPr>
        <w:t>50-0</w:t>
      </w:r>
      <w:r>
        <w:rPr>
          <w:rFonts w:hint="eastAsia" w:ascii="宋体" w:hAnsi="宋体" w:eastAsia="宋体" w:cs="仿宋_GB2312"/>
          <w:kern w:val="0"/>
          <w:sz w:val="22"/>
          <w:szCs w:val="22"/>
        </w:rPr>
        <w:t>%合理确定分值。汇总时，以资金额度为权重，对分值进行加权平均计算。</w:t>
      </w:r>
    </w:p>
    <w:p>
      <w:pPr>
        <w:widowControl/>
        <w:ind w:firstLine="440" w:firstLineChars="200"/>
        <w:rPr>
          <w:rFonts w:hint="eastAsia" w:ascii="宋体" w:hAnsi="宋体" w:eastAsia="宋体" w:cs="仿宋_GB2312"/>
          <w:kern w:val="0"/>
          <w:sz w:val="22"/>
          <w:szCs w:val="22"/>
        </w:rPr>
      </w:pPr>
      <w:r>
        <w:rPr>
          <w:rFonts w:hint="eastAsia" w:ascii="宋体" w:hAnsi="宋体" w:eastAsia="宋体" w:cs="仿宋_GB2312"/>
          <w:kern w:val="0"/>
          <w:sz w:val="22"/>
          <w:szCs w:val="22"/>
        </w:rPr>
        <w:t>4.基于经济性和必要性等因素考虑，满意度指标暂可不作为必评指标。</w:t>
      </w:r>
    </w:p>
    <w:p>
      <w:pPr>
        <w:widowControl/>
        <w:shd w:val="clear" w:color="auto" w:fill="auto"/>
        <w:spacing w:line="432" w:lineRule="atLeast"/>
        <w:jc w:val="center"/>
        <w:rPr>
          <w:rFonts w:hint="eastAsia" w:ascii="方正小标宋简体" w:hAnsi="方正小标宋简体" w:eastAsia="方正小标宋简体" w:cs="方正小标宋简体"/>
          <w:color w:val="000000"/>
          <w:kern w:val="0"/>
          <w:sz w:val="40"/>
          <w:szCs w:val="40"/>
          <w:lang w:val="en-US" w:eastAsia="zh-CN"/>
        </w:rPr>
      </w:pPr>
    </w:p>
    <w:p>
      <w:pPr>
        <w:widowControl/>
        <w:shd w:val="clear" w:color="auto" w:fill="auto"/>
        <w:spacing w:line="432" w:lineRule="atLeast"/>
        <w:jc w:val="center"/>
        <w:rPr>
          <w:rFonts w:hint="eastAsia" w:ascii="方正小标宋简体" w:hAnsi="方正小标宋简体" w:eastAsia="方正小标宋简体" w:cs="方正小标宋简体"/>
          <w:color w:val="000000"/>
          <w:kern w:val="0"/>
          <w:sz w:val="40"/>
          <w:szCs w:val="40"/>
          <w:lang w:val="en-US" w:eastAsia="zh-CN"/>
        </w:rPr>
      </w:pPr>
    </w:p>
    <w:p>
      <w:pPr>
        <w:widowControl/>
        <w:shd w:val="clear" w:color="auto" w:fill="auto"/>
        <w:spacing w:line="432" w:lineRule="atLeast"/>
        <w:jc w:val="center"/>
        <w:rPr>
          <w:rFonts w:hint="default" w:ascii="方正小标宋简体" w:hAnsi="方正小标宋简体" w:eastAsia="方正小标宋简体" w:cs="方正小标宋简体"/>
          <w:color w:val="000000"/>
          <w:kern w:val="0"/>
          <w:sz w:val="40"/>
          <w:szCs w:val="40"/>
          <w:lang w:val="en-US" w:eastAsia="zh-CN"/>
        </w:rPr>
      </w:pPr>
      <w:r>
        <w:rPr>
          <w:rFonts w:hint="eastAsia" w:ascii="方正小标宋简体" w:hAnsi="方正小标宋简体" w:eastAsia="方正小标宋简体" w:cs="方正小标宋简体"/>
          <w:color w:val="000000"/>
          <w:kern w:val="0"/>
          <w:sz w:val="40"/>
          <w:szCs w:val="40"/>
          <w:lang w:val="en-US" w:eastAsia="zh-CN"/>
        </w:rPr>
        <w:t>2020年度拆迁过渡项目自评结果</w:t>
      </w:r>
    </w:p>
    <w:p>
      <w:pPr>
        <w:widowControl/>
        <w:spacing w:line="560" w:lineRule="exact"/>
        <w:jc w:val="center"/>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（摘要版）</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10"/>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default" w:ascii="仿宋" w:hAnsi="仿宋" w:eastAsia="仿宋" w:cs="仿宋"/>
          <w:color w:val="000000"/>
          <w:spacing w:val="0"/>
          <w:w w:val="100"/>
          <w:kern w:val="2"/>
          <w:position w:val="0"/>
          <w:sz w:val="32"/>
          <w:szCs w:val="32"/>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3337"/>
        <w:gridCol w:w="1491"/>
        <w:gridCol w:w="1510"/>
        <w:gridCol w:w="1592"/>
      </w:tblGrid>
      <w:tr>
        <w:tblPrEx>
          <w:tblCellMar>
            <w:top w:w="0" w:type="dxa"/>
            <w:left w:w="10" w:type="dxa"/>
            <w:bottom w:w="0" w:type="dxa"/>
            <w:right w:w="10" w:type="dxa"/>
          </w:tblCellMar>
        </w:tblPrEx>
        <w:trPr>
          <w:trHeight w:val="499"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CN" w:bidi="zh-TW"/>
              </w:rPr>
              <w:t>自评</w:t>
            </w: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项目</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权重</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评级分值</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本项得分</w:t>
            </w:r>
          </w:p>
        </w:tc>
      </w:tr>
      <w:tr>
        <w:tblPrEx>
          <w:tblCellMar>
            <w:top w:w="0" w:type="dxa"/>
            <w:left w:w="10" w:type="dxa"/>
            <w:bottom w:w="0" w:type="dxa"/>
            <w:right w:w="10" w:type="dxa"/>
          </w:tblCellMar>
        </w:tblPrEx>
        <w:trPr>
          <w:trHeight w:val="490"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预算执行情况</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20%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20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7.03</w:t>
            </w:r>
          </w:p>
        </w:tc>
      </w:tr>
      <w:tr>
        <w:tblPrEx>
          <w:tblCellMar>
            <w:top w:w="0" w:type="dxa"/>
            <w:left w:w="10" w:type="dxa"/>
            <w:bottom w:w="0" w:type="dxa"/>
            <w:right w:w="10" w:type="dxa"/>
          </w:tblCellMar>
        </w:tblPrEx>
        <w:trPr>
          <w:trHeight w:val="494"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项目产出</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40%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40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29.83</w:t>
            </w:r>
          </w:p>
        </w:tc>
      </w:tr>
      <w:tr>
        <w:tblPrEx>
          <w:tblCellMar>
            <w:top w:w="0" w:type="dxa"/>
            <w:left w:w="10" w:type="dxa"/>
            <w:bottom w:w="0" w:type="dxa"/>
            <w:right w:w="10" w:type="dxa"/>
          </w:tblCellMar>
        </w:tblPrEx>
        <w:trPr>
          <w:trHeight w:val="490"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项目效益</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30%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30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560" w:firstLineChars="200"/>
              <w:jc w:val="both"/>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30</w:t>
            </w:r>
          </w:p>
        </w:tc>
      </w:tr>
      <w:tr>
        <w:tblPrEx>
          <w:tblCellMar>
            <w:top w:w="0" w:type="dxa"/>
            <w:left w:w="10" w:type="dxa"/>
            <w:bottom w:w="0" w:type="dxa"/>
            <w:right w:w="10" w:type="dxa"/>
          </w:tblCellMar>
        </w:tblPrEx>
        <w:trPr>
          <w:trHeight w:val="490"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项目满意度</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38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10%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10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10</w:t>
            </w:r>
          </w:p>
        </w:tc>
      </w:tr>
      <w:tr>
        <w:tblPrEx>
          <w:tblCellMar>
            <w:top w:w="0" w:type="dxa"/>
            <w:left w:w="10" w:type="dxa"/>
            <w:bottom w:w="0" w:type="dxa"/>
            <w:right w:w="10" w:type="dxa"/>
          </w:tblCellMar>
        </w:tblPrEx>
        <w:trPr>
          <w:trHeight w:val="504" w:hRule="exact"/>
          <w:jc w:val="center"/>
        </w:trPr>
        <w:tc>
          <w:tcPr>
            <w:tcW w:w="33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综合绩效</w:t>
            </w:r>
          </w:p>
        </w:tc>
        <w:tc>
          <w:tcPr>
            <w:tcW w:w="149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100%</w:t>
            </w:r>
          </w:p>
        </w:tc>
        <w:tc>
          <w:tcPr>
            <w:tcW w:w="15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28"/>
                <w:szCs w:val="28"/>
                <w:highlight w:val="none"/>
                <w:u w:val="none"/>
                <w:shd w:val="clear" w:color="auto" w:fill="auto"/>
                <w:lang w:val="zh-TW" w:eastAsia="zh-TW" w:bidi="zh-TW"/>
              </w:rPr>
            </w:pPr>
            <w:r>
              <w:rPr>
                <w:rFonts w:hint="eastAsia" w:ascii="仿宋" w:hAnsi="仿宋" w:eastAsia="仿宋" w:cs="仿宋"/>
                <w:color w:val="000000"/>
                <w:spacing w:val="0"/>
                <w:w w:val="100"/>
                <w:position w:val="0"/>
                <w:sz w:val="28"/>
                <w:szCs w:val="28"/>
                <w:highlight w:val="none"/>
                <w:u w:val="none"/>
                <w:shd w:val="clear" w:color="auto" w:fill="auto"/>
                <w:lang w:val="zh-TW" w:eastAsia="zh-TW" w:bidi="zh-TW"/>
              </w:rPr>
              <w:t>100</w:t>
            </w:r>
          </w:p>
        </w:tc>
        <w:tc>
          <w:tcPr>
            <w:tcW w:w="15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color w:val="000000"/>
                <w:spacing w:val="0"/>
                <w:w w:val="10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position w:val="0"/>
                <w:sz w:val="28"/>
                <w:szCs w:val="28"/>
                <w:highlight w:val="none"/>
                <w:u w:val="none"/>
                <w:shd w:val="clear" w:color="auto" w:fill="auto"/>
                <w:lang w:val="en-US" w:eastAsia="zh-CN" w:bidi="zh-TW"/>
              </w:rPr>
              <w:t>76.86</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10"/>
        <w:keepNext w:val="0"/>
        <w:keepLines w:val="0"/>
        <w:pageBreakBefore w:val="0"/>
        <w:widowControl w:val="0"/>
        <w:numPr>
          <w:ilvl w:val="0"/>
          <w:numId w:val="0"/>
        </w:numPr>
        <w:shd w:val="clear" w:color="auto" w:fill="auto"/>
        <w:tabs>
          <w:tab w:val="left" w:pos="819"/>
        </w:tabs>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仿宋" w:hAnsi="仿宋" w:eastAsia="仿宋" w:cs="仿宋"/>
          <w:color w:val="000000"/>
          <w:spacing w:val="0"/>
          <w:w w:val="100"/>
          <w:position w:val="0"/>
          <w:sz w:val="32"/>
          <w:szCs w:val="32"/>
          <w:highlight w:val="none"/>
        </w:rPr>
      </w:pPr>
      <w:r>
        <w:rPr>
          <w:rFonts w:hint="eastAsia" w:ascii="仿宋" w:hAnsi="仿宋" w:eastAsia="仿宋" w:cs="仿宋"/>
          <w:color w:val="000000"/>
          <w:spacing w:val="0"/>
          <w:w w:val="100"/>
          <w:position w:val="0"/>
          <w:sz w:val="32"/>
          <w:szCs w:val="32"/>
          <w:highlight w:val="none"/>
        </w:rPr>
        <w:t>该专项资金项目</w:t>
      </w:r>
      <w:r>
        <w:rPr>
          <w:rFonts w:hint="eastAsia" w:ascii="仿宋" w:hAnsi="仿宋" w:eastAsia="仿宋" w:cs="仿宋"/>
          <w:color w:val="000000"/>
          <w:spacing w:val="0"/>
          <w:w w:val="100"/>
          <w:position w:val="0"/>
          <w:sz w:val="32"/>
          <w:szCs w:val="32"/>
          <w:highlight w:val="none"/>
          <w:lang w:val="en-US" w:eastAsia="zh-CN"/>
        </w:rPr>
        <w:t>主要用于退地搬迁过渡费、生活费、拆迁补偿费项目资金</w:t>
      </w:r>
      <w:r>
        <w:rPr>
          <w:rFonts w:hint="eastAsia" w:ascii="仿宋" w:hAnsi="仿宋" w:eastAsia="仿宋" w:cs="仿宋"/>
          <w:color w:val="000000"/>
          <w:spacing w:val="0"/>
          <w:w w:val="100"/>
          <w:position w:val="0"/>
          <w:sz w:val="32"/>
          <w:szCs w:val="32"/>
          <w:highlight w:val="none"/>
        </w:rPr>
        <w:t>。20</w:t>
      </w:r>
      <w:r>
        <w:rPr>
          <w:rFonts w:hint="eastAsia" w:ascii="仿宋" w:hAnsi="仿宋" w:eastAsia="仿宋" w:cs="仿宋"/>
          <w:color w:val="000000"/>
          <w:spacing w:val="0"/>
          <w:w w:val="100"/>
          <w:position w:val="0"/>
          <w:sz w:val="32"/>
          <w:szCs w:val="32"/>
          <w:highlight w:val="none"/>
          <w:lang w:val="en-US" w:eastAsia="zh-CN"/>
        </w:rPr>
        <w:t>20</w:t>
      </w:r>
      <w:r>
        <w:rPr>
          <w:rFonts w:hint="eastAsia" w:ascii="仿宋" w:hAnsi="仿宋" w:eastAsia="仿宋" w:cs="仿宋"/>
          <w:color w:val="000000"/>
          <w:spacing w:val="0"/>
          <w:w w:val="100"/>
          <w:position w:val="0"/>
          <w:sz w:val="32"/>
          <w:szCs w:val="32"/>
          <w:highlight w:val="none"/>
        </w:rPr>
        <w:t>年项目年初预算为</w:t>
      </w:r>
      <w:r>
        <w:rPr>
          <w:rFonts w:hint="eastAsia" w:ascii="仿宋" w:hAnsi="仿宋" w:eastAsia="仿宋" w:cs="仿宋"/>
          <w:color w:val="000000"/>
          <w:spacing w:val="0"/>
          <w:w w:val="100"/>
          <w:position w:val="0"/>
          <w:sz w:val="32"/>
          <w:szCs w:val="32"/>
          <w:highlight w:val="none"/>
          <w:lang w:val="en-US" w:eastAsia="zh-CN"/>
        </w:rPr>
        <w:t>2326</w:t>
      </w:r>
      <w:r>
        <w:rPr>
          <w:rFonts w:hint="eastAsia" w:ascii="仿宋" w:hAnsi="仿宋" w:eastAsia="仿宋" w:cs="仿宋"/>
          <w:color w:val="000000"/>
          <w:spacing w:val="0"/>
          <w:w w:val="100"/>
          <w:position w:val="0"/>
          <w:sz w:val="32"/>
          <w:szCs w:val="32"/>
          <w:highlight w:val="none"/>
        </w:rPr>
        <w:t>万元，实际支出</w:t>
      </w:r>
      <w:r>
        <w:rPr>
          <w:rFonts w:hint="eastAsia" w:ascii="仿宋" w:hAnsi="仿宋" w:eastAsia="仿宋" w:cs="仿宋"/>
          <w:color w:val="000000"/>
          <w:spacing w:val="0"/>
          <w:w w:val="100"/>
          <w:position w:val="0"/>
          <w:sz w:val="32"/>
          <w:szCs w:val="32"/>
          <w:highlight w:val="none"/>
          <w:lang w:val="en-US" w:eastAsia="zh-CN"/>
        </w:rPr>
        <w:t>817.99</w:t>
      </w:r>
      <w:r>
        <w:rPr>
          <w:rFonts w:hint="eastAsia" w:ascii="仿宋" w:hAnsi="仿宋" w:eastAsia="仿宋" w:cs="仿宋"/>
          <w:color w:val="000000"/>
          <w:spacing w:val="0"/>
          <w:w w:val="100"/>
          <w:position w:val="0"/>
          <w:sz w:val="32"/>
          <w:szCs w:val="32"/>
          <w:highlight w:val="none"/>
        </w:rPr>
        <w:t>万元，预算执行率为</w:t>
      </w:r>
      <w:r>
        <w:rPr>
          <w:rFonts w:hint="eastAsia" w:ascii="仿宋" w:hAnsi="仿宋" w:eastAsia="仿宋" w:cs="仿宋"/>
          <w:color w:val="000000"/>
          <w:spacing w:val="0"/>
          <w:w w:val="100"/>
          <w:position w:val="0"/>
          <w:sz w:val="32"/>
          <w:szCs w:val="32"/>
          <w:highlight w:val="none"/>
          <w:lang w:val="en-US" w:eastAsia="zh-CN"/>
        </w:rPr>
        <w:t>35.17</w:t>
      </w:r>
      <w:r>
        <w:rPr>
          <w:rFonts w:hint="eastAsia" w:ascii="仿宋" w:hAnsi="仿宋" w:eastAsia="仿宋" w:cs="仿宋"/>
          <w:color w:val="000000"/>
          <w:spacing w:val="0"/>
          <w:w w:val="100"/>
          <w:position w:val="0"/>
          <w:sz w:val="32"/>
          <w:szCs w:val="32"/>
          <w:highlight w:val="none"/>
          <w:lang w:val="en-US" w:eastAsia="en-US"/>
        </w:rPr>
        <w:t>%</w:t>
      </w:r>
      <w:r>
        <w:rPr>
          <w:rFonts w:hint="eastAsia" w:ascii="仿宋" w:hAnsi="仿宋" w:eastAsia="仿宋" w:cs="仿宋"/>
          <w:color w:val="000000"/>
          <w:spacing w:val="0"/>
          <w:w w:val="100"/>
          <w:position w:val="0"/>
          <w:sz w:val="32"/>
          <w:szCs w:val="32"/>
          <w:highlight w:val="none"/>
          <w:lang w:val="en-US" w:eastAsia="zh-CN"/>
        </w:rPr>
        <w:t>，</w:t>
      </w:r>
      <w:r>
        <w:rPr>
          <w:rFonts w:hint="eastAsia" w:ascii="仿宋" w:hAnsi="仿宋" w:eastAsia="仿宋" w:cs="仿宋"/>
          <w:color w:val="000000"/>
          <w:spacing w:val="0"/>
          <w:w w:val="100"/>
          <w:position w:val="0"/>
          <w:sz w:val="32"/>
          <w:szCs w:val="32"/>
          <w:highlight w:val="none"/>
        </w:rPr>
        <w:t>基准分值</w:t>
      </w:r>
      <w:r>
        <w:rPr>
          <w:rFonts w:hint="eastAsia" w:ascii="仿宋" w:hAnsi="仿宋" w:eastAsia="仿宋" w:cs="仿宋"/>
          <w:color w:val="000000"/>
          <w:spacing w:val="0"/>
          <w:w w:val="100"/>
          <w:position w:val="0"/>
          <w:sz w:val="32"/>
          <w:szCs w:val="32"/>
          <w:highlight w:val="none"/>
          <w:lang w:val="en-US" w:eastAsia="zh-CN"/>
        </w:rPr>
        <w:t>20分，得分7.03分。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0"/>
        <w:gridCol w:w="2264"/>
        <w:gridCol w:w="1554"/>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40"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二级指标</w:t>
            </w:r>
          </w:p>
        </w:tc>
        <w:tc>
          <w:tcPr>
            <w:tcW w:w="2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三级指标</w:t>
            </w:r>
          </w:p>
        </w:tc>
        <w:tc>
          <w:tcPr>
            <w:tcW w:w="155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年初目标值（A）</w:t>
            </w:r>
          </w:p>
        </w:tc>
        <w:tc>
          <w:tcPr>
            <w:tcW w:w="13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实际完成值（B）</w:t>
            </w:r>
          </w:p>
        </w:tc>
        <w:tc>
          <w:tcPr>
            <w:tcW w:w="877"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成本指标</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264"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费用增加率（</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w:t>
            </w:r>
          </w:p>
        </w:tc>
        <w:tc>
          <w:tcPr>
            <w:tcW w:w="1554"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c>
          <w:tcPr>
            <w:tcW w:w="1319"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0%</w:t>
            </w:r>
          </w:p>
        </w:tc>
        <w:tc>
          <w:tcPr>
            <w:tcW w:w="877" w:type="dxa"/>
            <w:noWrap w:val="0"/>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zh-TW" w:eastAsia="zh-CN" w:bidi="zh-TW"/>
              </w:rPr>
              <w:t>经济效益指标（</w:t>
            </w: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10分</w:t>
            </w:r>
            <w:r>
              <w:rPr>
                <w:rFonts w:hint="eastAsia" w:ascii="仿宋" w:hAnsi="仿宋" w:eastAsia="仿宋" w:cs="仿宋"/>
                <w:color w:val="000000"/>
                <w:spacing w:val="0"/>
                <w:w w:val="100"/>
                <w:position w:val="0"/>
                <w:sz w:val="22"/>
                <w:szCs w:val="22"/>
                <w:highlight w:val="none"/>
                <w:u w:val="none"/>
                <w:shd w:val="clear" w:color="auto" w:fill="auto"/>
                <w:lang w:val="zh-TW" w:eastAsia="zh-CN" w:bidi="zh-TW"/>
              </w:rPr>
              <w:t>）</w:t>
            </w:r>
          </w:p>
        </w:tc>
        <w:tc>
          <w:tcPr>
            <w:tcW w:w="2264"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zh-TW" w:eastAsia="zh-CN" w:bidi="zh-TW"/>
              </w:rPr>
              <w:t>对经济的发展（</w:t>
            </w: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10分</w:t>
            </w:r>
            <w:r>
              <w:rPr>
                <w:rFonts w:hint="eastAsia" w:ascii="仿宋" w:hAnsi="仿宋" w:eastAsia="仿宋" w:cs="仿宋"/>
                <w:color w:val="000000"/>
                <w:spacing w:val="0"/>
                <w:w w:val="100"/>
                <w:position w:val="0"/>
                <w:sz w:val="22"/>
                <w:szCs w:val="22"/>
                <w:highlight w:val="none"/>
                <w:u w:val="none"/>
                <w:shd w:val="clear" w:color="auto" w:fill="auto"/>
                <w:lang w:val="zh-TW" w:eastAsia="zh-CN" w:bidi="zh-TW"/>
              </w:rPr>
              <w:t>）</w:t>
            </w:r>
          </w:p>
        </w:tc>
        <w:tc>
          <w:tcPr>
            <w:tcW w:w="1554" w:type="dxa"/>
            <w:vAlign w:val="center"/>
          </w:tcPr>
          <w:p>
            <w:pPr>
              <w:widowControl/>
              <w:shd w:val="clear" w:color="auto" w:fill="auto"/>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vAlign w:val="center"/>
          </w:tcPr>
          <w:p>
            <w:pPr>
              <w:widowControl/>
              <w:shd w:val="clear" w:color="auto" w:fill="auto"/>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vAlign w:val="center"/>
          </w:tcPr>
          <w:p>
            <w:pPr>
              <w:widowControl/>
              <w:shd w:val="clear" w:color="auto" w:fill="auto"/>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社会效益指标（15分）</w:t>
            </w:r>
          </w:p>
        </w:tc>
        <w:tc>
          <w:tcPr>
            <w:tcW w:w="2264"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社会稳定（10分）</w:t>
            </w:r>
          </w:p>
        </w:tc>
        <w:tc>
          <w:tcPr>
            <w:tcW w:w="1554" w:type="dxa"/>
            <w:vAlign w:val="center"/>
          </w:tcPr>
          <w:p>
            <w:pPr>
              <w:widowControl/>
              <w:shd w:val="clear" w:color="auto" w:fill="auto"/>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vAlign w:val="center"/>
          </w:tcPr>
          <w:p>
            <w:pPr>
              <w:widowControl/>
              <w:shd w:val="clear" w:color="auto" w:fill="auto"/>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社会效益指标（15分）</w:t>
            </w:r>
          </w:p>
        </w:tc>
        <w:tc>
          <w:tcPr>
            <w:tcW w:w="2264" w:type="dxa"/>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政府公信力（10分）</w:t>
            </w:r>
          </w:p>
        </w:tc>
        <w:tc>
          <w:tcPr>
            <w:tcW w:w="1554" w:type="dxa"/>
            <w:vAlign w:val="center"/>
          </w:tcPr>
          <w:p>
            <w:pPr>
              <w:widowControl/>
              <w:shd w:val="clear" w:color="auto" w:fill="auto"/>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9" w:type="dxa"/>
            <w:vAlign w:val="center"/>
          </w:tcPr>
          <w:p>
            <w:pPr>
              <w:widowControl/>
              <w:shd w:val="clear" w:color="auto" w:fill="auto"/>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77" w:type="dxa"/>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0"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受益对象满意度指标（10分）</w:t>
            </w:r>
          </w:p>
        </w:tc>
        <w:tc>
          <w:tcPr>
            <w:tcW w:w="2264"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受益对象满意度（10分）</w:t>
            </w:r>
          </w:p>
        </w:tc>
        <w:tc>
          <w:tcPr>
            <w:tcW w:w="1554"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≥95%</w:t>
            </w:r>
          </w:p>
        </w:tc>
        <w:tc>
          <w:tcPr>
            <w:tcW w:w="1319"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95%</w:t>
            </w:r>
          </w:p>
        </w:tc>
        <w:tc>
          <w:tcPr>
            <w:tcW w:w="877" w:type="dxa"/>
            <w:vAlign w:val="center"/>
          </w:tcPr>
          <w:p>
            <w:pPr>
              <w:widowControl/>
              <w:shd w:val="clear" w:color="auto" w:fill="auto"/>
              <w:snapToGrid w:val="0"/>
              <w:ind w:left="0" w:leftChars="0" w:right="0" w:rightChars="0" w:firstLine="0" w:firstLineChars="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w:t>
            </w:r>
          </w:p>
        </w:tc>
      </w:tr>
    </w:tbl>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6"/>
        <w:gridCol w:w="2452"/>
        <w:gridCol w:w="1466"/>
        <w:gridCol w:w="131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96" w:type="dxa"/>
            <w:noWrap w:val="0"/>
            <w:vAlign w:val="center"/>
          </w:tcPr>
          <w:p>
            <w:pPr>
              <w:widowControl/>
              <w:snapToGrid w:val="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2452"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66"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319"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77"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896" w:type="dxa"/>
            <w:noWrap w:val="0"/>
            <w:vAlign w:val="center"/>
          </w:tcPr>
          <w:p>
            <w:pPr>
              <w:widowControl/>
              <w:snapToGrid w:val="0"/>
              <w:ind w:left="0" w:leftChars="0" w:right="0" w:rightChars="0" w:firstLine="0" w:firstLineChars="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数量指标（10分）</w:t>
            </w:r>
          </w:p>
        </w:tc>
        <w:tc>
          <w:tcPr>
            <w:tcW w:w="2452" w:type="dxa"/>
            <w:noWrap w:val="0"/>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过渡费发放户数</w:t>
            </w:r>
          </w:p>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1466"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449</w:t>
            </w:r>
          </w:p>
        </w:tc>
        <w:tc>
          <w:tcPr>
            <w:tcW w:w="1319"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297</w:t>
            </w:r>
          </w:p>
        </w:tc>
        <w:tc>
          <w:tcPr>
            <w:tcW w:w="877"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96" w:type="dxa"/>
            <w:noWrap w:val="0"/>
            <w:vAlign w:val="center"/>
          </w:tcPr>
          <w:p>
            <w:pPr>
              <w:widowControl/>
              <w:snapToGrid w:val="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w:t>
            </w:r>
          </w:p>
          <w:p>
            <w:pPr>
              <w:widowControl/>
              <w:snapToGrid w:val="0"/>
              <w:ind w:left="0" w:leftChars="0" w:right="0" w:rightChars="0" w:firstLine="0" w:firstLineChars="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2452" w:type="dxa"/>
            <w:noWrap w:val="0"/>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过渡费发放率（10分）</w:t>
            </w:r>
          </w:p>
        </w:tc>
        <w:tc>
          <w:tcPr>
            <w:tcW w:w="1466"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大于99%</w:t>
            </w:r>
          </w:p>
        </w:tc>
        <w:tc>
          <w:tcPr>
            <w:tcW w:w="1319"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66.15%</w:t>
            </w:r>
          </w:p>
        </w:tc>
        <w:tc>
          <w:tcPr>
            <w:tcW w:w="877"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896" w:type="dxa"/>
            <w:noWrap w:val="0"/>
            <w:vAlign w:val="center"/>
          </w:tcPr>
          <w:p>
            <w:pPr>
              <w:widowControl/>
              <w:snapToGrid w:val="0"/>
              <w:ind w:left="0" w:leftChars="0" w:right="0" w:rightChars="0" w:firstLine="0" w:firstLineChars="0"/>
              <w:jc w:val="left"/>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时效指标（10分）</w:t>
            </w:r>
          </w:p>
        </w:tc>
        <w:tc>
          <w:tcPr>
            <w:tcW w:w="2452" w:type="dxa"/>
            <w:noWrap w:val="0"/>
            <w:vAlign w:val="center"/>
          </w:tcPr>
          <w:p>
            <w:pPr>
              <w:widowControl/>
              <w:snapToGrid w:val="0"/>
              <w:ind w:left="0" w:leftChars="0" w:right="0" w:rightChars="0" w:firstLine="0" w:firstLineChars="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发放及时性（10分）</w:t>
            </w:r>
          </w:p>
        </w:tc>
        <w:tc>
          <w:tcPr>
            <w:tcW w:w="1466"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319"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66.15%</w:t>
            </w:r>
          </w:p>
        </w:tc>
        <w:tc>
          <w:tcPr>
            <w:tcW w:w="877" w:type="dxa"/>
            <w:noWrap w:val="0"/>
            <w:vAlign w:val="center"/>
          </w:tcPr>
          <w:p>
            <w:pPr>
              <w:widowControl/>
              <w:snapToGrid w:val="0"/>
              <w:ind w:left="0" w:leftChars="0" w:right="0" w:rightChars="0" w:firstLine="0" w:firstLineChars="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6.61</w:t>
            </w:r>
          </w:p>
        </w:tc>
      </w:tr>
    </w:tbl>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w:t>
      </w:r>
      <w:bookmarkStart w:id="0" w:name="_GoBack"/>
      <w:bookmarkEnd w:id="0"/>
      <w:r>
        <w:rPr>
          <w:rFonts w:hint="eastAsia" w:ascii="楷体" w:hAnsi="楷体" w:eastAsia="楷体" w:cs="楷体"/>
          <w:color w:val="000000"/>
          <w:spacing w:val="0"/>
          <w:w w:val="100"/>
          <w:position w:val="0"/>
          <w:sz w:val="32"/>
          <w:szCs w:val="32"/>
          <w:highlight w:val="none"/>
          <w:lang w:val="en-US" w:eastAsia="zh-CN"/>
        </w:rPr>
        <w:t>存在的问题及原因</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①因陈家冲小区还建房分两期建设，一期在2017年建成完毕，二期在2019年才建成，另外搬迁合同未完善，导致过渡费发放不及时。</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②绩效管理水平有待提高，项目执行过程中有效约束力不够。</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default" w:ascii="仿宋" w:hAnsi="仿宋" w:eastAsia="仿宋" w:cs="仿宋"/>
          <w:color w:val="000000"/>
          <w:spacing w:val="0"/>
          <w:w w:val="100"/>
          <w:position w:val="0"/>
          <w:sz w:val="28"/>
          <w:szCs w:val="28"/>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③年初预算项目不规范，概念混淆导致过渡费发放执行率较低。</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3下一步拟改进措施</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②加强资金管理，合理安排预算，规范适应资金渠道。</w:t>
      </w:r>
    </w:p>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zh-CN"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③提高绩效目标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以便加强预算执行分析，强化财务监控，强化预算刚性约束；</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绩效指标变动时要及时更改，实施动态管理，</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加强绩效考评基础信息档案管理；完善绩效考评制度，提高全员项目绩效考核意识，建立日常跟踪及考评机制，加强内部监督考评。</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sz w:val="36"/>
          <w:szCs w:val="44"/>
          <w:u w:val="singl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pStyle w:val="2"/>
        <w:jc w:val="right"/>
        <w:rPr>
          <w:rFonts w:hint="eastAsia"/>
          <w:lang w:val="en-US" w:eastAsia="zh-CN"/>
        </w:rPr>
      </w:pPr>
    </w:p>
    <w:sectPr>
      <w:footerReference r:id="rId6" w:type="default"/>
      <w:pgSz w:w="11906" w:h="16838"/>
      <w:pgMar w:top="2098" w:right="1474" w:bottom="1984" w:left="1587" w:header="851" w:footer="992" w:gutter="0"/>
      <w:pgNumType w:fmt="numberInDash" w:start="1"/>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5534E1"/>
    <w:multiLevelType w:val="singleLevel"/>
    <w:tmpl w:val="AD5534E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156"/>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84DF6"/>
    <w:rsid w:val="0D6E0B09"/>
    <w:rsid w:val="0EE31234"/>
    <w:rsid w:val="10C97E0B"/>
    <w:rsid w:val="159E68EF"/>
    <w:rsid w:val="195C59F1"/>
    <w:rsid w:val="1AFD3392"/>
    <w:rsid w:val="2E1A4932"/>
    <w:rsid w:val="2E712D21"/>
    <w:rsid w:val="368D1E39"/>
    <w:rsid w:val="43592DDB"/>
    <w:rsid w:val="44261873"/>
    <w:rsid w:val="44B502A6"/>
    <w:rsid w:val="4F584DF6"/>
    <w:rsid w:val="6C1C43DE"/>
    <w:rsid w:val="733F7E01"/>
    <w:rsid w:val="7BE26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10">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1">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2021-07-12T02:34:00Z</dcterms:created>
  <dc:creator>Helen黄</dc:creator>
  <cp:lastModifiedBy>,</cp:lastModifiedBy>
  <dcterms:modified xsi:type="dcterms:W3CDTF">2021-07-26T08:52:33Z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B94EDB786EC04F8A8F4377B707BF337C</vt:lpwstr>
  </property>
</Properties>
</file>