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仿宋" w:hAnsi="仿宋" w:eastAsia="仿宋" w:cs="仿宋"/>
          <w:color w:val="000000"/>
          <w:spacing w:val="0"/>
          <w:w w:val="100"/>
          <w:kern w:val="2"/>
          <w:position w:val="0"/>
          <w:sz w:val="32"/>
          <w:szCs w:val="32"/>
          <w:u w:val="none"/>
          <w:shd w:val="clear" w:color="auto" w:fill="auto"/>
          <w:lang w:val="en-US" w:eastAsia="zh-CN" w:bidi="zh-TW"/>
        </w:rPr>
      </w:pPr>
    </w:p>
    <w:p>
      <w:pPr>
        <w:pStyle w:val="2"/>
        <w:rPr>
          <w:rFonts w:hint="eastAsia" w:ascii="仿宋" w:hAnsi="仿宋" w:eastAsia="仿宋" w:cs="仿宋"/>
          <w:color w:val="000000"/>
          <w:spacing w:val="0"/>
          <w:w w:val="100"/>
          <w:kern w:val="2"/>
          <w:position w:val="0"/>
          <w:sz w:val="32"/>
          <w:szCs w:val="32"/>
          <w:u w:val="none"/>
          <w:shd w:val="clear" w:color="auto" w:fill="auto"/>
          <w:lang w:val="en-US" w:eastAsia="zh-CN" w:bidi="zh-TW"/>
        </w:rPr>
      </w:pPr>
    </w:p>
    <w:p>
      <w:pPr>
        <w:pStyle w:val="2"/>
        <w:rPr>
          <w:rFonts w:hint="eastAsia" w:ascii="方正小标宋简体" w:hAnsi="方正小标宋_GBK" w:eastAsia="方正小标宋简体" w:cs="方正小标宋_GBK"/>
          <w:bCs/>
          <w:spacing w:val="0"/>
          <w:w w:val="100"/>
          <w:kern w:val="2"/>
          <w:position w:val="0"/>
          <w:sz w:val="36"/>
          <w:szCs w:val="44"/>
          <w:shd w:val="clear"/>
          <w:lang w:val="en-US" w:eastAsia="zh-CN" w:bidi="ar-SA"/>
        </w:rPr>
      </w:pPr>
    </w:p>
    <w:p>
      <w:pPr>
        <w:pStyle w:val="2"/>
        <w:rPr>
          <w:rFonts w:hint="eastAsia" w:ascii="方正小标宋简体" w:hAnsi="方正小标宋_GBK" w:eastAsia="方正小标宋简体" w:cs="方正小标宋_GBK"/>
          <w:bCs/>
          <w:spacing w:val="0"/>
          <w:w w:val="100"/>
          <w:kern w:val="2"/>
          <w:position w:val="0"/>
          <w:sz w:val="36"/>
          <w:szCs w:val="44"/>
          <w:shd w:val="clear"/>
          <w:lang w:val="en-US" w:eastAsia="zh-CN" w:bidi="ar-SA"/>
        </w:rPr>
      </w:pPr>
    </w:p>
    <w:p>
      <w:pPr>
        <w:keepNext w:val="0"/>
        <w:keepLines w:val="0"/>
        <w:shd w:val="clear"/>
        <w:bidi w:val="0"/>
        <w:spacing w:before="0" w:after="0" w:line="240" w:lineRule="auto"/>
        <w:ind w:left="0" w:right="0" w:firstLine="0"/>
        <w:jc w:val="center"/>
        <w:rPr>
          <w:rFonts w:hint="eastAsia" w:ascii="方正小标宋简体" w:hAnsi="方正小标宋_GBK" w:eastAsia="方正小标宋简体" w:cs="方正小标宋_GBK"/>
          <w:bCs/>
          <w:spacing w:val="0"/>
          <w:w w:val="100"/>
          <w:kern w:val="2"/>
          <w:position w:val="0"/>
          <w:sz w:val="36"/>
          <w:szCs w:val="44"/>
          <w:shd w:val="clear"/>
          <w:lang w:val="en-US" w:eastAsia="zh-CN" w:bidi="ar-SA"/>
        </w:rPr>
      </w:pPr>
    </w:p>
    <w:p>
      <w:pPr>
        <w:pStyle w:val="6"/>
        <w:keepNext/>
        <w:keepLines/>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Times New Roman" w:hAnsi="Times New Roman" w:eastAsia="方正小标宋简体" w:cs="Times New Roman"/>
          <w:b/>
          <w:bCs/>
          <w:color w:val="000000"/>
          <w:spacing w:val="0"/>
          <w:w w:val="100"/>
          <w:kern w:val="0"/>
          <w:position w:val="0"/>
          <w:sz w:val="36"/>
          <w:szCs w:val="36"/>
          <w:highlight w:val="none"/>
          <w:u w:val="none"/>
          <w:shd w:val="clear" w:color="auto" w:fill="auto"/>
          <w:lang w:val="en-US" w:eastAsia="zh-CN" w:bidi="zh-TW"/>
        </w:rPr>
      </w:pPr>
      <w:bookmarkStart w:id="0" w:name="bookmark0"/>
      <w:bookmarkStart w:id="1" w:name="bookmark2"/>
      <w:bookmarkStart w:id="2" w:name="bookmark1"/>
      <w:r>
        <w:rPr>
          <w:rFonts w:hint="eastAsia" w:ascii="Times New Roman" w:hAnsi="Times New Roman" w:eastAsia="方正小标宋简体" w:cs="Times New Roman"/>
          <w:b/>
          <w:bCs/>
          <w:color w:val="000000"/>
          <w:spacing w:val="0"/>
          <w:w w:val="100"/>
          <w:kern w:val="0"/>
          <w:position w:val="0"/>
          <w:sz w:val="36"/>
          <w:szCs w:val="36"/>
          <w:highlight w:val="none"/>
          <w:u w:val="none"/>
          <w:shd w:val="clear" w:color="auto" w:fill="auto"/>
          <w:lang w:val="en-US" w:eastAsia="zh-CN" w:bidi="zh-TW"/>
        </w:rPr>
        <w:t>2020年度武汉市东西湖区东山街道办事处</w:t>
      </w:r>
    </w:p>
    <w:p>
      <w:pPr>
        <w:pStyle w:val="6"/>
        <w:keepNext/>
        <w:keepLines/>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default" w:ascii="Times New Roman" w:hAnsi="Times New Roman" w:eastAsia="方正小标宋简体" w:cs="Times New Roman"/>
          <w:b/>
          <w:bCs/>
          <w:color w:val="000000"/>
          <w:spacing w:val="0"/>
          <w:w w:val="100"/>
          <w:kern w:val="0"/>
          <w:position w:val="0"/>
          <w:sz w:val="36"/>
          <w:szCs w:val="36"/>
          <w:highlight w:val="none"/>
          <w:u w:val="none"/>
          <w:shd w:val="clear" w:color="auto" w:fill="auto"/>
          <w:lang w:val="en-US" w:eastAsia="zh-CN" w:bidi="zh-TW"/>
        </w:rPr>
      </w:pPr>
      <w:r>
        <w:rPr>
          <w:rFonts w:hint="eastAsia" w:ascii="Times New Roman" w:hAnsi="Times New Roman" w:eastAsia="方正小标宋简体" w:cs="Times New Roman"/>
          <w:b/>
          <w:bCs/>
          <w:color w:val="000000"/>
          <w:spacing w:val="0"/>
          <w:w w:val="100"/>
          <w:kern w:val="0"/>
          <w:position w:val="0"/>
          <w:sz w:val="36"/>
          <w:szCs w:val="36"/>
          <w:highlight w:val="none"/>
          <w:u w:val="none"/>
          <w:shd w:val="clear" w:color="auto" w:fill="auto"/>
          <w:lang w:val="en-US" w:eastAsia="zh-CN" w:bidi="zh-TW"/>
        </w:rPr>
        <w:t>整体绩效自评</w:t>
      </w:r>
      <w:bookmarkEnd w:id="0"/>
      <w:bookmarkEnd w:id="1"/>
      <w:bookmarkEnd w:id="2"/>
      <w:r>
        <w:rPr>
          <w:rFonts w:hint="eastAsia" w:ascii="Times New Roman" w:hAnsi="Times New Roman" w:eastAsia="方正小标宋简体" w:cs="Times New Roman"/>
          <w:b/>
          <w:bCs/>
          <w:color w:val="000000"/>
          <w:spacing w:val="0"/>
          <w:w w:val="100"/>
          <w:kern w:val="0"/>
          <w:position w:val="0"/>
          <w:sz w:val="36"/>
          <w:szCs w:val="36"/>
          <w:highlight w:val="none"/>
          <w:u w:val="none"/>
          <w:shd w:val="clear" w:color="auto" w:fill="auto"/>
          <w:lang w:val="en-US" w:eastAsia="zh-CN" w:bidi="zh-TW"/>
        </w:rPr>
        <w:t>结果</w:t>
      </w:r>
    </w:p>
    <w:p>
      <w:pPr>
        <w:pStyle w:val="7"/>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right="0" w:firstLine="3724" w:firstLineChars="1164"/>
        <w:jc w:val="both"/>
        <w:textAlignment w:val="auto"/>
        <w:rPr>
          <w:rFonts w:hint="eastAsia" w:ascii="Times New Roman" w:hAnsi="Times New Roman" w:eastAsia="楷体" w:cs="Times New Roman"/>
          <w:color w:val="000000"/>
          <w:spacing w:val="0"/>
          <w:w w:val="100"/>
          <w:kern w:val="0"/>
          <w:position w:val="0"/>
          <w:sz w:val="32"/>
          <w:szCs w:val="32"/>
          <w:lang w:val="en-US" w:eastAsia="zh-CN"/>
        </w:rPr>
      </w:pPr>
      <w:r>
        <w:rPr>
          <w:rFonts w:hint="eastAsia" w:ascii="Times New Roman" w:hAnsi="Times New Roman" w:eastAsia="楷体" w:cs="Times New Roman"/>
          <w:color w:val="000000"/>
          <w:spacing w:val="0"/>
          <w:w w:val="100"/>
          <w:kern w:val="0"/>
          <w:position w:val="0"/>
          <w:sz w:val="32"/>
          <w:szCs w:val="32"/>
          <w:lang w:val="en-US" w:eastAsia="zh-CN"/>
        </w:rPr>
        <w:t>（摘要版）</w:t>
      </w:r>
    </w:p>
    <w:p>
      <w:pPr>
        <w:pStyle w:val="7"/>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r>
        <w:rPr>
          <w:rFonts w:hint="eastAsia" w:ascii="黑体" w:hAnsi="黑体" w:eastAsia="黑体" w:cs="黑体"/>
          <w:b w:val="0"/>
          <w:bCs w:val="0"/>
          <w:color w:val="000000"/>
          <w:spacing w:val="0"/>
          <w:w w:val="100"/>
          <w:kern w:val="2"/>
          <w:position w:val="0"/>
          <w:sz w:val="32"/>
          <w:szCs w:val="32"/>
          <w:lang w:val="en-US" w:eastAsia="zh-CN"/>
        </w:rPr>
        <w:t>1自评结论</w:t>
      </w:r>
    </w:p>
    <w:p>
      <w:pPr>
        <w:pStyle w:val="7"/>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1.1自评得分</w:t>
      </w:r>
    </w:p>
    <w:tbl>
      <w:tblPr>
        <w:tblStyle w:val="4"/>
        <w:tblW w:w="0" w:type="auto"/>
        <w:jc w:val="center"/>
        <w:tblLayout w:type="fixed"/>
        <w:tblCellMar>
          <w:top w:w="0" w:type="dxa"/>
          <w:left w:w="10" w:type="dxa"/>
          <w:bottom w:w="0" w:type="dxa"/>
          <w:right w:w="10" w:type="dxa"/>
        </w:tblCellMar>
      </w:tblPr>
      <w:tblGrid>
        <w:gridCol w:w="3080"/>
        <w:gridCol w:w="1515"/>
        <w:gridCol w:w="1695"/>
        <w:gridCol w:w="1684"/>
      </w:tblGrid>
      <w:tr>
        <w:tblPrEx>
          <w:tblCellMar>
            <w:top w:w="0" w:type="dxa"/>
            <w:left w:w="10" w:type="dxa"/>
            <w:bottom w:w="0" w:type="dxa"/>
            <w:right w:w="10" w:type="dxa"/>
          </w:tblCellMar>
        </w:tblPrEx>
        <w:trPr>
          <w:trHeight w:val="499" w:hRule="exact"/>
          <w:jc w:val="center"/>
        </w:trPr>
        <w:tc>
          <w:tcPr>
            <w:tcW w:w="3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评价项目</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权重</w:t>
            </w:r>
          </w:p>
        </w:tc>
        <w:tc>
          <w:tcPr>
            <w:tcW w:w="1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评级分值</w:t>
            </w:r>
          </w:p>
        </w:tc>
        <w:tc>
          <w:tcPr>
            <w:tcW w:w="16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本项得分</w:t>
            </w:r>
          </w:p>
        </w:tc>
      </w:tr>
      <w:tr>
        <w:tblPrEx>
          <w:tblCellMar>
            <w:top w:w="0" w:type="dxa"/>
            <w:left w:w="10" w:type="dxa"/>
            <w:bottom w:w="0" w:type="dxa"/>
            <w:right w:w="10" w:type="dxa"/>
          </w:tblCellMar>
        </w:tblPrEx>
        <w:trPr>
          <w:trHeight w:val="490" w:hRule="exact"/>
          <w:jc w:val="center"/>
        </w:trPr>
        <w:tc>
          <w:tcPr>
            <w:tcW w:w="3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预算执行情况</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w:t>
            </w:r>
          </w:p>
        </w:tc>
        <w:tc>
          <w:tcPr>
            <w:tcW w:w="1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w:t>
            </w:r>
          </w:p>
        </w:tc>
        <w:tc>
          <w:tcPr>
            <w:tcW w:w="16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18.52</w:t>
            </w:r>
          </w:p>
        </w:tc>
      </w:tr>
      <w:tr>
        <w:tblPrEx>
          <w:tblCellMar>
            <w:top w:w="0" w:type="dxa"/>
            <w:left w:w="10" w:type="dxa"/>
            <w:bottom w:w="0" w:type="dxa"/>
            <w:right w:w="10" w:type="dxa"/>
          </w:tblCellMar>
        </w:tblPrEx>
        <w:trPr>
          <w:trHeight w:val="494" w:hRule="exact"/>
          <w:jc w:val="center"/>
        </w:trPr>
        <w:tc>
          <w:tcPr>
            <w:tcW w:w="3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项目产出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45</w:t>
            </w:r>
            <w:r>
              <w:rPr>
                <w:rFonts w:hint="eastAsia" w:ascii="仿宋" w:hAnsi="仿宋" w:eastAsia="仿宋" w:cs="仿宋"/>
                <w:color w:val="000000"/>
                <w:kern w:val="0"/>
                <w:sz w:val="28"/>
                <w:szCs w:val="28"/>
              </w:rPr>
              <w:t>%</w:t>
            </w:r>
          </w:p>
        </w:tc>
        <w:tc>
          <w:tcPr>
            <w:tcW w:w="1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45</w:t>
            </w:r>
          </w:p>
        </w:tc>
        <w:tc>
          <w:tcPr>
            <w:tcW w:w="16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43.66</w:t>
            </w:r>
          </w:p>
        </w:tc>
      </w:tr>
      <w:tr>
        <w:tblPrEx>
          <w:tblCellMar>
            <w:top w:w="0" w:type="dxa"/>
            <w:left w:w="10" w:type="dxa"/>
            <w:bottom w:w="0" w:type="dxa"/>
            <w:right w:w="10" w:type="dxa"/>
          </w:tblCellMar>
        </w:tblPrEx>
        <w:trPr>
          <w:trHeight w:val="500" w:hRule="exact"/>
          <w:jc w:val="center"/>
        </w:trPr>
        <w:tc>
          <w:tcPr>
            <w:tcW w:w="3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项目效益</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26</w:t>
            </w:r>
            <w:r>
              <w:rPr>
                <w:rFonts w:hint="eastAsia" w:ascii="仿宋" w:hAnsi="仿宋" w:eastAsia="仿宋" w:cs="仿宋"/>
                <w:color w:val="000000"/>
                <w:kern w:val="0"/>
                <w:sz w:val="28"/>
                <w:szCs w:val="28"/>
              </w:rPr>
              <w:t>%</w:t>
            </w:r>
          </w:p>
        </w:tc>
        <w:tc>
          <w:tcPr>
            <w:tcW w:w="1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26</w:t>
            </w:r>
          </w:p>
        </w:tc>
        <w:tc>
          <w:tcPr>
            <w:tcW w:w="16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24</w:t>
            </w:r>
          </w:p>
        </w:tc>
      </w:tr>
      <w:tr>
        <w:tblPrEx>
          <w:tblCellMar>
            <w:top w:w="0" w:type="dxa"/>
            <w:left w:w="10" w:type="dxa"/>
            <w:bottom w:w="0" w:type="dxa"/>
            <w:right w:w="10" w:type="dxa"/>
          </w:tblCellMar>
        </w:tblPrEx>
        <w:trPr>
          <w:trHeight w:val="490" w:hRule="exact"/>
          <w:jc w:val="center"/>
        </w:trPr>
        <w:tc>
          <w:tcPr>
            <w:tcW w:w="3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项目满意度</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9</w:t>
            </w:r>
            <w:r>
              <w:rPr>
                <w:rFonts w:hint="eastAsia" w:ascii="仿宋" w:hAnsi="仿宋" w:eastAsia="仿宋" w:cs="仿宋"/>
                <w:color w:val="000000"/>
                <w:kern w:val="0"/>
                <w:sz w:val="28"/>
                <w:szCs w:val="28"/>
              </w:rPr>
              <w:t>%</w:t>
            </w:r>
          </w:p>
        </w:tc>
        <w:tc>
          <w:tcPr>
            <w:tcW w:w="1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9</w:t>
            </w:r>
          </w:p>
        </w:tc>
        <w:tc>
          <w:tcPr>
            <w:tcW w:w="16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9</w:t>
            </w:r>
          </w:p>
        </w:tc>
      </w:tr>
      <w:tr>
        <w:tblPrEx>
          <w:tblCellMar>
            <w:top w:w="0" w:type="dxa"/>
            <w:left w:w="10" w:type="dxa"/>
            <w:bottom w:w="0" w:type="dxa"/>
            <w:right w:w="10" w:type="dxa"/>
          </w:tblCellMar>
        </w:tblPrEx>
        <w:trPr>
          <w:trHeight w:val="504" w:hRule="exact"/>
          <w:jc w:val="center"/>
        </w:trPr>
        <w:tc>
          <w:tcPr>
            <w:tcW w:w="3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综合绩效</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100%</w:t>
            </w:r>
          </w:p>
        </w:tc>
        <w:tc>
          <w:tcPr>
            <w:tcW w:w="16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100</w:t>
            </w:r>
          </w:p>
        </w:tc>
        <w:tc>
          <w:tcPr>
            <w:tcW w:w="16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jc w:val="center"/>
              <w:textAlignment w:val="auto"/>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95.51</w:t>
            </w:r>
          </w:p>
        </w:tc>
      </w:tr>
    </w:tbl>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1.2绩效目标完成情况</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1.2.1执行率情况</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20</w:t>
      </w:r>
      <w:r>
        <w:rPr>
          <w:rFonts w:hint="eastAsia" w:ascii="仿宋" w:hAnsi="仿宋" w:eastAsia="仿宋" w:cs="仿宋"/>
          <w:color w:val="000000"/>
          <w:kern w:val="0"/>
          <w:sz w:val="32"/>
          <w:szCs w:val="32"/>
        </w:rPr>
        <w:t>年</w:t>
      </w:r>
      <w:r>
        <w:rPr>
          <w:rFonts w:hint="eastAsia" w:ascii="仿宋" w:hAnsi="仿宋" w:eastAsia="仿宋" w:cs="仿宋"/>
          <w:color w:val="000000"/>
          <w:kern w:val="0"/>
          <w:sz w:val="32"/>
          <w:szCs w:val="32"/>
          <w:lang w:eastAsia="zh-CN"/>
        </w:rPr>
        <w:t>武汉市东西湖区人民政府东山街道办事处整体绩效</w:t>
      </w:r>
      <w:r>
        <w:rPr>
          <w:rFonts w:hint="eastAsia" w:ascii="仿宋" w:hAnsi="仿宋" w:eastAsia="仿宋" w:cs="仿宋"/>
          <w:color w:val="000000"/>
          <w:kern w:val="0"/>
          <w:sz w:val="32"/>
          <w:szCs w:val="32"/>
        </w:rPr>
        <w:t>项目年初预算</w:t>
      </w:r>
      <w:r>
        <w:rPr>
          <w:rFonts w:hint="eastAsia" w:ascii="仿宋" w:hAnsi="仿宋" w:eastAsia="仿宋" w:cs="仿宋"/>
          <w:color w:val="000000"/>
          <w:kern w:val="0"/>
          <w:sz w:val="32"/>
          <w:szCs w:val="32"/>
          <w:lang w:eastAsia="zh-CN"/>
        </w:rPr>
        <w:t>为</w:t>
      </w:r>
      <w:r>
        <w:rPr>
          <w:rFonts w:hint="eastAsia" w:ascii="仿宋" w:hAnsi="仿宋" w:eastAsia="仿宋" w:cs="仿宋"/>
          <w:color w:val="000000"/>
          <w:kern w:val="0"/>
          <w:sz w:val="32"/>
          <w:szCs w:val="32"/>
          <w:lang w:val="en-US" w:eastAsia="zh-CN"/>
        </w:rPr>
        <w:t>56026.81</w:t>
      </w:r>
      <w:r>
        <w:rPr>
          <w:rFonts w:hint="eastAsia" w:ascii="仿宋" w:hAnsi="仿宋" w:eastAsia="仿宋" w:cs="仿宋"/>
          <w:color w:val="000000"/>
          <w:kern w:val="0"/>
          <w:sz w:val="32"/>
          <w:szCs w:val="32"/>
          <w:lang w:eastAsia="zh-CN"/>
        </w:rPr>
        <w:t>万元，实际支出</w:t>
      </w:r>
      <w:r>
        <w:rPr>
          <w:rFonts w:hint="eastAsia" w:ascii="仿宋" w:hAnsi="仿宋" w:eastAsia="仿宋" w:cs="仿宋"/>
          <w:color w:val="000000"/>
          <w:kern w:val="0"/>
          <w:sz w:val="32"/>
          <w:szCs w:val="32"/>
          <w:lang w:val="en-US" w:eastAsia="zh-CN"/>
        </w:rPr>
        <w:t>51893.98</w:t>
      </w:r>
      <w:r>
        <w:rPr>
          <w:rFonts w:hint="eastAsia" w:ascii="仿宋" w:hAnsi="仿宋" w:eastAsia="仿宋" w:cs="仿宋"/>
          <w:color w:val="000000"/>
          <w:kern w:val="0"/>
          <w:sz w:val="32"/>
          <w:szCs w:val="32"/>
          <w:lang w:eastAsia="zh-CN"/>
        </w:rPr>
        <w:t>万元，预算执行率为</w:t>
      </w:r>
      <w:r>
        <w:rPr>
          <w:rFonts w:hint="eastAsia" w:ascii="仿宋" w:hAnsi="仿宋" w:eastAsia="仿宋" w:cs="仿宋"/>
          <w:color w:val="000000"/>
          <w:kern w:val="0"/>
          <w:sz w:val="32"/>
          <w:szCs w:val="32"/>
          <w:lang w:val="en-US" w:eastAsia="zh-CN"/>
        </w:rPr>
        <w:t>92.62</w:t>
      </w:r>
      <w:r>
        <w:rPr>
          <w:rFonts w:hint="eastAsia" w:ascii="仿宋" w:hAnsi="仿宋" w:eastAsia="仿宋" w:cs="仿宋"/>
          <w:color w:val="000000"/>
          <w:kern w:val="0"/>
          <w:sz w:val="32"/>
          <w:szCs w:val="32"/>
          <w:lang w:eastAsia="zh-CN"/>
        </w:rPr>
        <w:t xml:space="preserve">% </w:t>
      </w:r>
      <w:r>
        <w:rPr>
          <w:rFonts w:hint="eastAsia" w:ascii="仿宋" w:hAnsi="仿宋" w:eastAsia="仿宋" w:cs="仿宋"/>
          <w:color w:val="000000"/>
          <w:kern w:val="0"/>
          <w:sz w:val="32"/>
          <w:szCs w:val="32"/>
          <w:lang w:val="en-US" w:eastAsia="zh-CN"/>
        </w:rPr>
        <w:t>，基准分值20分，得分18.52分。</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left"/>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highlight w:val="none"/>
        </w:rPr>
        <w:t>预算执行率=（决算支出总额/调整后预算总额）×100%=</w:t>
      </w:r>
      <w:r>
        <w:rPr>
          <w:rFonts w:hint="eastAsia" w:ascii="仿宋" w:hAnsi="仿宋" w:eastAsia="仿宋" w:cs="仿宋"/>
          <w:color w:val="000000"/>
          <w:kern w:val="0"/>
          <w:sz w:val="32"/>
          <w:szCs w:val="32"/>
          <w:lang w:val="en-US" w:eastAsia="zh-CN"/>
        </w:rPr>
        <w:t>92.62</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highlight w:val="none"/>
        </w:rPr>
        <w:t>。</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1.2.2.完成的绩效目标</w:t>
      </w:r>
    </w:p>
    <w:tbl>
      <w:tblPr>
        <w:tblStyle w:val="4"/>
        <w:tblW w:w="5016" w:type="pct"/>
        <w:jc w:val="center"/>
        <w:shd w:val="clear" w:color="auto" w:fill="auto"/>
        <w:tblLayout w:type="fixed"/>
        <w:tblCellMar>
          <w:top w:w="0" w:type="dxa"/>
          <w:left w:w="108" w:type="dxa"/>
          <w:bottom w:w="0" w:type="dxa"/>
          <w:right w:w="108" w:type="dxa"/>
        </w:tblCellMar>
      </w:tblPr>
      <w:tblGrid>
        <w:gridCol w:w="1632"/>
        <w:gridCol w:w="2081"/>
        <w:gridCol w:w="1513"/>
        <w:gridCol w:w="1534"/>
        <w:gridCol w:w="1780"/>
        <w:gridCol w:w="8"/>
      </w:tblGrid>
      <w:tr>
        <w:tblPrEx>
          <w:shd w:val="clear" w:color="auto" w:fill="auto"/>
          <w:tblCellMar>
            <w:top w:w="0" w:type="dxa"/>
            <w:left w:w="108" w:type="dxa"/>
            <w:bottom w:w="0" w:type="dxa"/>
            <w:right w:w="108" w:type="dxa"/>
          </w:tblCellMar>
        </w:tblPrEx>
        <w:trPr>
          <w:gridAfter w:val="1"/>
          <w:wAfter w:w="5" w:type="pct"/>
          <w:trHeight w:val="633"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二级指标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指标内容</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年初指标值</w:t>
            </w:r>
          </w:p>
          <w:p>
            <w:pPr>
              <w:widowControl/>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（A）</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实际完成值（B）</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color w:val="000000"/>
                <w:kern w:val="0"/>
                <w:sz w:val="24"/>
                <w:szCs w:val="24"/>
              </w:rPr>
              <w:t>得分</w:t>
            </w:r>
          </w:p>
        </w:tc>
      </w:tr>
      <w:tr>
        <w:tblPrEx>
          <w:shd w:val="clear" w:color="auto" w:fill="auto"/>
          <w:tblCellMar>
            <w:top w:w="0" w:type="dxa"/>
            <w:left w:w="108" w:type="dxa"/>
            <w:bottom w:w="0" w:type="dxa"/>
            <w:right w:w="108" w:type="dxa"/>
          </w:tblCellMar>
        </w:tblPrEx>
        <w:trPr>
          <w:gridAfter w:val="1"/>
          <w:wAfter w:w="5" w:type="pct"/>
          <w:trHeight w:val="633"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2.固定资产投资额（2分）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rPr>
                <w:rFonts w:hint="default" w:ascii="仿宋" w:hAnsi="仿宋" w:eastAsia="仿宋" w:cs="仿宋"/>
                <w:i w:val="0"/>
                <w:color w:val="000000"/>
                <w:kern w:val="0"/>
                <w:sz w:val="24"/>
                <w:szCs w:val="24"/>
                <w:u w:val="none"/>
                <w:lang w:val="en-US" w:eastAsia="zh-CN" w:bidi="ar"/>
              </w:rPr>
            </w:pPr>
            <w:r>
              <w:rPr>
                <w:rFonts w:hint="default" w:ascii="Times New Roman" w:hAnsi="Times New Roman" w:eastAsia="宋体" w:cs="Times New Roman"/>
                <w:color w:val="000000"/>
                <w:kern w:val="0"/>
                <w:sz w:val="24"/>
                <w:szCs w:val="24"/>
                <w:lang w:val="en-US" w:eastAsia="zh-CN" w:bidi="ar"/>
              </w:rPr>
              <w:t>50000</w:t>
            </w:r>
            <w:r>
              <w:rPr>
                <w:rFonts w:hint="eastAsia" w:ascii="仿宋" w:hAnsi="仿宋" w:eastAsia="仿宋" w:cs="仿宋"/>
                <w:i w:val="0"/>
                <w:color w:val="000000"/>
                <w:kern w:val="0"/>
                <w:sz w:val="24"/>
                <w:szCs w:val="24"/>
                <w:u w:val="none"/>
                <w:lang w:val="en-US" w:eastAsia="zh-CN" w:bidi="ar"/>
              </w:rPr>
              <w:t>万元</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50500</w:t>
            </w:r>
          </w:p>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万元</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2分</w:t>
            </w:r>
          </w:p>
        </w:tc>
      </w:tr>
      <w:tr>
        <w:tblPrEx>
          <w:shd w:val="clear" w:color="auto" w:fill="auto"/>
          <w:tblCellMar>
            <w:top w:w="0" w:type="dxa"/>
            <w:left w:w="108" w:type="dxa"/>
            <w:bottom w:w="0" w:type="dxa"/>
            <w:right w:w="108" w:type="dxa"/>
          </w:tblCellMar>
        </w:tblPrEx>
        <w:trPr>
          <w:gridAfter w:val="1"/>
          <w:wAfter w:w="5" w:type="pct"/>
          <w:trHeight w:val="944"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3.进出口完成情况（4分）</w:t>
            </w:r>
          </w:p>
        </w:tc>
        <w:tc>
          <w:tcPr>
            <w:tcW w:w="88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18000万元</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18040万元</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4分</w:t>
            </w:r>
          </w:p>
        </w:tc>
      </w:tr>
      <w:tr>
        <w:tblPrEx>
          <w:shd w:val="clear" w:color="auto" w:fill="auto"/>
          <w:tblCellMar>
            <w:top w:w="0" w:type="dxa"/>
            <w:left w:w="108" w:type="dxa"/>
            <w:bottom w:w="0" w:type="dxa"/>
            <w:right w:w="108" w:type="dxa"/>
          </w:tblCellMar>
        </w:tblPrEx>
        <w:trPr>
          <w:trHeight w:val="944"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社会效益标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3.发挥财政资金引导作用（8分）</w:t>
            </w:r>
          </w:p>
        </w:tc>
        <w:tc>
          <w:tcPr>
            <w:tcW w:w="88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较好</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较好</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8分</w:t>
            </w:r>
          </w:p>
        </w:tc>
      </w:tr>
      <w:tr>
        <w:tblPrEx>
          <w:tblCellMar>
            <w:top w:w="0" w:type="dxa"/>
            <w:left w:w="108" w:type="dxa"/>
            <w:bottom w:w="0" w:type="dxa"/>
            <w:right w:w="108" w:type="dxa"/>
          </w:tblCellMar>
        </w:tblPrEx>
        <w:trPr>
          <w:trHeight w:val="90"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指标1：新建老年互助中心（5分）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3个</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3</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5分</w:t>
            </w:r>
          </w:p>
        </w:tc>
      </w:tr>
      <w:tr>
        <w:tblPrEx>
          <w:shd w:val="clear" w:color="auto" w:fill="auto"/>
          <w:tblCellMar>
            <w:top w:w="0" w:type="dxa"/>
            <w:left w:w="108" w:type="dxa"/>
            <w:bottom w:w="0" w:type="dxa"/>
            <w:right w:w="108" w:type="dxa"/>
          </w:tblCellMar>
        </w:tblPrEx>
        <w:trPr>
          <w:trHeight w:val="633"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质量指标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指标1：工程质量达标率（2分）</w:t>
            </w:r>
          </w:p>
        </w:tc>
        <w:tc>
          <w:tcPr>
            <w:tcW w:w="88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　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2分</w:t>
            </w:r>
          </w:p>
        </w:tc>
      </w:tr>
      <w:tr>
        <w:tblPrEx>
          <w:shd w:val="clear" w:color="auto" w:fill="auto"/>
          <w:tblCellMar>
            <w:top w:w="0" w:type="dxa"/>
            <w:left w:w="108" w:type="dxa"/>
            <w:bottom w:w="0" w:type="dxa"/>
            <w:right w:w="108" w:type="dxa"/>
          </w:tblCellMar>
        </w:tblPrEx>
        <w:trPr>
          <w:trHeight w:val="944" w:hRule="atLeast"/>
          <w:jc w:val="center"/>
        </w:trPr>
        <w:tc>
          <w:tcPr>
            <w:tcW w:w="9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时效指标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指标1：按期开工率（2分）</w:t>
            </w:r>
          </w:p>
        </w:tc>
        <w:tc>
          <w:tcPr>
            <w:tcW w:w="88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2分</w:t>
            </w:r>
          </w:p>
        </w:tc>
      </w:tr>
      <w:tr>
        <w:tblPrEx>
          <w:shd w:val="clear" w:color="auto" w:fill="auto"/>
          <w:tblCellMar>
            <w:top w:w="0" w:type="dxa"/>
            <w:left w:w="108" w:type="dxa"/>
            <w:bottom w:w="0" w:type="dxa"/>
            <w:right w:w="108" w:type="dxa"/>
          </w:tblCellMar>
        </w:tblPrEx>
        <w:trPr>
          <w:trHeight w:val="944" w:hRule="atLeast"/>
          <w:jc w:val="center"/>
        </w:trPr>
        <w:tc>
          <w:tcPr>
            <w:tcW w:w="9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kern w:val="0"/>
                <w:sz w:val="24"/>
                <w:szCs w:val="24"/>
                <w:u w:val="none"/>
                <w:lang w:val="en-US" w:eastAsia="zh-CN" w:bidi="ar"/>
              </w:rPr>
            </w:pP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指标2：按期完工率（1分）</w:t>
            </w:r>
          </w:p>
        </w:tc>
        <w:tc>
          <w:tcPr>
            <w:tcW w:w="88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1分</w:t>
            </w:r>
          </w:p>
        </w:tc>
      </w:tr>
      <w:tr>
        <w:tblPrEx>
          <w:shd w:val="clear" w:color="auto" w:fill="auto"/>
          <w:tblCellMar>
            <w:top w:w="0" w:type="dxa"/>
            <w:left w:w="108" w:type="dxa"/>
            <w:bottom w:w="0" w:type="dxa"/>
            <w:right w:w="108" w:type="dxa"/>
          </w:tblCellMar>
        </w:tblPrEx>
        <w:trPr>
          <w:trHeight w:val="944"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服务对象满意度指标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指标1：受益对象满意率（5分）</w:t>
            </w:r>
          </w:p>
        </w:tc>
        <w:tc>
          <w:tcPr>
            <w:tcW w:w="88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　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5分</w:t>
            </w:r>
          </w:p>
        </w:tc>
      </w:tr>
      <w:tr>
        <w:tblPrEx>
          <w:shd w:val="clear" w:color="auto" w:fill="auto"/>
          <w:tblCellMar>
            <w:top w:w="0" w:type="dxa"/>
            <w:left w:w="108" w:type="dxa"/>
            <w:bottom w:w="0" w:type="dxa"/>
            <w:right w:w="108" w:type="dxa"/>
          </w:tblCellMar>
        </w:tblPrEx>
        <w:trPr>
          <w:trHeight w:val="633"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21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1.人大代表，政协委员意见落实率（2分）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100%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highlight w:val="none"/>
                <w:lang w:val="en-US" w:eastAsia="zh-CN"/>
              </w:rPr>
            </w:pPr>
            <w:r>
              <w:rPr>
                <w:rFonts w:hint="eastAsia" w:ascii="仿宋" w:hAnsi="仿宋" w:eastAsia="仿宋" w:cs="仿宋"/>
                <w:i w:val="0"/>
                <w:color w:val="000000"/>
                <w:kern w:val="0"/>
                <w:sz w:val="24"/>
                <w:szCs w:val="24"/>
                <w:highlight w:val="none"/>
                <w:u w:val="none"/>
                <w:lang w:val="en-US" w:eastAsia="zh-CN" w:bidi="ar"/>
              </w:rPr>
              <w:t>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2分</w:t>
            </w:r>
          </w:p>
        </w:tc>
      </w:tr>
      <w:tr>
        <w:tblPrEx>
          <w:shd w:val="clear" w:color="auto" w:fill="auto"/>
          <w:tblCellMar>
            <w:top w:w="0" w:type="dxa"/>
            <w:left w:w="108" w:type="dxa"/>
            <w:bottom w:w="0" w:type="dxa"/>
            <w:right w:w="108" w:type="dxa"/>
          </w:tblCellMar>
        </w:tblPrEx>
        <w:trPr>
          <w:trHeight w:val="633"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21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2.政务信息公开数占应公开数比率（2分）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2分</w:t>
            </w:r>
          </w:p>
        </w:tc>
      </w:tr>
      <w:tr>
        <w:tblPrEx>
          <w:shd w:val="clear" w:color="auto" w:fill="auto"/>
          <w:tblCellMar>
            <w:top w:w="0" w:type="dxa"/>
            <w:left w:w="108" w:type="dxa"/>
            <w:bottom w:w="0" w:type="dxa"/>
            <w:right w:w="108" w:type="dxa"/>
          </w:tblCellMar>
        </w:tblPrEx>
        <w:trPr>
          <w:trHeight w:val="944"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21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3.社会各行业安全检查（2分）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年均4次</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4次</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2分</w:t>
            </w:r>
          </w:p>
        </w:tc>
      </w:tr>
      <w:tr>
        <w:tblPrEx>
          <w:shd w:val="clear" w:color="auto" w:fill="auto"/>
          <w:tblCellMar>
            <w:top w:w="0" w:type="dxa"/>
            <w:left w:w="108" w:type="dxa"/>
            <w:bottom w:w="0" w:type="dxa"/>
            <w:right w:w="108" w:type="dxa"/>
          </w:tblCellMar>
        </w:tblPrEx>
        <w:trPr>
          <w:trHeight w:val="633"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21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农村三资监督管理（1分）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1分</w:t>
            </w:r>
          </w:p>
        </w:tc>
      </w:tr>
      <w:tr>
        <w:tblPrEx>
          <w:shd w:val="clear" w:color="auto" w:fill="auto"/>
          <w:tblCellMar>
            <w:top w:w="0" w:type="dxa"/>
            <w:left w:w="108" w:type="dxa"/>
            <w:bottom w:w="0" w:type="dxa"/>
            <w:right w:w="108" w:type="dxa"/>
          </w:tblCellMar>
        </w:tblPrEx>
        <w:trPr>
          <w:trHeight w:val="633"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质量指标</w:t>
            </w:r>
          </w:p>
        </w:tc>
        <w:tc>
          <w:tcPr>
            <w:tcW w:w="121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公开信息准确率（1分）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1分</w:t>
            </w:r>
          </w:p>
        </w:tc>
      </w:tr>
      <w:tr>
        <w:tblPrEx>
          <w:shd w:val="clear" w:color="auto" w:fill="auto"/>
          <w:tblCellMar>
            <w:top w:w="0" w:type="dxa"/>
            <w:left w:w="108" w:type="dxa"/>
            <w:bottom w:w="0" w:type="dxa"/>
            <w:right w:w="108" w:type="dxa"/>
          </w:tblCellMar>
        </w:tblPrEx>
        <w:trPr>
          <w:trHeight w:val="529"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质量指标</w:t>
            </w:r>
          </w:p>
        </w:tc>
        <w:tc>
          <w:tcPr>
            <w:tcW w:w="1216"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重大安全事故（1分）</w:t>
            </w:r>
          </w:p>
        </w:tc>
        <w:tc>
          <w:tcPr>
            <w:tcW w:w="884"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无</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无重大安全事故</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1分</w:t>
            </w:r>
          </w:p>
        </w:tc>
      </w:tr>
      <w:tr>
        <w:tblPrEx>
          <w:shd w:val="clear" w:color="auto" w:fill="auto"/>
          <w:tblCellMar>
            <w:top w:w="0" w:type="dxa"/>
            <w:left w:w="108" w:type="dxa"/>
            <w:bottom w:w="0" w:type="dxa"/>
            <w:right w:w="108" w:type="dxa"/>
          </w:tblCellMar>
        </w:tblPrEx>
        <w:trPr>
          <w:trHeight w:val="633" w:hRule="atLeast"/>
          <w:jc w:val="center"/>
        </w:trPr>
        <w:tc>
          <w:tcPr>
            <w:tcW w:w="954"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质量指标</w:t>
            </w:r>
          </w:p>
        </w:tc>
        <w:tc>
          <w:tcPr>
            <w:tcW w:w="1216" w:type="pc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农村“三资”管理（1分）</w:t>
            </w:r>
          </w:p>
        </w:tc>
        <w:tc>
          <w:tcPr>
            <w:tcW w:w="884" w:type="pct"/>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规范，无重大事项</w:t>
            </w:r>
          </w:p>
        </w:tc>
        <w:tc>
          <w:tcPr>
            <w:tcW w:w="897"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无重大事项</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1分</w:t>
            </w:r>
          </w:p>
        </w:tc>
      </w:tr>
      <w:tr>
        <w:tblPrEx>
          <w:shd w:val="clear" w:color="auto" w:fill="auto"/>
          <w:tblCellMar>
            <w:top w:w="0" w:type="dxa"/>
            <w:left w:w="108" w:type="dxa"/>
            <w:bottom w:w="0" w:type="dxa"/>
            <w:right w:w="108" w:type="dxa"/>
          </w:tblCellMar>
        </w:tblPrEx>
        <w:trPr>
          <w:trHeight w:val="944"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社会效益标</w:t>
            </w:r>
          </w:p>
        </w:tc>
        <w:tc>
          <w:tcPr>
            <w:tcW w:w="1216"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社会稳定及群众满意度（8分）</w:t>
            </w:r>
          </w:p>
        </w:tc>
        <w:tc>
          <w:tcPr>
            <w:tcW w:w="884" w:type="pct"/>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好</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良好</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8分</w:t>
            </w:r>
          </w:p>
        </w:tc>
      </w:tr>
      <w:tr>
        <w:tblPrEx>
          <w:shd w:val="clear" w:color="auto" w:fill="auto"/>
          <w:tblCellMar>
            <w:top w:w="0" w:type="dxa"/>
            <w:left w:w="108" w:type="dxa"/>
            <w:bottom w:w="0" w:type="dxa"/>
            <w:right w:w="108" w:type="dxa"/>
          </w:tblCellMar>
        </w:tblPrEx>
        <w:trPr>
          <w:trHeight w:val="1340"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满意度指标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服务对象满意度（2分）</w:t>
            </w:r>
          </w:p>
        </w:tc>
        <w:tc>
          <w:tcPr>
            <w:tcW w:w="88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default" w:ascii="Arial" w:hAnsi="Arial" w:eastAsia="仿宋" w:cs="Arial"/>
                <w:i w:val="0"/>
                <w:color w:val="000000"/>
                <w:kern w:val="0"/>
                <w:sz w:val="24"/>
                <w:szCs w:val="24"/>
                <w:u w:val="none"/>
                <w:lang w:val="en-US" w:eastAsia="zh-CN" w:bidi="ar"/>
              </w:rPr>
              <w:t>≥</w:t>
            </w:r>
            <w:r>
              <w:rPr>
                <w:rFonts w:hint="eastAsia" w:ascii="仿宋" w:hAnsi="仿宋" w:eastAsia="仿宋" w:cs="仿宋"/>
                <w:i w:val="0"/>
                <w:color w:val="000000"/>
                <w:kern w:val="0"/>
                <w:sz w:val="24"/>
                <w:szCs w:val="24"/>
                <w:u w:val="none"/>
                <w:lang w:val="en-US" w:eastAsia="zh-CN" w:bidi="ar"/>
              </w:rPr>
              <w:t>95%</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2分</w:t>
            </w:r>
          </w:p>
        </w:tc>
      </w:tr>
      <w:tr>
        <w:tblPrEx>
          <w:shd w:val="clear" w:color="auto" w:fill="auto"/>
          <w:tblCellMar>
            <w:top w:w="0" w:type="dxa"/>
            <w:left w:w="108" w:type="dxa"/>
            <w:bottom w:w="0" w:type="dxa"/>
            <w:right w:w="108" w:type="dxa"/>
          </w:tblCellMar>
        </w:tblPrEx>
        <w:trPr>
          <w:trHeight w:val="90"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1.涉农惠民资金发放率（2分）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2分</w:t>
            </w:r>
          </w:p>
        </w:tc>
      </w:tr>
      <w:tr>
        <w:tblPrEx>
          <w:shd w:val="clear" w:color="auto" w:fill="auto"/>
          <w:tblCellMar>
            <w:top w:w="0" w:type="dxa"/>
            <w:left w:w="108" w:type="dxa"/>
            <w:bottom w:w="0" w:type="dxa"/>
            <w:right w:w="108" w:type="dxa"/>
          </w:tblCellMar>
        </w:tblPrEx>
        <w:trPr>
          <w:trHeight w:val="874"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2.救灾资金发放率（2分）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2分</w:t>
            </w:r>
          </w:p>
        </w:tc>
      </w:tr>
      <w:tr>
        <w:tblPrEx>
          <w:shd w:val="clear" w:color="auto" w:fill="auto"/>
          <w:tblCellMar>
            <w:top w:w="0" w:type="dxa"/>
            <w:left w:w="108" w:type="dxa"/>
            <w:bottom w:w="0" w:type="dxa"/>
            <w:right w:w="108" w:type="dxa"/>
          </w:tblCellMar>
        </w:tblPrEx>
        <w:trPr>
          <w:trHeight w:val="944"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3.城镇居民医疗保险参保率（2分）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2分</w:t>
            </w:r>
          </w:p>
        </w:tc>
      </w:tr>
      <w:tr>
        <w:tblPrEx>
          <w:tblCellMar>
            <w:top w:w="0" w:type="dxa"/>
            <w:left w:w="108" w:type="dxa"/>
            <w:bottom w:w="0" w:type="dxa"/>
            <w:right w:w="108" w:type="dxa"/>
          </w:tblCellMar>
        </w:tblPrEx>
        <w:trPr>
          <w:trHeight w:val="944"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质量指标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4.各项政策执行合规率（2分）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2分</w:t>
            </w:r>
          </w:p>
        </w:tc>
      </w:tr>
      <w:tr>
        <w:tblPrEx>
          <w:shd w:val="clear" w:color="auto" w:fill="auto"/>
          <w:tblCellMar>
            <w:top w:w="0" w:type="dxa"/>
            <w:left w:w="108" w:type="dxa"/>
            <w:bottom w:w="0" w:type="dxa"/>
            <w:right w:w="108" w:type="dxa"/>
          </w:tblCellMar>
        </w:tblPrEx>
        <w:trPr>
          <w:trHeight w:val="944"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时效指标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1.各项政策执行及时率（2分）</w:t>
            </w:r>
          </w:p>
        </w:tc>
        <w:tc>
          <w:tcPr>
            <w:tcW w:w="8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2分</w:t>
            </w:r>
          </w:p>
        </w:tc>
      </w:tr>
      <w:tr>
        <w:tblPrEx>
          <w:shd w:val="clear" w:color="auto" w:fill="auto"/>
          <w:tblCellMar>
            <w:top w:w="0" w:type="dxa"/>
            <w:left w:w="108" w:type="dxa"/>
            <w:bottom w:w="0" w:type="dxa"/>
            <w:right w:w="108" w:type="dxa"/>
          </w:tblCellMar>
        </w:tblPrEx>
        <w:trPr>
          <w:trHeight w:val="944"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社会效益标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群众基本生活保障（8分）</w:t>
            </w:r>
          </w:p>
        </w:tc>
        <w:tc>
          <w:tcPr>
            <w:tcW w:w="88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良好</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良好</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8分</w:t>
            </w:r>
          </w:p>
        </w:tc>
      </w:tr>
      <w:tr>
        <w:tblPrEx>
          <w:shd w:val="clear" w:color="auto" w:fill="auto"/>
          <w:tblCellMar>
            <w:top w:w="0" w:type="dxa"/>
            <w:left w:w="108" w:type="dxa"/>
            <w:bottom w:w="0" w:type="dxa"/>
            <w:right w:w="108" w:type="dxa"/>
          </w:tblCellMar>
        </w:tblPrEx>
        <w:trPr>
          <w:trHeight w:val="954" w:hRule="atLeast"/>
          <w:jc w:val="center"/>
        </w:trPr>
        <w:tc>
          <w:tcPr>
            <w:tcW w:w="9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满意度指标</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服务对象满意度（2分）</w:t>
            </w:r>
          </w:p>
        </w:tc>
        <w:tc>
          <w:tcPr>
            <w:tcW w:w="88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default" w:ascii="Arial" w:hAnsi="Arial" w:eastAsia="仿宋" w:cs="Arial"/>
                <w:i w:val="0"/>
                <w:color w:val="000000"/>
                <w:kern w:val="0"/>
                <w:sz w:val="24"/>
                <w:szCs w:val="24"/>
                <w:u w:val="none"/>
                <w:lang w:val="en-US" w:eastAsia="zh-CN" w:bidi="ar"/>
              </w:rPr>
              <w:t>≥</w:t>
            </w:r>
            <w:r>
              <w:rPr>
                <w:rFonts w:hint="eastAsia" w:ascii="仿宋" w:hAnsi="仿宋" w:eastAsia="仿宋" w:cs="仿宋"/>
                <w:i w:val="0"/>
                <w:color w:val="000000"/>
                <w:kern w:val="0"/>
                <w:sz w:val="24"/>
                <w:szCs w:val="24"/>
                <w:u w:val="none"/>
                <w:lang w:val="en-US" w:eastAsia="zh-CN" w:bidi="ar"/>
              </w:rPr>
              <w:t>95%</w:t>
            </w:r>
          </w:p>
        </w:tc>
        <w:tc>
          <w:tcPr>
            <w:tcW w:w="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2分</w:t>
            </w:r>
          </w:p>
        </w:tc>
      </w:tr>
    </w:tbl>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1.2.3未完成的绩效目标</w:t>
      </w:r>
    </w:p>
    <w:tbl>
      <w:tblPr>
        <w:tblStyle w:val="4"/>
        <w:tblW w:w="5035" w:type="pct"/>
        <w:jc w:val="center"/>
        <w:shd w:val="clear" w:color="auto" w:fill="auto"/>
        <w:tblLayout w:type="fixed"/>
        <w:tblCellMar>
          <w:top w:w="0" w:type="dxa"/>
          <w:left w:w="108" w:type="dxa"/>
          <w:bottom w:w="0" w:type="dxa"/>
          <w:right w:w="108" w:type="dxa"/>
        </w:tblCellMar>
      </w:tblPr>
      <w:tblGrid>
        <w:gridCol w:w="953"/>
        <w:gridCol w:w="2054"/>
        <w:gridCol w:w="2209"/>
        <w:gridCol w:w="1576"/>
        <w:gridCol w:w="1790"/>
      </w:tblGrid>
      <w:tr>
        <w:tblPrEx>
          <w:shd w:val="clear" w:color="auto" w:fill="auto"/>
          <w:tblCellMar>
            <w:top w:w="0" w:type="dxa"/>
            <w:left w:w="108" w:type="dxa"/>
            <w:bottom w:w="0" w:type="dxa"/>
            <w:right w:w="108" w:type="dxa"/>
          </w:tblCellMar>
        </w:tblPrEx>
        <w:trPr>
          <w:trHeight w:val="633" w:hRule="atLeast"/>
          <w:jc w:val="center"/>
        </w:trPr>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二级指标</w:t>
            </w:r>
          </w:p>
        </w:tc>
        <w:tc>
          <w:tcPr>
            <w:tcW w:w="11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指标内容</w:t>
            </w:r>
          </w:p>
        </w:tc>
        <w:tc>
          <w:tcPr>
            <w:tcW w:w="12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年初指标值</w:t>
            </w:r>
          </w:p>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rPr>
              <w:t>（A）</w:t>
            </w:r>
          </w:p>
        </w:tc>
        <w:tc>
          <w:tcPr>
            <w:tcW w:w="9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rPr>
              <w:t>实际完成值（B）</w:t>
            </w: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宋体"/>
                <w:color w:val="000000"/>
                <w:kern w:val="0"/>
                <w:szCs w:val="21"/>
              </w:rPr>
              <w:t>得分</w:t>
            </w:r>
          </w:p>
        </w:tc>
      </w:tr>
      <w:tr>
        <w:tblPrEx>
          <w:shd w:val="clear" w:color="auto" w:fill="auto"/>
          <w:tblCellMar>
            <w:top w:w="0" w:type="dxa"/>
            <w:left w:w="108" w:type="dxa"/>
            <w:bottom w:w="0" w:type="dxa"/>
            <w:right w:w="108" w:type="dxa"/>
          </w:tblCellMar>
        </w:tblPrEx>
        <w:trPr>
          <w:trHeight w:val="633" w:hRule="atLeast"/>
          <w:jc w:val="center"/>
        </w:trPr>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1.规模以上工业总产值（4分）</w:t>
            </w:r>
          </w:p>
        </w:tc>
        <w:tc>
          <w:tcPr>
            <w:tcW w:w="1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659083.2万元</w:t>
            </w:r>
          </w:p>
        </w:tc>
        <w:tc>
          <w:tcPr>
            <w:tcW w:w="9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550570万元</w:t>
            </w: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3.34分</w:t>
            </w:r>
          </w:p>
        </w:tc>
      </w:tr>
      <w:tr>
        <w:tblPrEx>
          <w:tblCellMar>
            <w:top w:w="0" w:type="dxa"/>
            <w:left w:w="108" w:type="dxa"/>
            <w:bottom w:w="0" w:type="dxa"/>
            <w:right w:w="108" w:type="dxa"/>
          </w:tblCellMar>
        </w:tblPrEx>
        <w:trPr>
          <w:trHeight w:val="633" w:hRule="atLeast"/>
          <w:jc w:val="center"/>
        </w:trPr>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2.固定资产投资额（2分）</w:t>
            </w:r>
          </w:p>
        </w:tc>
        <w:tc>
          <w:tcPr>
            <w:tcW w:w="12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193738万元</w:t>
            </w:r>
          </w:p>
        </w:tc>
        <w:tc>
          <w:tcPr>
            <w:tcW w:w="9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65058万元</w:t>
            </w: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0.67分</w:t>
            </w:r>
          </w:p>
        </w:tc>
      </w:tr>
      <w:tr>
        <w:tblPrEx>
          <w:shd w:val="clear" w:color="auto" w:fill="auto"/>
          <w:tblCellMar>
            <w:top w:w="0" w:type="dxa"/>
            <w:left w:w="108" w:type="dxa"/>
            <w:bottom w:w="0" w:type="dxa"/>
            <w:right w:w="108" w:type="dxa"/>
          </w:tblCellMar>
        </w:tblPrEx>
        <w:trPr>
          <w:trHeight w:val="944" w:hRule="atLeast"/>
          <w:jc w:val="center"/>
        </w:trPr>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经济效益指标</w:t>
            </w:r>
          </w:p>
        </w:tc>
        <w:tc>
          <w:tcPr>
            <w:tcW w:w="1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1.财政收入（1分）</w:t>
            </w:r>
          </w:p>
        </w:tc>
        <w:tc>
          <w:tcPr>
            <w:tcW w:w="1286"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增长</w:t>
            </w:r>
          </w:p>
        </w:tc>
        <w:tc>
          <w:tcPr>
            <w:tcW w:w="9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下降5.77%</w:t>
            </w: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0分</w:t>
            </w:r>
          </w:p>
        </w:tc>
      </w:tr>
      <w:tr>
        <w:tblPrEx>
          <w:shd w:val="clear" w:color="auto" w:fill="auto"/>
          <w:tblCellMar>
            <w:top w:w="0" w:type="dxa"/>
            <w:left w:w="108" w:type="dxa"/>
            <w:bottom w:w="0" w:type="dxa"/>
            <w:right w:w="108" w:type="dxa"/>
          </w:tblCellMar>
        </w:tblPrEx>
        <w:trPr>
          <w:trHeight w:val="944" w:hRule="atLeast"/>
          <w:jc w:val="center"/>
        </w:trPr>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经济效益指标</w:t>
            </w:r>
          </w:p>
        </w:tc>
        <w:tc>
          <w:tcPr>
            <w:tcW w:w="1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2.企业销售收入（1分）</w:t>
            </w:r>
          </w:p>
        </w:tc>
        <w:tc>
          <w:tcPr>
            <w:tcW w:w="1286"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增长</w:t>
            </w:r>
          </w:p>
        </w:tc>
        <w:tc>
          <w:tcPr>
            <w:tcW w:w="9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下降69.3%</w:t>
            </w: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0分</w:t>
            </w:r>
          </w:p>
        </w:tc>
      </w:tr>
      <w:tr>
        <w:tblPrEx>
          <w:shd w:val="clear" w:color="auto" w:fill="auto"/>
          <w:tblCellMar>
            <w:top w:w="0" w:type="dxa"/>
            <w:left w:w="108" w:type="dxa"/>
            <w:bottom w:w="0" w:type="dxa"/>
            <w:right w:w="108" w:type="dxa"/>
          </w:tblCellMar>
        </w:tblPrEx>
        <w:trPr>
          <w:trHeight w:val="944" w:hRule="atLeast"/>
          <w:jc w:val="center"/>
        </w:trPr>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spacing w:val="0"/>
                <w:w w:val="100"/>
                <w:kern w:val="0"/>
                <w:position w:val="0"/>
                <w:sz w:val="24"/>
                <w:szCs w:val="24"/>
                <w:u w:val="none"/>
                <w:shd w:val="clear" w:color="auto" w:fill="auto"/>
                <w:lang w:val="en-US" w:eastAsia="zh-CN" w:bidi="ar"/>
              </w:rPr>
            </w:pPr>
            <w:r>
              <w:rPr>
                <w:rFonts w:hint="eastAsia" w:ascii="仿宋" w:hAnsi="仿宋" w:eastAsia="仿宋" w:cs="仿宋"/>
                <w:i w:val="0"/>
                <w:color w:val="000000"/>
                <w:kern w:val="0"/>
                <w:sz w:val="24"/>
                <w:szCs w:val="24"/>
                <w:u w:val="none"/>
                <w:lang w:val="en-US" w:eastAsia="zh-CN" w:bidi="ar"/>
              </w:rPr>
              <w:t>指标3：经开区三通项目（2分）</w:t>
            </w:r>
          </w:p>
        </w:tc>
        <w:tc>
          <w:tcPr>
            <w:tcW w:w="1286"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spacing w:val="0"/>
                <w:w w:val="100"/>
                <w:kern w:val="0"/>
                <w:position w:val="0"/>
                <w:sz w:val="24"/>
                <w:szCs w:val="24"/>
                <w:u w:val="none"/>
                <w:shd w:val="clear" w:color="auto" w:fill="auto"/>
                <w:lang w:val="en-US" w:eastAsia="zh-CN" w:bidi="ar"/>
              </w:rPr>
            </w:pPr>
            <w:r>
              <w:rPr>
                <w:rFonts w:hint="default" w:ascii="仿宋" w:hAnsi="仿宋" w:eastAsia="仿宋" w:cs="仿宋"/>
                <w:i w:val="0"/>
                <w:color w:val="000000"/>
                <w:kern w:val="0"/>
                <w:sz w:val="24"/>
                <w:szCs w:val="24"/>
                <w:u w:val="none"/>
                <w:lang w:val="en-US" w:eastAsia="zh-CN" w:bidi="ar"/>
              </w:rPr>
              <w:t>≧</w:t>
            </w:r>
            <w:r>
              <w:rPr>
                <w:rFonts w:hint="eastAsia" w:ascii="仿宋" w:hAnsi="仿宋" w:eastAsia="仿宋" w:cs="仿宋"/>
                <w:i w:val="0"/>
                <w:color w:val="000000"/>
                <w:kern w:val="0"/>
                <w:sz w:val="24"/>
                <w:szCs w:val="24"/>
                <w:u w:val="none"/>
                <w:lang w:val="en-US" w:eastAsia="zh-CN" w:bidi="ar"/>
              </w:rPr>
              <w:t>5</w:t>
            </w:r>
          </w:p>
        </w:tc>
        <w:tc>
          <w:tcPr>
            <w:tcW w:w="9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spacing w:val="0"/>
                <w:w w:val="100"/>
                <w:kern w:val="0"/>
                <w:position w:val="0"/>
                <w:sz w:val="24"/>
                <w:szCs w:val="24"/>
                <w:u w:val="none"/>
                <w:shd w:val="clear" w:color="auto" w:fill="auto"/>
                <w:lang w:val="en-US" w:eastAsia="zh-CN" w:bidi="ar"/>
              </w:rPr>
            </w:pPr>
            <w:r>
              <w:rPr>
                <w:rFonts w:hint="eastAsia" w:ascii="仿宋" w:hAnsi="仿宋" w:eastAsia="仿宋" w:cs="仿宋"/>
                <w:i w:val="0"/>
                <w:color w:val="000000"/>
                <w:kern w:val="0"/>
                <w:sz w:val="24"/>
                <w:szCs w:val="24"/>
                <w:u w:val="none"/>
                <w:lang w:val="en-US" w:eastAsia="zh-CN" w:bidi="ar"/>
              </w:rPr>
              <w:t>1</w:t>
            </w: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color w:val="000000"/>
                <w:spacing w:val="0"/>
                <w:w w:val="100"/>
                <w:kern w:val="0"/>
                <w:position w:val="0"/>
                <w:sz w:val="24"/>
                <w:szCs w:val="24"/>
                <w:u w:val="none"/>
                <w:shd w:val="clear" w:color="auto" w:fill="auto"/>
                <w:lang w:val="en-US" w:eastAsia="zh-CN" w:bidi="ar"/>
              </w:rPr>
            </w:pPr>
            <w:r>
              <w:rPr>
                <w:rFonts w:hint="eastAsia" w:ascii="仿宋" w:hAnsi="仿宋" w:eastAsia="仿宋" w:cs="仿宋"/>
                <w:i w:val="0"/>
                <w:color w:val="000000"/>
                <w:kern w:val="0"/>
                <w:sz w:val="24"/>
                <w:szCs w:val="24"/>
                <w:u w:val="none"/>
                <w:lang w:val="en-US" w:eastAsia="zh-CN" w:bidi="ar"/>
              </w:rPr>
              <w:t>0.4分</w:t>
            </w:r>
          </w:p>
        </w:tc>
      </w:tr>
      <w:tr>
        <w:tblPrEx>
          <w:shd w:val="clear" w:color="auto" w:fill="auto"/>
          <w:tblCellMar>
            <w:top w:w="0" w:type="dxa"/>
            <w:left w:w="108" w:type="dxa"/>
            <w:bottom w:w="0" w:type="dxa"/>
            <w:right w:w="108" w:type="dxa"/>
          </w:tblCellMar>
        </w:tblPrEx>
        <w:trPr>
          <w:trHeight w:val="633" w:hRule="atLeast"/>
          <w:jc w:val="center"/>
        </w:trPr>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时效指标</w:t>
            </w:r>
          </w:p>
        </w:tc>
        <w:tc>
          <w:tcPr>
            <w:tcW w:w="1196"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指标1：按期开工率（2分）</w:t>
            </w:r>
          </w:p>
        </w:tc>
        <w:tc>
          <w:tcPr>
            <w:tcW w:w="1286" w:type="pct"/>
            <w:tcBorders>
              <w:top w:val="single" w:color="000000"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9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88.89%</w:t>
            </w: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1.78分</w:t>
            </w:r>
          </w:p>
        </w:tc>
      </w:tr>
      <w:tr>
        <w:tblPrEx>
          <w:shd w:val="clear" w:color="auto" w:fill="auto"/>
          <w:tblCellMar>
            <w:top w:w="0" w:type="dxa"/>
            <w:left w:w="108" w:type="dxa"/>
            <w:bottom w:w="0" w:type="dxa"/>
            <w:right w:w="108" w:type="dxa"/>
          </w:tblCellMar>
        </w:tblPrEx>
        <w:trPr>
          <w:trHeight w:val="944" w:hRule="atLeast"/>
          <w:jc w:val="center"/>
        </w:trPr>
        <w:tc>
          <w:tcPr>
            <w:tcW w:w="555"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9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指标2：按期完工率（1分）</w:t>
            </w:r>
          </w:p>
        </w:tc>
        <w:tc>
          <w:tcPr>
            <w:tcW w:w="12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w:t>
            </w:r>
          </w:p>
        </w:tc>
        <w:tc>
          <w:tcPr>
            <w:tcW w:w="918"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88.89%</w:t>
            </w: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0.89分</w:t>
            </w:r>
          </w:p>
        </w:tc>
      </w:tr>
    </w:tbl>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2存在的问题及原因</w:t>
      </w:r>
    </w:p>
    <w:p>
      <w:pPr>
        <w:keepNext w:val="0"/>
        <w:keepLines w:val="0"/>
        <w:pageBreakBefore w:val="0"/>
        <w:widowControl w:val="0"/>
        <w:kinsoku/>
        <w:wordWrap/>
        <w:overflowPunct/>
        <w:topLinePunct w:val="0"/>
        <w:autoSpaceDN/>
        <w:bidi w:val="0"/>
        <w:spacing w:line="560" w:lineRule="atLeas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color w:val="000000"/>
          <w:spacing w:val="0"/>
          <w:w w:val="100"/>
          <w:position w:val="0"/>
          <w:sz w:val="32"/>
          <w:szCs w:val="32"/>
          <w:u w:val="none"/>
          <w:shd w:val="clear" w:color="auto" w:fill="auto"/>
          <w:lang w:val="en-US" w:eastAsia="zh-CN" w:bidi="en-US"/>
        </w:rPr>
        <w:t>①</w:t>
      </w:r>
      <w:r>
        <w:rPr>
          <w:rFonts w:hint="default" w:ascii="仿宋" w:hAnsi="仿宋" w:eastAsia="仿宋" w:cs="仿宋"/>
          <w:color w:val="000000"/>
          <w:spacing w:val="0"/>
          <w:w w:val="100"/>
          <w:position w:val="0"/>
          <w:sz w:val="32"/>
          <w:szCs w:val="32"/>
          <w:u w:val="none"/>
          <w:shd w:val="clear" w:color="auto" w:fill="auto"/>
          <w:lang w:val="zh-TW" w:eastAsia="zh-TW" w:bidi="en-US"/>
        </w:rPr>
        <w:t>由于</w:t>
      </w:r>
      <w:r>
        <w:rPr>
          <w:rFonts w:hint="eastAsia" w:ascii="仿宋" w:hAnsi="仿宋" w:eastAsia="仿宋" w:cs="仿宋"/>
          <w:color w:val="000000"/>
          <w:spacing w:val="0"/>
          <w:w w:val="100"/>
          <w:position w:val="0"/>
          <w:sz w:val="32"/>
          <w:szCs w:val="32"/>
          <w:u w:val="none"/>
          <w:shd w:val="clear" w:color="auto" w:fill="auto"/>
          <w:lang w:val="en-US" w:eastAsia="zh-CN" w:bidi="en-US"/>
        </w:rPr>
        <w:t>上半年疫情影响及防汛工作的开展，导致部分指标未完成。</w:t>
      </w:r>
    </w:p>
    <w:p>
      <w:pPr>
        <w:pStyle w:val="7"/>
        <w:keepNext w:val="0"/>
        <w:keepLines w:val="0"/>
        <w:pageBreakBefore w:val="0"/>
        <w:widowControl w:val="0"/>
        <w:shd w:val="clear" w:color="auto" w:fill="auto"/>
        <w:kinsoku/>
        <w:wordWrap/>
        <w:overflowPunct/>
        <w:topLinePunct w:val="0"/>
        <w:autoSpaceDN/>
        <w:bidi w:val="0"/>
        <w:adjustRightInd/>
        <w:snapToGrid/>
        <w:spacing w:before="0" w:after="0" w:line="560" w:lineRule="atLeast"/>
        <w:ind w:left="0" w:right="0" w:firstLine="500"/>
        <w:jc w:val="both"/>
        <w:textAlignment w:val="auto"/>
        <w:rPr>
          <w:rFonts w:hint="eastAsia" w:ascii="仿宋" w:hAnsi="仿宋" w:eastAsia="仿宋" w:cs="仿宋"/>
          <w:color w:val="000000"/>
          <w:spacing w:val="0"/>
          <w:w w:val="100"/>
          <w:position w:val="0"/>
          <w:sz w:val="32"/>
          <w:szCs w:val="32"/>
          <w:u w:val="none"/>
          <w:shd w:val="clear" w:color="auto" w:fill="auto"/>
          <w:lang w:val="en-US" w:eastAsia="zh-CN" w:bidi="en-US"/>
        </w:rPr>
      </w:pPr>
      <w:r>
        <w:rPr>
          <w:rFonts w:hint="eastAsia" w:ascii="仿宋" w:hAnsi="仿宋" w:eastAsia="仿宋" w:cs="仿宋"/>
          <w:color w:val="000000"/>
          <w:spacing w:val="0"/>
          <w:w w:val="100"/>
          <w:position w:val="0"/>
          <w:sz w:val="32"/>
          <w:szCs w:val="32"/>
          <w:u w:val="none"/>
          <w:shd w:val="clear" w:color="auto" w:fill="auto"/>
          <w:lang w:val="en-US" w:eastAsia="zh-CN" w:bidi="en-US"/>
        </w:rPr>
        <w:t>②预算执行92.62%，原因在于，当年东风苑东山片区搬迁退地启动资金因评估审计未跟上，造成东风苑退地补偿未全部发放完毕；已回未附中城管专项资金于2020年12月收到，未及时下拨。</w:t>
      </w:r>
    </w:p>
    <w:p>
      <w:pPr>
        <w:pStyle w:val="7"/>
        <w:keepNext w:val="0"/>
        <w:keepLines w:val="0"/>
        <w:pageBreakBefore w:val="0"/>
        <w:widowControl w:val="0"/>
        <w:shd w:val="clear" w:color="auto" w:fill="auto"/>
        <w:kinsoku/>
        <w:wordWrap/>
        <w:overflowPunct/>
        <w:topLinePunct w:val="0"/>
        <w:autoSpaceDN/>
        <w:bidi w:val="0"/>
        <w:adjustRightInd/>
        <w:snapToGrid/>
        <w:spacing w:before="0" w:after="0" w:line="560" w:lineRule="atLeast"/>
        <w:ind w:left="0" w:right="0" w:firstLine="500"/>
        <w:jc w:val="both"/>
        <w:textAlignment w:val="auto"/>
        <w:rPr>
          <w:rFonts w:hint="eastAsia" w:ascii="仿宋" w:hAnsi="仿宋" w:eastAsia="仿宋" w:cs="仿宋"/>
          <w:color w:val="000000"/>
          <w:spacing w:val="0"/>
          <w:w w:val="100"/>
          <w:position w:val="0"/>
          <w:sz w:val="32"/>
          <w:szCs w:val="32"/>
          <w:u w:val="none"/>
          <w:shd w:val="clear" w:color="auto" w:fill="auto"/>
          <w:lang w:val="en-US" w:eastAsia="zh-CN" w:bidi="en-US"/>
        </w:rPr>
      </w:pPr>
      <w:r>
        <w:rPr>
          <w:rFonts w:hint="eastAsia" w:ascii="仿宋" w:hAnsi="仿宋" w:eastAsia="仿宋" w:cs="仿宋"/>
          <w:color w:val="000000"/>
          <w:spacing w:val="0"/>
          <w:w w:val="100"/>
          <w:position w:val="0"/>
          <w:sz w:val="32"/>
          <w:szCs w:val="32"/>
          <w:u w:val="none"/>
          <w:shd w:val="clear" w:color="auto" w:fill="auto"/>
          <w:lang w:val="en-US" w:eastAsia="zh-CN" w:bidi="en-US"/>
        </w:rPr>
        <w:t>③绩效管理水平有待提高，项目执行过程中有效约束力不够。</w:t>
      </w:r>
    </w:p>
    <w:p>
      <w:pPr>
        <w:pStyle w:val="7"/>
        <w:keepNext w:val="0"/>
        <w:keepLines w:val="0"/>
        <w:pageBreakBefore w:val="0"/>
        <w:widowControl w:val="0"/>
        <w:shd w:val="clear" w:color="auto" w:fill="auto"/>
        <w:kinsoku/>
        <w:wordWrap/>
        <w:overflowPunct/>
        <w:topLinePunct w:val="0"/>
        <w:autoSpaceDN/>
        <w:bidi w:val="0"/>
        <w:adjustRightInd/>
        <w:snapToGrid/>
        <w:spacing w:before="0" w:after="0" w:line="560" w:lineRule="atLeast"/>
        <w:ind w:left="0" w:right="0" w:firstLine="500"/>
        <w:jc w:val="both"/>
        <w:textAlignment w:val="auto"/>
        <w:rPr>
          <w:rFonts w:hint="eastAsia" w:ascii="仿宋" w:hAnsi="仿宋" w:eastAsia="仿宋" w:cs="仿宋"/>
          <w:color w:val="000000"/>
          <w:spacing w:val="0"/>
          <w:w w:val="100"/>
          <w:position w:val="0"/>
          <w:sz w:val="32"/>
          <w:szCs w:val="32"/>
          <w:highlight w:val="none"/>
          <w:lang w:val="zh-TW" w:eastAsia="zh-CN"/>
        </w:rPr>
      </w:pPr>
      <w:r>
        <w:rPr>
          <w:rFonts w:hint="eastAsia" w:ascii="仿宋" w:hAnsi="仿宋" w:eastAsia="仿宋" w:cs="仿宋"/>
          <w:color w:val="000000"/>
          <w:spacing w:val="0"/>
          <w:w w:val="100"/>
          <w:position w:val="0"/>
          <w:sz w:val="32"/>
          <w:szCs w:val="32"/>
          <w:highlight w:val="none"/>
          <w:lang w:val="en-US" w:eastAsia="zh-CN"/>
        </w:rPr>
        <w:t>④</w:t>
      </w:r>
      <w:r>
        <w:rPr>
          <w:rFonts w:hint="eastAsia" w:ascii="仿宋" w:hAnsi="仿宋" w:eastAsia="仿宋" w:cs="仿宋"/>
          <w:color w:val="000000"/>
          <w:spacing w:val="0"/>
          <w:w w:val="100"/>
          <w:position w:val="0"/>
          <w:sz w:val="32"/>
          <w:szCs w:val="32"/>
          <w:highlight w:val="none"/>
          <w:lang w:val="zh-TW" w:eastAsia="zh-CN"/>
        </w:rPr>
        <w:t>项目绩效目标编制不规范。部分项目申报时绩效目标较为简单、笼统，未根据项目实际对数量目标、质量目标、效益指标具体细化，定量指标较少，在指导项目实施方面的可操作性不强，导致事后绩效评价缺少科学合理的衡量标准。</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3下一步拟改进措施</w:t>
      </w:r>
    </w:p>
    <w:p>
      <w:pPr>
        <w:pStyle w:val="7"/>
        <w:keepNext w:val="0"/>
        <w:keepLines w:val="0"/>
        <w:pageBreakBefore w:val="0"/>
        <w:widowControl w:val="0"/>
        <w:numPr>
          <w:ilvl w:val="0"/>
          <w:numId w:val="0"/>
        </w:numPr>
        <w:shd w:val="clear" w:color="auto" w:fill="auto"/>
        <w:tabs>
          <w:tab w:val="left" w:pos="819"/>
        </w:tabs>
        <w:kinsoku/>
        <w:wordWrap/>
        <w:overflowPunct/>
        <w:topLinePunct w:val="0"/>
        <w:autoSpaceDE/>
        <w:autoSpaceDN/>
        <w:bidi w:val="0"/>
        <w:adjustRightInd/>
        <w:snapToGrid/>
        <w:spacing w:before="0" w:after="0" w:line="560" w:lineRule="atLeast"/>
        <w:ind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zh-TW" w:eastAsia="zh-CN"/>
        </w:rPr>
      </w:pPr>
      <w:r>
        <w:rPr>
          <w:rFonts w:hint="eastAsia" w:ascii="仿宋" w:hAnsi="仿宋" w:eastAsia="仿宋" w:cs="仿宋"/>
          <w:color w:val="000000"/>
          <w:spacing w:val="0"/>
          <w:w w:val="100"/>
          <w:position w:val="0"/>
          <w:sz w:val="32"/>
          <w:szCs w:val="32"/>
          <w:highlight w:val="none"/>
          <w:lang w:val="en-US" w:eastAsia="zh-CN"/>
        </w:rPr>
        <w:t>①</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p>
    <w:p>
      <w:pPr>
        <w:pStyle w:val="7"/>
        <w:keepNext w:val="0"/>
        <w:keepLines w:val="0"/>
        <w:pageBreakBefore w:val="0"/>
        <w:widowControl w:val="0"/>
        <w:numPr>
          <w:ilvl w:val="0"/>
          <w:numId w:val="0"/>
        </w:numPr>
        <w:shd w:val="clear" w:color="auto" w:fill="auto"/>
        <w:tabs>
          <w:tab w:val="left" w:pos="819"/>
        </w:tabs>
        <w:kinsoku/>
        <w:wordWrap/>
        <w:overflowPunct/>
        <w:topLinePunct w:val="0"/>
        <w:autoSpaceDE/>
        <w:autoSpaceDN/>
        <w:bidi w:val="0"/>
        <w:adjustRightInd/>
        <w:snapToGrid/>
        <w:spacing w:before="0" w:after="0" w:line="560" w:lineRule="atLeast"/>
        <w:ind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zh-TW" w:eastAsia="zh-CN"/>
        </w:rPr>
      </w:pPr>
      <w:r>
        <w:rPr>
          <w:rFonts w:hint="eastAsia" w:ascii="仿宋" w:hAnsi="仿宋" w:eastAsia="仿宋" w:cs="仿宋"/>
          <w:color w:val="000000"/>
          <w:spacing w:val="0"/>
          <w:w w:val="100"/>
          <w:position w:val="0"/>
          <w:sz w:val="32"/>
          <w:szCs w:val="32"/>
          <w:highlight w:val="none"/>
          <w:lang w:val="en-US" w:eastAsia="zh-CN"/>
        </w:rPr>
        <w:t>②</w:t>
      </w:r>
      <w:r>
        <w:rPr>
          <w:rFonts w:hint="eastAsia" w:ascii="仿宋" w:hAnsi="仿宋" w:eastAsia="仿宋" w:cs="仿宋"/>
          <w:color w:val="000000"/>
          <w:spacing w:val="0"/>
          <w:w w:val="100"/>
          <w:position w:val="0"/>
          <w:sz w:val="32"/>
          <w:szCs w:val="32"/>
          <w:highlight w:val="none"/>
          <w:lang w:val="zh-TW" w:eastAsia="zh-CN"/>
        </w:rPr>
        <w:t>项目绩效目标编制不规范。部分项目申报时绩效目标较为简单、笼统，未根据项目实际对数量目标、质量目标、效益指标具体细化，定量指标较少，在指导项目实施方面的可操作性不强，导致事后绩效评价缺少科学合理的衡量标准。</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③</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r>
        <w:rPr>
          <w:rFonts w:hint="eastAsia" w:ascii="仿宋" w:hAnsi="仿宋" w:eastAsia="仿宋" w:cs="仿宋"/>
          <w:color w:val="000000"/>
          <w:spacing w:val="0"/>
          <w:w w:val="100"/>
          <w:position w:val="0"/>
          <w:sz w:val="32"/>
          <w:szCs w:val="32"/>
          <w:highlight w:val="none"/>
          <w:lang w:val="en-US" w:eastAsia="zh-CN"/>
        </w:rPr>
        <w:t>加强绩效管理的约束力。</w:t>
      </w:r>
    </w:p>
    <w:p>
      <w:pPr>
        <w:keepNext w:val="0"/>
        <w:keepLines w:val="0"/>
        <w:pageBreakBefore w:val="0"/>
        <w:widowControl w:val="0"/>
        <w:kinsoku/>
        <w:wordWrap/>
        <w:overflowPunct/>
        <w:topLinePunct w:val="0"/>
        <w:autoSpaceDN/>
        <w:bidi w:val="0"/>
        <w:spacing w:line="560" w:lineRule="atLeas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④年中根据预算执行情况，对预算进行适当调整。加强各科室《预算法》、《政府会计制度》等相关方面的业务培训学习，规范部门预算收支核算，严格按项目和进度执行预算，增强预算的约束力和严肃性。落实预算执行分析，及时了解预算执行差异，合理调整、纠正预算执行偏差，切实提高部门预算收支管理水平。</w:t>
      </w:r>
    </w:p>
    <w:p>
      <w:pPr>
        <w:pStyle w:val="2"/>
        <w:keepNext w:val="0"/>
        <w:keepLines w:val="0"/>
        <w:pageBreakBefore w:val="0"/>
        <w:widowControl w:val="0"/>
        <w:kinsoku/>
        <w:wordWrap/>
        <w:overflowPunct/>
        <w:topLinePunct w:val="0"/>
        <w:autoSpaceDN/>
        <w:bidi w:val="0"/>
        <w:spacing w:line="560" w:lineRule="atLeast"/>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⑤</w:t>
      </w:r>
      <w:bookmarkStart w:id="3" w:name="_GoBack"/>
      <w:bookmarkEnd w:id="3"/>
      <w:r>
        <w:rPr>
          <w:rFonts w:hint="default" w:ascii="仿宋" w:hAnsi="仿宋" w:eastAsia="仿宋" w:cs="仿宋"/>
          <w:sz w:val="32"/>
          <w:szCs w:val="32"/>
          <w:lang w:val="en-US" w:eastAsia="zh-CN"/>
        </w:rPr>
        <w:t>强化绩效评价工作，规范绩效自评。各部门开展绩效自评时要明确绩效评价工作职责，对被评价项目及其绩效预期目标实现程度进行深入调查分析，在此基础上根据年初设置的绩效目标确定具体评价指标，确保绩效评价报告依据充分、内容完整、数据准确、分析透彻和客观公正。同时，主管部门应加强绩效自评的复评工作，对绩效报告有关情况进行核实，确保评价数据的真实性、完整性和准确性。</w:t>
      </w:r>
    </w:p>
    <w:p>
      <w:pPr>
        <w:pStyle w:val="2"/>
        <w:keepNext w:val="0"/>
        <w:keepLines w:val="0"/>
        <w:pageBreakBefore w:val="0"/>
        <w:widowControl w:val="0"/>
        <w:kinsoku/>
        <w:wordWrap/>
        <w:overflowPunct/>
        <w:topLinePunct w:val="0"/>
        <w:autoSpaceDN/>
        <w:bidi w:val="0"/>
        <w:spacing w:line="560" w:lineRule="atLeast"/>
        <w:ind w:firstLine="1280" w:firstLineChars="400"/>
        <w:textAlignment w:val="auto"/>
        <w:rPr>
          <w:rFonts w:hint="eastAsia" w:ascii="仿宋" w:hAnsi="仿宋" w:eastAsia="仿宋" w:cs="仿宋"/>
          <w:color w:val="000000"/>
          <w:spacing w:val="0"/>
          <w:w w:val="100"/>
          <w:kern w:val="0"/>
          <w:position w:val="0"/>
          <w:sz w:val="32"/>
          <w:szCs w:val="32"/>
          <w:lang w:val="en-US" w:eastAsia="zh-CN"/>
        </w:rPr>
      </w:pPr>
      <w:r>
        <w:rPr>
          <w:rFonts w:hint="eastAsia" w:ascii="仿宋" w:hAnsi="仿宋" w:eastAsia="仿宋" w:cs="仿宋"/>
          <w:color w:val="000000"/>
          <w:spacing w:val="0"/>
          <w:w w:val="100"/>
          <w:kern w:val="0"/>
          <w:position w:val="0"/>
          <w:sz w:val="32"/>
          <w:szCs w:val="32"/>
          <w:lang w:val="en-US" w:eastAsia="zh-CN"/>
        </w:rPr>
        <w:t>武汉市东西湖区人民政府东山街道办事处</w:t>
      </w:r>
    </w:p>
    <w:p>
      <w:pPr>
        <w:pStyle w:val="7"/>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right="0"/>
        <w:jc w:val="center"/>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kern w:val="0"/>
          <w:position w:val="0"/>
          <w:sz w:val="32"/>
          <w:szCs w:val="32"/>
          <w:lang w:val="en-US" w:eastAsia="zh-CN"/>
        </w:rPr>
        <w:t>2021年7月9日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00000" w:csb1="00000000"/>
  </w:font>
  <w:font w:name="方正小标宋_GBK">
    <w:altName w:val="微软雅黑"/>
    <w:panose1 w:val="02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EB75AF"/>
    <w:rsid w:val="0BBA1474"/>
    <w:rsid w:val="18D17C96"/>
    <w:rsid w:val="22595798"/>
    <w:rsid w:val="3BEB75AF"/>
    <w:rsid w:val="5F693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before="0" w:after="120"/>
      <w:ind w:left="420" w:leftChars="200" w:right="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qFormat/>
    <w:uiPriority w:val="0"/>
    <w:pPr>
      <w:widowControl w:val="0"/>
      <w:spacing w:before="0" w:after="120"/>
      <w:ind w:left="420" w:leftChars="200" w:right="0"/>
      <w:jc w:val="both"/>
    </w:pPr>
    <w:rPr>
      <w:rFonts w:ascii="Calibri" w:hAnsi="Calibri" w:eastAsia="宋体" w:cs="Times New Roman"/>
      <w:kern w:val="2"/>
      <w:sz w:val="21"/>
      <w:szCs w:val="24"/>
      <w:lang w:val="en-US" w:eastAsia="zh-CN" w:bidi="ar-SA"/>
    </w:rPr>
  </w:style>
  <w:style w:type="paragraph" w:customStyle="1" w:styleId="6">
    <w:name w:val="Heading #1|1"/>
    <w:basedOn w:val="1"/>
    <w:qFormat/>
    <w:uiPriority w:val="0"/>
    <w:pPr>
      <w:widowControl w:val="0"/>
      <w:shd w:val="clear" w:color="auto" w:fill="auto"/>
      <w:spacing w:after="180" w:line="499" w:lineRule="exact"/>
      <w:jc w:val="center"/>
      <w:outlineLvl w:val="0"/>
    </w:pPr>
    <w:rPr>
      <w:rFonts w:ascii="宋体" w:hAnsi="宋体" w:eastAsia="宋体" w:cs="宋体"/>
      <w:sz w:val="30"/>
      <w:szCs w:val="30"/>
      <w:u w:val="none"/>
      <w:shd w:val="clear" w:color="auto" w:fill="auto"/>
      <w:lang w:val="zh-TW" w:eastAsia="zh-TW" w:bidi="zh-TW"/>
    </w:rPr>
  </w:style>
  <w:style w:type="paragraph" w:customStyle="1" w:styleId="7">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2021-07-23T09:14:00Z</dcterms:created>
  <dc:creator>,</dc:creator>
  <cp:lastModifiedBy>,</cp:lastModifiedBy>
  <dcterms:modified xsi:type="dcterms:W3CDTF">2021-07-27T03:32:36Z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E54994681F944D8793C91BFAF9AE9633</vt:lpwstr>
  </property>
</Properties>
</file>