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rPr>
        <w:t>2021年度招商引资专项预算项目自评结果</w:t>
      </w:r>
    </w:p>
    <w:p>
      <w:pPr>
        <w:widowControl/>
        <w:autoSpaceDE w:val="0"/>
        <w:spacing w:line="520" w:lineRule="exact"/>
        <w:ind w:firstLine="560" w:firstLineChars="200"/>
        <w:jc w:val="left"/>
        <w:rPr>
          <w:rFonts w:ascii="黑体" w:hAnsi="黑体" w:eastAsia="黑体" w:cs="黑体"/>
          <w:color w:val="000000"/>
          <w:kern w:val="0"/>
          <w:sz w:val="28"/>
          <w:szCs w:val="28"/>
        </w:rPr>
      </w:pPr>
      <w:r>
        <w:rPr>
          <w:rFonts w:hint="eastAsia" w:ascii="黑体" w:hAnsi="黑体" w:eastAsia="黑体" w:cs="黑体"/>
          <w:color w:val="000000"/>
          <w:kern w:val="0"/>
          <w:sz w:val="28"/>
          <w:szCs w:val="28"/>
        </w:rPr>
        <w:t>一、自评得分</w:t>
      </w:r>
    </w:p>
    <w:p>
      <w:pPr>
        <w:widowControl/>
        <w:autoSpaceDE w:val="0"/>
        <w:spacing w:line="520" w:lineRule="exact"/>
        <w:jc w:val="left"/>
        <w:rPr>
          <w:rFonts w:ascii="宋体" w:hAnsi="宋体" w:cs="宋体"/>
          <w:color w:val="000000"/>
          <w:kern w:val="0"/>
          <w:sz w:val="28"/>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评分项目</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权重</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评分值</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本项得分</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预算执行情况</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20%</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20</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18.66</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93.28%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产出指标</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40%</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40</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30</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效益指标</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40%</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40</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40</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综合绩效</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100%</w:t>
            </w:r>
          </w:p>
        </w:tc>
        <w:tc>
          <w:tcPr>
            <w:tcW w:w="1704"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100</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88.66</w:t>
            </w:r>
          </w:p>
        </w:tc>
        <w:tc>
          <w:tcPr>
            <w:tcW w:w="1705" w:type="dxa"/>
            <w:noWrap/>
          </w:tcPr>
          <w:p>
            <w:pPr>
              <w:widowControl/>
              <w:autoSpaceDE w:val="0"/>
              <w:spacing w:line="520" w:lineRule="exact"/>
              <w:jc w:val="center"/>
              <w:rPr>
                <w:rFonts w:ascii="宋体" w:hAnsi="宋体" w:cs="宋体"/>
                <w:color w:val="000000"/>
                <w:kern w:val="0"/>
                <w:sz w:val="24"/>
                <w:szCs w:val="24"/>
              </w:rPr>
            </w:pPr>
            <w:r>
              <w:rPr>
                <w:rFonts w:hint="eastAsia" w:ascii="宋体" w:hAnsi="宋体" w:cs="宋体"/>
                <w:color w:val="000000"/>
                <w:kern w:val="0"/>
                <w:sz w:val="24"/>
                <w:szCs w:val="24"/>
              </w:rPr>
              <w:t>88.66%</w:t>
            </w:r>
          </w:p>
        </w:tc>
      </w:tr>
    </w:tbl>
    <w:p>
      <w:pPr>
        <w:widowControl/>
        <w:autoSpaceDE w:val="0"/>
        <w:spacing w:line="520" w:lineRule="exact"/>
        <w:jc w:val="left"/>
        <w:rPr>
          <w:rFonts w:ascii="宋体" w:hAnsi="宋体"/>
          <w:color w:val="000000"/>
          <w:kern w:val="0"/>
          <w:sz w:val="30"/>
          <w:szCs w:val="30"/>
        </w:rPr>
      </w:pPr>
    </w:p>
    <w:p>
      <w:pPr>
        <w:widowControl/>
        <w:autoSpaceDE w:val="0"/>
        <w:spacing w:line="520" w:lineRule="exact"/>
        <w:ind w:firstLine="560" w:firstLineChars="200"/>
        <w:jc w:val="left"/>
        <w:rPr>
          <w:rFonts w:ascii="黑体" w:hAnsi="黑体" w:eastAsia="黑体" w:cs="黑体"/>
          <w:color w:val="000000"/>
          <w:kern w:val="0"/>
          <w:sz w:val="30"/>
          <w:szCs w:val="30"/>
        </w:rPr>
      </w:pPr>
      <w:r>
        <w:rPr>
          <w:rFonts w:hint="eastAsia" w:ascii="黑体" w:hAnsi="黑体" w:eastAsia="黑体" w:cs="黑体"/>
          <w:color w:val="000000"/>
          <w:kern w:val="0"/>
          <w:sz w:val="28"/>
          <w:szCs w:val="28"/>
        </w:rPr>
        <w:t>二、绩效目标完成情况</w:t>
      </w:r>
    </w:p>
    <w:p>
      <w:pPr>
        <w:widowControl/>
        <w:autoSpaceDE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1.执行率情况。</w:t>
      </w:r>
    </w:p>
    <w:p>
      <w:pPr>
        <w:widowControl/>
        <w:autoSpaceDE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2021年</w:t>
      </w:r>
      <w:r>
        <w:rPr>
          <w:rFonts w:hint="eastAsia" w:ascii="宋体" w:hAnsi="宋体" w:cs="宋体"/>
          <w:kern w:val="0"/>
          <w:sz w:val="28"/>
          <w:szCs w:val="28"/>
        </w:rPr>
        <w:t>招</w:t>
      </w:r>
      <w:r>
        <w:rPr>
          <w:rFonts w:hint="eastAsia" w:ascii="宋体" w:hAnsi="宋体" w:cs="宋体"/>
          <w:color w:val="000000"/>
          <w:kern w:val="0"/>
          <w:sz w:val="28"/>
          <w:szCs w:val="28"/>
        </w:rPr>
        <w:t>商引资专项项目年初预算为12000万元，预算执行数为11193.25万元，执行率为93.28%。</w:t>
      </w:r>
    </w:p>
    <w:p>
      <w:pPr>
        <w:widowControl/>
        <w:autoSpaceDE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2.完成的绩效目标。</w:t>
      </w:r>
    </w:p>
    <w:p>
      <w:pPr>
        <w:widowControl/>
        <w:autoSpaceDE w:val="0"/>
        <w:spacing w:line="520" w:lineRule="exact"/>
        <w:ind w:firstLine="560" w:firstLineChars="200"/>
        <w:jc w:val="left"/>
        <w:rPr>
          <w:rFonts w:hint="eastAsia" w:ascii="宋体" w:hAnsi="宋体" w:cs="宋体"/>
          <w:color w:val="000000"/>
          <w:kern w:val="0"/>
          <w:sz w:val="28"/>
          <w:szCs w:val="28"/>
        </w:rPr>
      </w:pPr>
      <w:bookmarkStart w:id="0" w:name="_GoBack"/>
      <w:r>
        <w:rPr>
          <w:rFonts w:hint="eastAsia" w:ascii="宋体" w:hAnsi="宋体" w:cs="宋体"/>
          <w:color w:val="000000"/>
          <w:kern w:val="0"/>
          <w:sz w:val="28"/>
          <w:szCs w:val="28"/>
        </w:rPr>
        <w:t>企业对于“协税护税”工作满意度为100%。我街精心挑选具有一定专业知识和服务态度好的人员，成立协税护税工作专班为企业服务。“心贴心”做好企业税收宣传和辅导，热情解答、协调各类涉税问题，以真心换满意，全心全意为纳税人提供优质高效的纳税服务，得到了辖区内广大企业的认可和好评；我街对辖区内企业和拟投资项目逐一摸排、走访，及时回应和解决企业人员、资金、材料等困难，做到企业院子外的事政府做，院子内的事企业做，同企业一道重启经济；我街积极协助辖区内46户个体工商户、86户企业申报纾困资金，通过网上帮助登记注册新设立公司13家。</w:t>
      </w:r>
    </w:p>
    <w:bookmarkEnd w:id="0"/>
    <w:p>
      <w:pPr>
        <w:widowControl/>
        <w:autoSpaceDE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3.未完成的绩效目标。</w:t>
      </w:r>
    </w:p>
    <w:p>
      <w:pPr>
        <w:ind w:firstLine="560" w:firstLineChars="200"/>
        <w:rPr>
          <w:rFonts w:ascii="宋体" w:hAnsi="宋体" w:cs="宋体"/>
          <w:bCs/>
          <w:sz w:val="28"/>
          <w:szCs w:val="28"/>
        </w:rPr>
      </w:pPr>
      <w:r>
        <w:rPr>
          <w:rFonts w:hint="eastAsia" w:ascii="宋体" w:hAnsi="宋体" w:cs="宋体"/>
          <w:bCs/>
          <w:sz w:val="28"/>
          <w:szCs w:val="28"/>
        </w:rPr>
        <w:t>2021年招商引资专项项目年初预算为12000万元，预算执行数为11193.25万元。受疫情影响，我街重点企业、生产型企业税收大幅下降，企业享受疫情税收减免政策，地方一般公共预算目标值达不到区下达目标值。我街签订扶持协议企业税收减少，相对应的企业扶持金也减少。</w:t>
      </w:r>
    </w:p>
    <w:p>
      <w:pPr>
        <w:ind w:firstLine="560" w:firstLineChars="200"/>
        <w:rPr>
          <w:rFonts w:ascii="宋体" w:hAnsi="宋体" w:cs="宋体"/>
          <w:color w:val="000000"/>
          <w:kern w:val="0"/>
          <w:sz w:val="28"/>
          <w:szCs w:val="28"/>
        </w:rPr>
      </w:pPr>
      <w:r>
        <w:rPr>
          <w:rFonts w:hint="eastAsia" w:ascii="宋体" w:hAnsi="宋体" w:cs="宋体"/>
          <w:bCs/>
          <w:sz w:val="28"/>
          <w:szCs w:val="28"/>
        </w:rPr>
        <w:t>2021年年初，辖区项目供电工程施工目标值约为4个，最终完成1个。辖区项目供电工程施工中泰尔美用地电力迁改费用已支付，武汉联诚、湖北创想三维项目、武汉青创城项目工期受疫情影响，于2021年年底供电工程施工完成，目前项目概算已批复，处于请款阶段。</w:t>
      </w:r>
    </w:p>
    <w:p>
      <w:pPr>
        <w:ind w:firstLine="560" w:firstLineChars="200"/>
        <w:rPr>
          <w:rFonts w:ascii="黑体" w:hAnsi="黑体" w:eastAsia="黑体" w:cs="黑体"/>
          <w:color w:val="000000"/>
          <w:kern w:val="0"/>
          <w:sz w:val="28"/>
          <w:szCs w:val="28"/>
        </w:rPr>
      </w:pPr>
      <w:r>
        <w:rPr>
          <w:rFonts w:hint="eastAsia" w:ascii="黑体" w:hAnsi="黑体" w:eastAsia="黑体" w:cs="黑体"/>
          <w:color w:val="000000"/>
          <w:kern w:val="0"/>
          <w:sz w:val="28"/>
          <w:szCs w:val="28"/>
        </w:rPr>
        <w:t>三、存在的问题和原因</w:t>
      </w:r>
    </w:p>
    <w:p>
      <w:pPr>
        <w:ind w:firstLine="560" w:firstLineChars="200"/>
        <w:rPr>
          <w:rFonts w:ascii="宋体" w:hAnsi="宋体" w:cs="宋体"/>
          <w:sz w:val="28"/>
          <w:szCs w:val="28"/>
        </w:rPr>
      </w:pPr>
      <w:r>
        <w:rPr>
          <w:rFonts w:hint="eastAsia" w:ascii="宋体" w:hAnsi="宋体" w:cs="宋体"/>
          <w:sz w:val="28"/>
          <w:szCs w:val="28"/>
        </w:rPr>
        <w:t>1.受疫情影响，税收情况尚未恢复到疫前水平</w:t>
      </w:r>
    </w:p>
    <w:p>
      <w:pPr>
        <w:ind w:firstLine="560" w:firstLineChars="200"/>
        <w:rPr>
          <w:rFonts w:ascii="宋体" w:hAnsi="宋体" w:cs="宋体"/>
          <w:sz w:val="28"/>
          <w:szCs w:val="28"/>
        </w:rPr>
      </w:pPr>
      <w:r>
        <w:rPr>
          <w:rFonts w:hint="eastAsia" w:ascii="宋体" w:hAnsi="宋体" w:cs="宋体"/>
          <w:sz w:val="28"/>
          <w:szCs w:val="28"/>
        </w:rPr>
        <w:t>辖区内大部分企业税收水平同比下降。生产型企业旭东、凯奇受影响较大；街道重点企业包括舵落口物流、欧亚达家具街、玛丽文化、联盟建工等企业，与同期相比财力减少，因而未达到预期目标值。</w:t>
      </w:r>
    </w:p>
    <w:p>
      <w:pPr>
        <w:ind w:firstLine="560" w:firstLineChars="200"/>
        <w:rPr>
          <w:rFonts w:ascii="宋体" w:hAnsi="宋体" w:cs="宋体"/>
          <w:sz w:val="28"/>
          <w:szCs w:val="28"/>
        </w:rPr>
      </w:pPr>
      <w:r>
        <w:rPr>
          <w:rFonts w:hint="eastAsia" w:ascii="宋体" w:hAnsi="宋体" w:cs="宋体"/>
          <w:sz w:val="28"/>
          <w:szCs w:val="28"/>
        </w:rPr>
        <w:t>2.制造业增幅不甚理想，支撑辖区税源大户不多</w:t>
      </w:r>
    </w:p>
    <w:p>
      <w:pPr>
        <w:ind w:firstLine="560" w:firstLineChars="200"/>
        <w:rPr>
          <w:rFonts w:ascii="宋体" w:hAnsi="宋体" w:cs="宋体"/>
          <w:sz w:val="28"/>
          <w:szCs w:val="28"/>
        </w:rPr>
      </w:pPr>
      <w:r>
        <w:rPr>
          <w:rFonts w:hint="eastAsia" w:ascii="宋体" w:hAnsi="宋体" w:cs="宋体"/>
          <w:sz w:val="28"/>
          <w:szCs w:val="28"/>
        </w:rPr>
        <w:t>辖区税源大户不多，街道税源主要依靠第三产业即中国平安财产保险股份有限公司东西湖支公司，该公司每月对街道财力贡献度超过50%，而街道其他产业如制造业增幅不甚理想。</w:t>
      </w:r>
    </w:p>
    <w:p>
      <w:pPr>
        <w:ind w:firstLine="560" w:firstLineChars="200"/>
        <w:rPr>
          <w:rFonts w:ascii="宋体" w:hAnsi="宋体" w:cs="宋体"/>
          <w:sz w:val="28"/>
          <w:szCs w:val="28"/>
        </w:rPr>
      </w:pPr>
      <w:r>
        <w:rPr>
          <w:rFonts w:hint="eastAsia" w:ascii="宋体" w:hAnsi="宋体" w:cs="宋体"/>
          <w:sz w:val="28"/>
          <w:szCs w:val="28"/>
        </w:rPr>
        <w:t>3.发展空间有限</w:t>
      </w:r>
    </w:p>
    <w:p>
      <w:pPr>
        <w:ind w:firstLine="560" w:firstLineChars="200"/>
        <w:rPr>
          <w:rFonts w:ascii="宋体" w:hAnsi="宋体" w:cs="宋体"/>
          <w:sz w:val="28"/>
          <w:szCs w:val="28"/>
        </w:rPr>
      </w:pPr>
      <w:r>
        <w:rPr>
          <w:rFonts w:hint="eastAsia" w:ascii="宋体" w:hAnsi="宋体" w:cs="宋体"/>
          <w:sz w:val="28"/>
          <w:szCs w:val="28"/>
        </w:rPr>
        <w:t>一是街道紧邻吴家山经济开发区核心区域及新城区，土地资源十分缺乏，难为较大企业提供良好的发展空间，以至于部分企业需要扩大再生产时，由于在街道内没有土地资源，因此搬迁至其他街道或周边孝感、安陆、汉川等县市。二是由于街道土地资源稀缺，厂房厂地极易出租，许多规上、规下企业将其一租了之。例如：天龙钢构、烁升生物、武汉变压器等等企业，均对外出租。出租出去的厂房厂地大部分都属于物流业。</w:t>
      </w:r>
    </w:p>
    <w:p>
      <w:pPr>
        <w:ind w:firstLine="560" w:firstLineChars="200"/>
        <w:rPr>
          <w:rFonts w:ascii="宋体" w:hAnsi="宋体" w:cs="宋体"/>
          <w:sz w:val="28"/>
          <w:szCs w:val="28"/>
        </w:rPr>
      </w:pPr>
      <w:r>
        <w:rPr>
          <w:rFonts w:hint="eastAsia" w:ascii="宋体" w:hAnsi="宋体" w:cs="宋体"/>
          <w:sz w:val="28"/>
          <w:szCs w:val="28"/>
        </w:rPr>
        <w:t>4.部分大型企业占用土地资源面积较大，但大部分税收在总部，转户难度很大。九州通医药集团股份有限公司占用我辖区土地约400亩，在我区注册了9家子公司，疫情期间因医药订单税收有所增长，但其税收大部分一直落户在汉阳，未转到我区。</w:t>
      </w:r>
    </w:p>
    <w:p>
      <w:pPr>
        <w:ind w:firstLine="560" w:firstLineChars="200"/>
        <w:rPr>
          <w:rFonts w:ascii="黑体" w:hAnsi="黑体" w:eastAsia="黑体" w:cs="黑体"/>
          <w:sz w:val="28"/>
          <w:szCs w:val="28"/>
        </w:rPr>
      </w:pPr>
      <w:r>
        <w:rPr>
          <w:rFonts w:hint="eastAsia" w:ascii="黑体" w:hAnsi="黑体" w:eastAsia="黑体" w:cs="黑体"/>
          <w:sz w:val="28"/>
          <w:szCs w:val="28"/>
        </w:rPr>
        <w:t>四、下一步工作举措</w:t>
      </w:r>
    </w:p>
    <w:p>
      <w:pPr>
        <w:ind w:firstLine="560" w:firstLineChars="200"/>
        <w:rPr>
          <w:rFonts w:ascii="宋体" w:hAnsi="宋体" w:cs="宋体"/>
          <w:sz w:val="28"/>
          <w:szCs w:val="28"/>
        </w:rPr>
      </w:pPr>
      <w:r>
        <w:rPr>
          <w:rFonts w:hint="eastAsia" w:ascii="宋体" w:hAnsi="宋体" w:cs="宋体"/>
          <w:sz w:val="28"/>
          <w:szCs w:val="28"/>
        </w:rPr>
        <w:t>1.建立健全绩效指标体系，提高预算绩效管理意识。</w:t>
      </w:r>
    </w:p>
    <w:p>
      <w:pPr>
        <w:ind w:firstLine="560" w:firstLineChars="200"/>
        <w:rPr>
          <w:rFonts w:ascii="宋体" w:hAnsi="宋体" w:cs="宋体"/>
          <w:sz w:val="28"/>
          <w:szCs w:val="28"/>
        </w:rPr>
      </w:pPr>
      <w:r>
        <w:rPr>
          <w:rFonts w:hint="eastAsia" w:ascii="宋体" w:hAnsi="宋体" w:cs="宋体"/>
          <w:sz w:val="28"/>
          <w:szCs w:val="28"/>
        </w:rPr>
        <w:t>根据自身项目特点，优先选择最能反映绩效管理要求的关键性指标。对于目标值设置不合理的，应该根据自身情况进行及时的调整，以便强化预算执行分析和财务监控，强化预算刚性约束。</w:t>
      </w:r>
    </w:p>
    <w:p>
      <w:pPr>
        <w:ind w:firstLine="560" w:firstLineChars="200"/>
        <w:rPr>
          <w:rFonts w:ascii="宋体" w:hAnsi="宋体" w:cs="宋体"/>
          <w:sz w:val="28"/>
          <w:szCs w:val="28"/>
        </w:rPr>
      </w:pPr>
      <w:r>
        <w:rPr>
          <w:rFonts w:hint="eastAsia" w:ascii="宋体" w:hAnsi="宋体" w:cs="宋体"/>
          <w:sz w:val="28"/>
          <w:szCs w:val="28"/>
        </w:rPr>
        <w:t>2.摸清底数，建立台账</w:t>
      </w:r>
    </w:p>
    <w:p>
      <w:pPr>
        <w:ind w:firstLine="560" w:firstLineChars="200"/>
        <w:rPr>
          <w:rFonts w:ascii="宋体" w:hAnsi="宋体" w:cs="宋体"/>
          <w:sz w:val="28"/>
          <w:szCs w:val="28"/>
        </w:rPr>
      </w:pPr>
      <w:r>
        <w:rPr>
          <w:rFonts w:hint="eastAsia" w:ascii="宋体" w:hAnsi="宋体" w:cs="宋体"/>
          <w:sz w:val="28"/>
          <w:szCs w:val="28"/>
        </w:rPr>
        <w:t>各社区居委会、大队对辖区纳税户和个体工商户进行全面摸底，并与区税务局税源管理户数和街道安办等科室提供的企业户数进行逐一核对，跟踪管理，及时掌握动态信息，促进税源管理。对重点税源企业和较大纳税大户的生产经营、销售、税款入库、变更、注销、搬迁等情况进行监控，并做到掌握信息，及时反映。</w:t>
      </w:r>
    </w:p>
    <w:p>
      <w:pPr>
        <w:ind w:firstLine="560" w:firstLineChars="200"/>
        <w:rPr>
          <w:rFonts w:ascii="宋体" w:hAnsi="宋体" w:cs="宋体"/>
          <w:sz w:val="28"/>
          <w:szCs w:val="28"/>
        </w:rPr>
      </w:pPr>
      <w:r>
        <w:rPr>
          <w:rFonts w:hint="eastAsia" w:ascii="宋体" w:hAnsi="宋体" w:cs="宋体"/>
          <w:sz w:val="28"/>
          <w:szCs w:val="28"/>
        </w:rPr>
        <w:t>3.挖掘资源，扩大税源，强化招商引资</w:t>
      </w:r>
    </w:p>
    <w:p>
      <w:pPr>
        <w:ind w:firstLine="560" w:firstLineChars="200"/>
        <w:rPr>
          <w:rFonts w:ascii="宋体" w:hAnsi="宋体" w:cs="宋体"/>
          <w:sz w:val="28"/>
          <w:szCs w:val="28"/>
        </w:rPr>
      </w:pPr>
      <w:r>
        <w:rPr>
          <w:rFonts w:hint="eastAsia" w:ascii="宋体" w:hAnsi="宋体" w:cs="宋体"/>
          <w:sz w:val="28"/>
          <w:szCs w:val="28"/>
        </w:rPr>
        <w:t>通过大力招商，引进资金，不断壮大本地税源，为招商引资搭建良好的平台。进一步拓宽思路，营造环境，创造条件，保证新引进项目引得来、留得住、站得稳、生效快，使新项目效益尽快转化体现到税收上来。</w:t>
      </w:r>
    </w:p>
    <w:p>
      <w:pPr>
        <w:ind w:firstLine="560" w:firstLineChars="200"/>
        <w:rPr>
          <w:rFonts w:ascii="宋体" w:hAnsi="宋体" w:cs="宋体"/>
          <w:sz w:val="28"/>
          <w:szCs w:val="28"/>
        </w:rPr>
      </w:pPr>
      <w:r>
        <w:rPr>
          <w:rFonts w:hint="eastAsia" w:ascii="宋体" w:hAnsi="宋体" w:cs="宋体"/>
          <w:sz w:val="28"/>
          <w:szCs w:val="28"/>
        </w:rPr>
        <w:t>4.继续抓好协调联动机制运行。</w:t>
      </w:r>
    </w:p>
    <w:p>
      <w:pPr>
        <w:ind w:firstLine="560" w:firstLineChars="200"/>
        <w:rPr>
          <w:rFonts w:ascii="宋体" w:hAnsi="宋体" w:cs="宋体"/>
          <w:sz w:val="28"/>
          <w:szCs w:val="28"/>
        </w:rPr>
      </w:pPr>
      <w:r>
        <w:rPr>
          <w:rFonts w:hint="eastAsia" w:ascii="宋体" w:hAnsi="宋体" w:cs="宋体"/>
          <w:sz w:val="28"/>
          <w:szCs w:val="28"/>
        </w:rPr>
        <w:t>加强企业税收管控，增强与涉税部门的沟通协调，强化税收共治，推进财税信息共享平台建设。加大税源巡查力度，坚持做好每月税收形势分析，及时排查寻找新的税收增长点，确保各类税收及时足额入库。</w:t>
      </w:r>
    </w:p>
    <w:p>
      <w:pPr>
        <w:ind w:left="-139" w:leftChars="-66" w:firstLine="560" w:firstLineChars="200"/>
        <w:rPr>
          <w:rFonts w:ascii="宋体" w:hAnsi="宋体" w:cs="宋体"/>
          <w:sz w:val="28"/>
          <w:szCs w:val="28"/>
        </w:rPr>
      </w:pPr>
      <w:r>
        <w:rPr>
          <w:rFonts w:hint="eastAsia" w:ascii="宋体" w:hAnsi="宋体" w:cs="宋体"/>
          <w:sz w:val="28"/>
          <w:szCs w:val="28"/>
        </w:rPr>
        <w:t>5、搞好跟踪服务，加强与其联系和沟通。</w:t>
      </w:r>
    </w:p>
    <w:p>
      <w:pPr>
        <w:ind w:left="-139" w:leftChars="-66" w:firstLine="560" w:firstLineChars="200"/>
        <w:rPr>
          <w:rFonts w:ascii="宋体" w:hAnsi="宋体" w:cs="宋体"/>
          <w:sz w:val="28"/>
          <w:szCs w:val="28"/>
        </w:rPr>
      </w:pPr>
      <w:r>
        <w:rPr>
          <w:rFonts w:hint="eastAsia" w:ascii="宋体" w:hAnsi="宋体" w:cs="宋体"/>
          <w:sz w:val="28"/>
          <w:szCs w:val="28"/>
        </w:rPr>
        <w:t>定期走访和加强对平安公司、九州通、舵落口物流等重点企业的沟通和协调，及时准确地掌握企业的动向，为企业排忧解难，为企业的发展提供支持，以优质的服务稳定现有税源。</w:t>
      </w:r>
    </w:p>
    <w:p>
      <w:pPr>
        <w:ind w:left="-139" w:leftChars="-66" w:firstLine="560" w:firstLineChars="200"/>
        <w:rPr>
          <w:rFonts w:ascii="宋体" w:hAnsi="宋体" w:cs="宋体"/>
          <w:sz w:val="28"/>
          <w:szCs w:val="28"/>
        </w:rPr>
      </w:pPr>
    </w:p>
    <w:p>
      <w:pPr>
        <w:ind w:left="-139" w:leftChars="-66" w:firstLine="560" w:firstLineChars="200"/>
        <w:rPr>
          <w:rFonts w:ascii="宋体" w:hAnsi="宋体" w:cs="宋体"/>
          <w:sz w:val="28"/>
          <w:szCs w:val="28"/>
        </w:rPr>
      </w:pPr>
      <w:r>
        <w:rPr>
          <w:rFonts w:hint="eastAsia" w:ascii="宋体" w:hAnsi="宋体" w:cs="宋体"/>
          <w:sz w:val="28"/>
          <w:szCs w:val="28"/>
        </w:rPr>
        <w:t>附件：1.《区发改局关于武汉联诚、湖北创想三维、武汉青创城供电工程初步设计的批复》</w:t>
      </w:r>
    </w:p>
    <w:p>
      <w:pPr>
        <w:numPr>
          <w:ilvl w:val="0"/>
          <w:numId w:val="1"/>
        </w:numPr>
        <w:ind w:left="-139" w:leftChars="-66" w:firstLine="1400" w:firstLineChars="500"/>
        <w:rPr>
          <w:rFonts w:ascii="宋体" w:hAnsi="宋体" w:cs="宋体"/>
          <w:sz w:val="28"/>
          <w:szCs w:val="28"/>
        </w:rPr>
      </w:pPr>
      <w:r>
        <w:rPr>
          <w:rFonts w:hint="eastAsia" w:ascii="宋体" w:hAnsi="宋体" w:cs="宋体"/>
          <w:sz w:val="28"/>
          <w:szCs w:val="28"/>
        </w:rPr>
        <w:t>泰尔美用地电力迁改已支付相关资料</w:t>
      </w:r>
    </w:p>
    <w:p>
      <w:pPr>
        <w:numPr>
          <w:ilvl w:val="0"/>
          <w:numId w:val="1"/>
        </w:numPr>
        <w:ind w:left="-139" w:leftChars="-66" w:firstLine="1400" w:firstLineChars="500"/>
        <w:rPr>
          <w:rFonts w:ascii="宋体" w:hAnsi="宋体" w:cs="宋体"/>
          <w:sz w:val="28"/>
          <w:szCs w:val="28"/>
        </w:rPr>
      </w:pPr>
      <w:r>
        <w:rPr>
          <w:rFonts w:hint="eastAsia" w:ascii="宋体" w:hAnsi="宋体" w:cs="宋体"/>
          <w:sz w:val="28"/>
          <w:szCs w:val="28"/>
        </w:rPr>
        <w:t>长青街关于营商环境调查问卷</w:t>
      </w:r>
    </w:p>
    <w:p/>
    <w:sectPr>
      <w:headerReference r:id="rId3" w:type="default"/>
      <w:footerReference r:id="rId5" w:type="default"/>
      <w:headerReference r:id="rId4" w:type="even"/>
      <w:footerReference r:id="rId6" w:type="even"/>
      <w:pgSz w:w="11906" w:h="16838"/>
      <w:pgMar w:top="1928" w:right="1531" w:bottom="1814" w:left="1531" w:header="851" w:footer="14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EC03B4"/>
    <w:multiLevelType w:val="singleLevel"/>
    <w:tmpl w:val="94EC03B4"/>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E866433"/>
    <w:rsid w:val="000A2D4E"/>
    <w:rsid w:val="000C7A6D"/>
    <w:rsid w:val="00292087"/>
    <w:rsid w:val="00412DFC"/>
    <w:rsid w:val="006E3C64"/>
    <w:rsid w:val="017B429C"/>
    <w:rsid w:val="06EC73B7"/>
    <w:rsid w:val="210C4331"/>
    <w:rsid w:val="229E5EAD"/>
    <w:rsid w:val="28BC4235"/>
    <w:rsid w:val="2E866433"/>
    <w:rsid w:val="31F6374C"/>
    <w:rsid w:val="37F3560C"/>
    <w:rsid w:val="38167A63"/>
    <w:rsid w:val="41AF0FFA"/>
    <w:rsid w:val="462E4EA5"/>
    <w:rsid w:val="487D096B"/>
    <w:rsid w:val="4D313349"/>
    <w:rsid w:val="50590CAE"/>
    <w:rsid w:val="753A6515"/>
    <w:rsid w:val="76485F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Internet</Company>
  <Pages>4</Pages>
  <Words>295</Words>
  <Characters>1685</Characters>
  <Lines>14</Lines>
  <Paragraphs>3</Paragraphs>
  <TotalTime>76</TotalTime>
  <ScaleCrop>false</ScaleCrop>
  <LinksUpToDate>false</LinksUpToDate>
  <CharactersWithSpaces>1977</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2022-04-25T02:06:00Z</dcterms:created>
  <dc:creator>: Les nuages pleurent</dc:creator>
  <cp:lastModifiedBy>: Les nuages pleurent</cp:lastModifiedBy>
  <dcterms:modified xsi:type="dcterms:W3CDTF">2022-05-01T07:24:46Z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