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rPr>
        <w:t>2021年度机关和基层履职支出项目自评结果</w:t>
      </w:r>
    </w:p>
    <w:p>
      <w:pPr>
        <w:widowControl/>
        <w:spacing w:line="432" w:lineRule="atLeast"/>
        <w:jc w:val="center"/>
        <w:rPr>
          <w:rFonts w:ascii="楷体_GB2312" w:hAnsi="宋体" w:eastAsia="楷体_GB2312" w:cs="宋体"/>
          <w:color w:val="000000"/>
          <w:kern w:val="0"/>
          <w:sz w:val="24"/>
          <w:szCs w:val="24"/>
        </w:rPr>
      </w:pPr>
    </w:p>
    <w:p>
      <w:pPr>
        <w:widowControl/>
        <w:numPr>
          <w:ilvl w:val="0"/>
          <w:numId w:val="1"/>
        </w:numPr>
        <w:spacing w:line="520" w:lineRule="exact"/>
        <w:ind w:firstLine="560" w:firstLineChars="200"/>
        <w:jc w:val="left"/>
        <w:rPr>
          <w:rFonts w:ascii="黑体" w:hAnsi="黑体" w:eastAsia="黑体" w:cs="黑体"/>
          <w:color w:val="000000"/>
          <w:kern w:val="0"/>
          <w:sz w:val="28"/>
          <w:szCs w:val="28"/>
        </w:rPr>
      </w:pPr>
      <w:r>
        <w:rPr>
          <w:rFonts w:hint="eastAsia" w:ascii="黑体" w:hAnsi="黑体" w:eastAsia="黑体" w:cs="黑体"/>
          <w:color w:val="000000"/>
          <w:kern w:val="0"/>
          <w:sz w:val="28"/>
          <w:szCs w:val="28"/>
        </w:rPr>
        <w:t>自评得分</w:t>
      </w:r>
    </w:p>
    <w:p>
      <w:pPr>
        <w:widowControl/>
        <w:spacing w:line="520" w:lineRule="exact"/>
        <w:jc w:val="left"/>
        <w:rPr>
          <w:rFonts w:ascii="黑体" w:hAnsi="黑体" w:eastAsia="黑体" w:cs="黑体"/>
          <w:color w:val="000000"/>
          <w:kern w:val="0"/>
          <w:sz w:val="28"/>
          <w:szCs w:val="28"/>
        </w:rPr>
      </w:pPr>
    </w:p>
    <w:tbl>
      <w:tblPr>
        <w:tblStyle w:val="6"/>
        <w:tblW w:w="8299" w:type="dxa"/>
        <w:tblInd w:w="6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2063"/>
        <w:gridCol w:w="2063"/>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评分项目</w:t>
            </w:r>
          </w:p>
        </w:tc>
        <w:tc>
          <w:tcPr>
            <w:tcW w:w="2063"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权重</w:t>
            </w:r>
          </w:p>
        </w:tc>
        <w:tc>
          <w:tcPr>
            <w:tcW w:w="2063"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评分值</w:t>
            </w:r>
          </w:p>
        </w:tc>
        <w:tc>
          <w:tcPr>
            <w:tcW w:w="2065"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本项得分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预算执行情况</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20%</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20</w:t>
            </w:r>
          </w:p>
        </w:tc>
        <w:tc>
          <w:tcPr>
            <w:tcW w:w="2065"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19.28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产出指标</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40%</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40</w:t>
            </w:r>
          </w:p>
        </w:tc>
        <w:tc>
          <w:tcPr>
            <w:tcW w:w="2065"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满意度指标</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40%</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40</w:t>
            </w:r>
          </w:p>
        </w:tc>
        <w:tc>
          <w:tcPr>
            <w:tcW w:w="2065"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noWrap/>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汇总</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100%</w:t>
            </w:r>
          </w:p>
        </w:tc>
        <w:tc>
          <w:tcPr>
            <w:tcW w:w="2063"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100</w:t>
            </w:r>
          </w:p>
        </w:tc>
        <w:tc>
          <w:tcPr>
            <w:tcW w:w="2065" w:type="dxa"/>
            <w:noWrap/>
            <w:vAlign w:val="center"/>
          </w:tcPr>
          <w:p>
            <w:pPr>
              <w:widowControl/>
              <w:autoSpaceDE w:val="0"/>
              <w:spacing w:line="520" w:lineRule="exact"/>
              <w:jc w:val="center"/>
              <w:rPr>
                <w:rFonts w:ascii="宋体" w:hAnsi="宋体"/>
                <w:color w:val="000000"/>
                <w:kern w:val="0"/>
                <w:sz w:val="30"/>
                <w:szCs w:val="30"/>
              </w:rPr>
            </w:pPr>
            <w:r>
              <w:rPr>
                <w:rFonts w:hint="eastAsia" w:ascii="宋体" w:hAnsi="宋体"/>
                <w:color w:val="000000"/>
                <w:kern w:val="0"/>
                <w:sz w:val="30"/>
                <w:szCs w:val="30"/>
              </w:rPr>
              <w:t>99.28</w:t>
            </w:r>
          </w:p>
        </w:tc>
      </w:tr>
    </w:tbl>
    <w:p>
      <w:pPr>
        <w:widowControl/>
        <w:spacing w:line="520" w:lineRule="exact"/>
        <w:ind w:firstLine="560" w:firstLineChars="200"/>
        <w:jc w:val="left"/>
        <w:rPr>
          <w:rFonts w:ascii="黑体" w:hAnsi="黑体" w:eastAsia="黑体" w:cs="黑体"/>
          <w:color w:val="000000"/>
          <w:kern w:val="0"/>
          <w:sz w:val="28"/>
          <w:szCs w:val="28"/>
        </w:rPr>
      </w:pPr>
    </w:p>
    <w:p>
      <w:pPr>
        <w:widowControl/>
        <w:spacing w:line="520" w:lineRule="exact"/>
        <w:ind w:firstLine="560" w:firstLineChars="200"/>
        <w:jc w:val="left"/>
        <w:rPr>
          <w:rFonts w:ascii="黑体" w:hAnsi="黑体" w:eastAsia="黑体" w:cs="黑体"/>
          <w:color w:val="000000"/>
          <w:kern w:val="0"/>
          <w:sz w:val="28"/>
          <w:szCs w:val="28"/>
        </w:rPr>
      </w:pPr>
      <w:r>
        <w:rPr>
          <w:rFonts w:hint="eastAsia" w:ascii="黑体" w:hAnsi="黑体" w:eastAsia="黑体" w:cs="黑体"/>
          <w:color w:val="000000"/>
          <w:kern w:val="0"/>
          <w:sz w:val="28"/>
          <w:szCs w:val="28"/>
        </w:rPr>
        <w:t>二、绩效目标完成情况</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1.执行率情况。</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2021年项目预算总额</w:t>
      </w:r>
      <w:r>
        <w:rPr>
          <w:rFonts w:ascii="宋体" w:hAnsi="宋体" w:cs="宋体"/>
          <w:color w:val="000000"/>
          <w:kern w:val="0"/>
          <w:sz w:val="28"/>
          <w:szCs w:val="28"/>
        </w:rPr>
        <w:t>14095.66</w:t>
      </w:r>
      <w:r>
        <w:rPr>
          <w:rFonts w:hint="eastAsia" w:ascii="宋体" w:hAnsi="宋体" w:cs="宋体"/>
          <w:color w:val="000000"/>
          <w:kern w:val="0"/>
          <w:sz w:val="28"/>
          <w:szCs w:val="28"/>
        </w:rPr>
        <w:t>万元，执行数</w:t>
      </w:r>
      <w:r>
        <w:rPr>
          <w:rFonts w:ascii="宋体" w:hAnsi="宋体" w:cs="宋体"/>
          <w:color w:val="000000"/>
          <w:kern w:val="0"/>
          <w:sz w:val="28"/>
          <w:szCs w:val="28"/>
        </w:rPr>
        <w:t>13589.78</w:t>
      </w:r>
      <w:r>
        <w:rPr>
          <w:rFonts w:hint="eastAsia" w:ascii="宋体" w:hAnsi="宋体" w:cs="宋体"/>
          <w:color w:val="000000"/>
          <w:kern w:val="0"/>
          <w:sz w:val="28"/>
          <w:szCs w:val="28"/>
        </w:rPr>
        <w:t>万元，资金执行率96.41%。</w:t>
      </w:r>
    </w:p>
    <w:p>
      <w:pPr>
        <w:widowControl/>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2.完成的绩效目标。</w:t>
      </w:r>
    </w:p>
    <w:p>
      <w:pPr>
        <w:widowControl/>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1）补齐公共服务短板，提升城市品质。启动革新社区、新建大队的老年人互助中心建设，增加老年人服务场所731.9平方米。申报三民小区纳入2021年东西湖区老旧小区提档改造计划，衔接代建单位区城投公司启动小区改造施工，楼栋外墙喷涂改造完毕。</w:t>
      </w:r>
    </w:p>
    <w:p>
      <w:pPr>
        <w:widowControl/>
        <w:spacing w:line="520" w:lineRule="exact"/>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全力打造社区养老服务。规划建设革新社区居委会社区老年人服务站及新建大队胜利村新建老年人互助照料活动中心，使用面积达1100㎡，预计10月底完成施工，11月初完成设备采购和安装。在现有社会养老机构运营的基础上，新引入湖北盛世炎黄养老服务有限公司对三民社区老年人服务中心、幸福食堂和华星社区老年人服务中心进行社会化运营，社会化运营率达100%。打造金鼎湾绿色养老、合兴里怀旧剧场、幸福苑贴心服务及豫剧、“ 时光“敬”好·喜“孝”颜开”重阳游园会等系列为老服务品牌，开展健康检查、心理慰藉、公益理发、康复理疗等照料服务1800余人次/月。</w:t>
      </w:r>
    </w:p>
    <w:p>
      <w:pPr>
        <w:widowControl/>
        <w:spacing w:line="520" w:lineRule="exact"/>
        <w:ind w:firstLine="560" w:firstLineChars="200"/>
        <w:jc w:val="left"/>
        <w:rPr>
          <w:rFonts w:ascii="宋体" w:hAnsi="宋体" w:cs="宋体"/>
          <w:color w:val="000000"/>
          <w:kern w:val="0"/>
          <w:sz w:val="28"/>
          <w:szCs w:val="28"/>
        </w:rPr>
      </w:pPr>
      <w:bookmarkStart w:id="0" w:name="_GoBack"/>
      <w:bookmarkEnd w:id="0"/>
      <w:r>
        <w:rPr>
          <w:rFonts w:hint="eastAsia" w:ascii="宋体" w:hAnsi="宋体" w:cs="宋体"/>
          <w:color w:val="000000"/>
          <w:kern w:val="0"/>
          <w:sz w:val="28"/>
          <w:szCs w:val="28"/>
        </w:rPr>
        <w:t>3.未完成的绩效目标。</w:t>
      </w:r>
    </w:p>
    <w:p>
      <w:pPr>
        <w:widowControl/>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2021年项目预算总额</w:t>
      </w:r>
      <w:r>
        <w:rPr>
          <w:rFonts w:ascii="宋体" w:hAnsi="宋体" w:cs="宋体"/>
          <w:color w:val="000000"/>
          <w:kern w:val="0"/>
          <w:sz w:val="28"/>
          <w:szCs w:val="28"/>
        </w:rPr>
        <w:t>14095.66</w:t>
      </w:r>
      <w:r>
        <w:rPr>
          <w:rFonts w:hint="eastAsia" w:ascii="宋体" w:hAnsi="宋体" w:cs="宋体"/>
          <w:color w:val="000000"/>
          <w:kern w:val="0"/>
          <w:sz w:val="28"/>
          <w:szCs w:val="28"/>
        </w:rPr>
        <w:t>万元，实际完成数</w:t>
      </w:r>
      <w:r>
        <w:rPr>
          <w:rFonts w:ascii="宋体" w:hAnsi="宋体" w:cs="宋体"/>
          <w:color w:val="000000"/>
          <w:kern w:val="0"/>
          <w:sz w:val="28"/>
          <w:szCs w:val="28"/>
        </w:rPr>
        <w:t>13589.78</w:t>
      </w:r>
      <w:r>
        <w:rPr>
          <w:rFonts w:hint="eastAsia" w:ascii="宋体" w:hAnsi="宋体" w:cs="宋体"/>
          <w:color w:val="000000"/>
          <w:kern w:val="0"/>
          <w:sz w:val="28"/>
          <w:szCs w:val="28"/>
        </w:rPr>
        <w:t>万元，未完成绩效目标。由于该本年发生疫情，很多培训和大型活动无法组织，最终导致该绩效目标未完成。</w:t>
      </w:r>
    </w:p>
    <w:p>
      <w:pPr>
        <w:widowControl/>
        <w:spacing w:line="520" w:lineRule="exact"/>
        <w:ind w:firstLine="560" w:firstLineChars="200"/>
        <w:jc w:val="left"/>
        <w:rPr>
          <w:rFonts w:ascii="黑体" w:hAnsi="黑体" w:eastAsia="黑体" w:cs="黑体"/>
          <w:color w:val="000000"/>
          <w:kern w:val="0"/>
          <w:sz w:val="28"/>
          <w:szCs w:val="28"/>
        </w:rPr>
      </w:pPr>
      <w:r>
        <w:rPr>
          <w:rFonts w:hint="eastAsia" w:ascii="黑体" w:hAnsi="黑体" w:eastAsia="黑体" w:cs="黑体"/>
          <w:color w:val="000000"/>
          <w:kern w:val="0"/>
          <w:sz w:val="28"/>
          <w:szCs w:val="28"/>
        </w:rPr>
        <w:t>三、存在的问题和原因</w:t>
      </w:r>
    </w:p>
    <w:p>
      <w:pPr>
        <w:autoSpaceDE w:val="0"/>
        <w:spacing w:line="517" w:lineRule="exact"/>
        <w:ind w:firstLine="600" w:firstLineChars="200"/>
        <w:rPr>
          <w:rFonts w:ascii="宋体" w:hAnsi="宋体"/>
          <w:color w:val="000000"/>
          <w:kern w:val="0"/>
          <w:sz w:val="30"/>
          <w:szCs w:val="30"/>
        </w:rPr>
      </w:pPr>
      <w:r>
        <w:rPr>
          <w:rFonts w:hint="eastAsia" w:ascii="宋体" w:hAnsi="宋体"/>
          <w:color w:val="000000"/>
          <w:kern w:val="0"/>
          <w:sz w:val="30"/>
          <w:szCs w:val="30"/>
        </w:rPr>
        <w:t>1.绩效管理水平有待提高，项目执行过程中有效约束不够。预算编制与会计核算经济项目部分口径不一致，存在一定的偏差。佐证绩效目标实现的基础资料存档及绩效跟踪考核方面尚需进一步加强。</w:t>
      </w:r>
    </w:p>
    <w:p>
      <w:pPr>
        <w:autoSpaceDE w:val="0"/>
        <w:spacing w:line="517" w:lineRule="exact"/>
        <w:ind w:firstLine="600" w:firstLineChars="200"/>
        <w:rPr>
          <w:rFonts w:ascii="宋体" w:hAnsi="宋体"/>
          <w:color w:val="000000"/>
          <w:kern w:val="0"/>
          <w:sz w:val="30"/>
          <w:szCs w:val="30"/>
        </w:rPr>
      </w:pPr>
      <w:r>
        <w:rPr>
          <w:rFonts w:hint="eastAsia" w:ascii="宋体" w:hAnsi="宋体"/>
          <w:color w:val="000000"/>
          <w:kern w:val="0"/>
          <w:sz w:val="30"/>
          <w:szCs w:val="30"/>
        </w:rPr>
        <w:t>2.对绩效指标的定义认识不准确，导致绩效指标设置不够合理。具体而言，项目绩效目标的设置不够具体和全面，难以对该项目资金使用情况作出最有效的评价，如“城市社区养老服务设施全覆盖”即存在指标不够具体、难以考核，难以提供佐证资料的问题。</w:t>
      </w:r>
    </w:p>
    <w:p>
      <w:pPr>
        <w:widowControl/>
        <w:spacing w:line="520" w:lineRule="exact"/>
        <w:ind w:firstLine="560" w:firstLineChars="200"/>
        <w:jc w:val="left"/>
        <w:rPr>
          <w:rFonts w:ascii="黑体" w:hAnsi="黑体" w:eastAsia="黑体" w:cs="黑体"/>
          <w:color w:val="000000"/>
          <w:kern w:val="0"/>
          <w:sz w:val="28"/>
          <w:szCs w:val="28"/>
        </w:rPr>
      </w:pPr>
      <w:r>
        <w:rPr>
          <w:rFonts w:hint="eastAsia" w:ascii="黑体" w:hAnsi="黑体" w:eastAsia="黑体" w:cs="黑体"/>
          <w:color w:val="000000"/>
          <w:kern w:val="0"/>
          <w:sz w:val="28"/>
          <w:szCs w:val="28"/>
        </w:rPr>
        <w:t>四、下一步拟改进措施</w:t>
      </w:r>
    </w:p>
    <w:p>
      <w:pPr>
        <w:widowControl/>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1.优化预算绩效指标任务设置。根据该项目实际情况选择最能反映绩效管理要求的关键性指标，合理设定绩效指标值，提高绩效指标实际执行率。每年年中，应该对预算指标值进行调整，加强绩效指标值合理性和有效性。</w:t>
      </w:r>
    </w:p>
    <w:p>
      <w:pPr>
        <w:widowControl/>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2.强化预算绩效指标跟踪管控。按照预算绩效指标考核要求，提高预算绩效管理意识并及时跟进督促项目进度，强化指标任务的过程管控。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p>
      <w:pPr>
        <w:widowControl/>
        <w:spacing w:line="520" w:lineRule="exact"/>
        <w:jc w:val="left"/>
        <w:rPr>
          <w:rFonts w:ascii="宋体" w:hAnsi="宋体" w:cs="宋体"/>
          <w:color w:val="000000"/>
          <w:kern w:val="0"/>
          <w:sz w:val="28"/>
          <w:szCs w:val="28"/>
        </w:rPr>
      </w:pPr>
    </w:p>
    <w:p>
      <w:pPr>
        <w:widowControl/>
        <w:spacing w:line="520" w:lineRule="exact"/>
        <w:jc w:val="left"/>
        <w:rPr>
          <w:rFonts w:ascii="宋体" w:hAnsi="宋体" w:cs="宋体"/>
          <w:color w:val="000000"/>
          <w:kern w:val="0"/>
          <w:sz w:val="28"/>
          <w:szCs w:val="28"/>
        </w:rPr>
      </w:pPr>
    </w:p>
    <w:p>
      <w:r>
        <w:rPr>
          <w:rFonts w:hint="eastAsia" w:ascii="宋体" w:hAnsi="宋体" w:cs="宋体"/>
          <w:color w:val="000000"/>
          <w:kern w:val="0"/>
          <w:sz w:val="28"/>
          <w:szCs w:val="28"/>
        </w:rPr>
        <w:t>附件：1.城市社区养老服务设施佐证资料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EDEE5"/>
    <w:multiLevelType w:val="singleLevel"/>
    <w:tmpl w:val="6B0EDEE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791662C"/>
    <w:rsid w:val="0007085F"/>
    <w:rsid w:val="000A1BBB"/>
    <w:rsid w:val="00182CAD"/>
    <w:rsid w:val="00336891"/>
    <w:rsid w:val="00600B6D"/>
    <w:rsid w:val="006E7372"/>
    <w:rsid w:val="00702B47"/>
    <w:rsid w:val="00747332"/>
    <w:rsid w:val="00801E48"/>
    <w:rsid w:val="0092526B"/>
    <w:rsid w:val="00AF6A0A"/>
    <w:rsid w:val="00C25DD0"/>
    <w:rsid w:val="00EF50A8"/>
    <w:rsid w:val="1791662C"/>
    <w:rsid w:val="217176CC"/>
    <w:rsid w:val="4D260050"/>
    <w:rsid w:val="51A57838"/>
    <w:rsid w:val="6C9502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Internet</Company>
  <Pages>3</Pages>
  <Words>179</Words>
  <Characters>1021</Characters>
  <Lines>8</Lines>
  <Paragraphs>2</Paragraphs>
  <TotalTime>1</TotalTime>
  <ScaleCrop>false</ScaleCrop>
  <LinksUpToDate>false</LinksUpToDate>
  <CharactersWithSpaces>1198</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2022-04-25T02:04:00Z</dcterms:created>
  <dc:creator>: Les nuages pleurent</dc:creator>
  <cp:lastModifiedBy>: Les nuages pleurent</cp:lastModifiedBy>
  <dcterms:modified xsi:type="dcterms:W3CDTF">2022-05-01T07:26:55Z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