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2021</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eastAsia="zh-CN"/>
        </w:rPr>
        <w:t>长青街</w:t>
      </w:r>
      <w:r>
        <w:rPr>
          <w:rFonts w:hint="eastAsia" w:ascii="方正小标宋简体" w:hAnsi="方正小标宋简体" w:eastAsia="方正小标宋简体" w:cs="方正小标宋简体"/>
          <w:color w:val="000000"/>
          <w:kern w:val="0"/>
          <w:sz w:val="40"/>
          <w:szCs w:val="40"/>
        </w:rPr>
        <w:t>部门整体绩效自评结果</w:t>
      </w:r>
    </w:p>
    <w:p>
      <w:pPr>
        <w:widowControl/>
        <w:spacing w:line="432" w:lineRule="atLeast"/>
        <w:jc w:val="center"/>
        <w:rPr>
          <w:rFonts w:hint="eastAsia" w:ascii="楷体_GB2312" w:hAnsi="宋体" w:eastAsia="楷体_GB2312" w:cs="宋体"/>
          <w:color w:val="000000"/>
          <w:kern w:val="0"/>
          <w:sz w:val="24"/>
          <w:szCs w:val="24"/>
        </w:rPr>
      </w:pP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自评得分</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jc w:val="left"/>
        <w:textAlignment w:val="auto"/>
        <w:rPr>
          <w:rFonts w:hint="eastAsia" w:ascii="黑体" w:hAnsi="黑体" w:eastAsia="黑体" w:cs="黑体"/>
          <w:color w:val="000000"/>
          <w:kern w:val="0"/>
          <w:sz w:val="28"/>
          <w:szCs w:val="28"/>
        </w:rPr>
      </w:pPr>
    </w:p>
    <w:tbl>
      <w:tblPr>
        <w:tblStyle w:val="4"/>
        <w:tblW w:w="7549" w:type="dxa"/>
        <w:tblInd w:w="6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4"/>
        <w:gridCol w:w="1410"/>
        <w:gridCol w:w="2130"/>
        <w:gridCol w:w="1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4"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评分项目</w:t>
            </w:r>
          </w:p>
        </w:tc>
        <w:tc>
          <w:tcPr>
            <w:tcW w:w="1410"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权重</w:t>
            </w:r>
          </w:p>
        </w:tc>
        <w:tc>
          <w:tcPr>
            <w:tcW w:w="2130"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评分值</w:t>
            </w:r>
          </w:p>
        </w:tc>
        <w:tc>
          <w:tcPr>
            <w:tcW w:w="1665"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本项得分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4"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预算执行情况</w:t>
            </w:r>
          </w:p>
        </w:tc>
        <w:tc>
          <w:tcPr>
            <w:tcW w:w="1410"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20%</w:t>
            </w:r>
          </w:p>
        </w:tc>
        <w:tc>
          <w:tcPr>
            <w:tcW w:w="2130"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20</w:t>
            </w:r>
          </w:p>
        </w:tc>
        <w:tc>
          <w:tcPr>
            <w:tcW w:w="1665"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4" w:type="dxa"/>
            <w:noWrap w:val="0"/>
            <w:vAlign w:val="top"/>
          </w:tcPr>
          <w:p>
            <w:pPr>
              <w:widowControl/>
              <w:autoSpaceDE w:val="0"/>
              <w:spacing w:line="520" w:lineRule="exact"/>
              <w:jc w:val="center"/>
              <w:rPr>
                <w:rFonts w:hint="eastAsia" w:ascii="宋体" w:hAnsi="宋体" w:eastAsia="宋体" w:cs="Times New Roman"/>
                <w:color w:val="000000"/>
                <w:kern w:val="0"/>
                <w:sz w:val="30"/>
                <w:szCs w:val="30"/>
                <w:lang w:val="en-US" w:eastAsia="zh-CN"/>
              </w:rPr>
            </w:pPr>
            <w:r>
              <w:rPr>
                <w:rFonts w:hint="eastAsia" w:ascii="宋体" w:hAnsi="宋体" w:eastAsia="宋体" w:cs="Times New Roman"/>
                <w:color w:val="000000"/>
                <w:kern w:val="0"/>
                <w:sz w:val="30"/>
                <w:szCs w:val="30"/>
              </w:rPr>
              <w:t>年度</w:t>
            </w:r>
            <w:r>
              <w:rPr>
                <w:rFonts w:hint="eastAsia" w:ascii="宋体" w:hAnsi="宋体" w:eastAsia="宋体" w:cs="Times New Roman"/>
                <w:color w:val="000000"/>
                <w:kern w:val="0"/>
                <w:sz w:val="30"/>
                <w:szCs w:val="30"/>
                <w:lang w:val="en-US" w:eastAsia="zh-CN"/>
              </w:rPr>
              <w:t>绩效</w:t>
            </w:r>
            <w:r>
              <w:rPr>
                <w:rFonts w:hint="eastAsia" w:ascii="宋体" w:hAnsi="宋体" w:eastAsia="宋体" w:cs="Times New Roman"/>
                <w:color w:val="000000"/>
                <w:kern w:val="0"/>
                <w:sz w:val="30"/>
                <w:szCs w:val="30"/>
              </w:rPr>
              <w:t>目标</w:t>
            </w:r>
            <w:r>
              <w:rPr>
                <w:rFonts w:hint="eastAsia" w:ascii="宋体" w:hAnsi="宋体" w:eastAsia="宋体" w:cs="Times New Roman"/>
                <w:color w:val="000000"/>
                <w:kern w:val="0"/>
                <w:sz w:val="30"/>
                <w:szCs w:val="30"/>
                <w:lang w:val="en-US" w:eastAsia="zh-CN"/>
              </w:rPr>
              <w:t>1</w:t>
            </w:r>
          </w:p>
        </w:tc>
        <w:tc>
          <w:tcPr>
            <w:tcW w:w="1410"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color w:val="000000"/>
                <w:kern w:val="0"/>
                <w:sz w:val="30"/>
                <w:szCs w:val="30"/>
                <w:lang w:val="en-US" w:eastAsia="zh-CN"/>
              </w:rPr>
              <w:t>20</w:t>
            </w:r>
            <w:r>
              <w:rPr>
                <w:rFonts w:hint="eastAsia" w:ascii="宋体" w:hAnsi="宋体" w:eastAsia="宋体"/>
                <w:color w:val="000000"/>
                <w:kern w:val="0"/>
                <w:sz w:val="30"/>
                <w:szCs w:val="30"/>
              </w:rPr>
              <w:t>%</w:t>
            </w:r>
          </w:p>
        </w:tc>
        <w:tc>
          <w:tcPr>
            <w:tcW w:w="2130"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40</w:t>
            </w:r>
          </w:p>
        </w:tc>
        <w:tc>
          <w:tcPr>
            <w:tcW w:w="1665" w:type="dxa"/>
            <w:noWrap w:val="0"/>
            <w:vAlign w:val="center"/>
          </w:tcPr>
          <w:p>
            <w:pPr>
              <w:widowControl/>
              <w:autoSpaceDE w:val="0"/>
              <w:spacing w:line="520" w:lineRule="exact"/>
              <w:jc w:val="both"/>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 xml:space="preserve">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4" w:type="dxa"/>
            <w:noWrap w:val="0"/>
            <w:vAlign w:val="top"/>
          </w:tcPr>
          <w:p>
            <w:pPr>
              <w:widowControl/>
              <w:autoSpaceDE w:val="0"/>
              <w:spacing w:line="520" w:lineRule="exact"/>
              <w:jc w:val="center"/>
              <w:rPr>
                <w:rFonts w:hint="eastAsia" w:ascii="宋体" w:hAnsi="宋体" w:eastAsia="宋体" w:cs="Times New Roman"/>
                <w:color w:val="000000"/>
                <w:kern w:val="0"/>
                <w:sz w:val="30"/>
                <w:szCs w:val="30"/>
                <w:lang w:val="en-US" w:eastAsia="zh-CN"/>
              </w:rPr>
            </w:pPr>
            <w:r>
              <w:rPr>
                <w:rFonts w:hint="eastAsia" w:ascii="宋体" w:hAnsi="宋体" w:eastAsia="宋体" w:cs="Times New Roman"/>
                <w:color w:val="000000"/>
                <w:kern w:val="0"/>
                <w:sz w:val="30"/>
                <w:szCs w:val="30"/>
              </w:rPr>
              <w:t>年度</w:t>
            </w:r>
            <w:r>
              <w:rPr>
                <w:rFonts w:hint="eastAsia" w:ascii="宋体" w:hAnsi="宋体" w:eastAsia="宋体" w:cs="Times New Roman"/>
                <w:color w:val="000000"/>
                <w:kern w:val="0"/>
                <w:sz w:val="30"/>
                <w:szCs w:val="30"/>
                <w:lang w:val="en-US" w:eastAsia="zh-CN"/>
              </w:rPr>
              <w:t>绩效</w:t>
            </w:r>
            <w:r>
              <w:rPr>
                <w:rFonts w:hint="eastAsia" w:ascii="宋体" w:hAnsi="宋体" w:eastAsia="宋体" w:cs="Times New Roman"/>
                <w:color w:val="000000"/>
                <w:kern w:val="0"/>
                <w:sz w:val="30"/>
                <w:szCs w:val="30"/>
              </w:rPr>
              <w:t>目标</w:t>
            </w:r>
            <w:r>
              <w:rPr>
                <w:rFonts w:hint="eastAsia" w:ascii="宋体" w:hAnsi="宋体" w:eastAsia="宋体" w:cs="Times New Roman"/>
                <w:color w:val="000000"/>
                <w:kern w:val="0"/>
                <w:sz w:val="30"/>
                <w:szCs w:val="30"/>
                <w:lang w:val="en-US" w:eastAsia="zh-CN"/>
              </w:rPr>
              <w:t>2</w:t>
            </w:r>
          </w:p>
        </w:tc>
        <w:tc>
          <w:tcPr>
            <w:tcW w:w="1410"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20%</w:t>
            </w:r>
          </w:p>
        </w:tc>
        <w:tc>
          <w:tcPr>
            <w:tcW w:w="2130"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40</w:t>
            </w:r>
          </w:p>
        </w:tc>
        <w:tc>
          <w:tcPr>
            <w:tcW w:w="1665"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4" w:type="dxa"/>
            <w:noWrap w:val="0"/>
            <w:vAlign w:val="top"/>
          </w:tcPr>
          <w:p>
            <w:pPr>
              <w:widowControl/>
              <w:autoSpaceDE w:val="0"/>
              <w:spacing w:line="520" w:lineRule="exact"/>
              <w:jc w:val="center"/>
              <w:rPr>
                <w:rFonts w:hint="eastAsia" w:ascii="宋体" w:hAnsi="宋体" w:eastAsia="宋体"/>
                <w:color w:val="000000"/>
                <w:kern w:val="0"/>
                <w:sz w:val="30"/>
                <w:szCs w:val="30"/>
                <w:lang w:eastAsia="zh-CN"/>
              </w:rPr>
            </w:pPr>
            <w:r>
              <w:rPr>
                <w:rFonts w:hint="eastAsia" w:ascii="宋体" w:hAnsi="宋体"/>
                <w:color w:val="000000"/>
                <w:kern w:val="0"/>
                <w:sz w:val="30"/>
                <w:szCs w:val="30"/>
                <w:lang w:eastAsia="zh-CN"/>
              </w:rPr>
              <w:t>汇总</w:t>
            </w:r>
          </w:p>
        </w:tc>
        <w:tc>
          <w:tcPr>
            <w:tcW w:w="1410"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100%</w:t>
            </w:r>
          </w:p>
        </w:tc>
        <w:tc>
          <w:tcPr>
            <w:tcW w:w="2130"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100</w:t>
            </w:r>
          </w:p>
        </w:tc>
        <w:tc>
          <w:tcPr>
            <w:tcW w:w="1665"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98.58</w:t>
            </w:r>
          </w:p>
        </w:tc>
      </w:tr>
    </w:tbl>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rPr>
      </w:pP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二</w:t>
      </w:r>
      <w:r>
        <w:rPr>
          <w:rFonts w:hint="eastAsia" w:ascii="黑体" w:hAnsi="黑体" w:eastAsia="黑体" w:cs="黑体"/>
          <w:color w:val="000000"/>
          <w:kern w:val="0"/>
          <w:sz w:val="28"/>
          <w:szCs w:val="28"/>
          <w:lang w:eastAsia="zh-CN"/>
        </w:rPr>
        <w:t>、</w:t>
      </w:r>
      <w:r>
        <w:rPr>
          <w:rFonts w:hint="eastAsia" w:ascii="黑体" w:hAnsi="黑体" w:eastAsia="黑体" w:cs="黑体"/>
          <w:color w:val="000000"/>
          <w:kern w:val="0"/>
          <w:sz w:val="28"/>
          <w:szCs w:val="28"/>
        </w:rPr>
        <w:t>绩效目标完成情况</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1.执行率情况。</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 xml:space="preserve"> </w:t>
      </w:r>
    </w:p>
    <w:tbl>
      <w:tblPr>
        <w:tblW w:w="7665" w:type="dxa"/>
        <w:tblInd w:w="5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2520"/>
        <w:gridCol w:w="1517"/>
        <w:gridCol w:w="1920"/>
        <w:gridCol w:w="17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539" w:hRule="atLeast"/>
        </w:trPr>
        <w:tc>
          <w:tcPr>
            <w:tcW w:w="25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名称</w:t>
            </w:r>
          </w:p>
        </w:tc>
        <w:tc>
          <w:tcPr>
            <w:tcW w:w="1517"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预算下达</w:t>
            </w:r>
          </w:p>
        </w:tc>
        <w:tc>
          <w:tcPr>
            <w:tcW w:w="19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执行数</w:t>
            </w:r>
          </w:p>
        </w:tc>
        <w:tc>
          <w:tcPr>
            <w:tcW w:w="1708"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9" w:hRule="atLeast"/>
        </w:trPr>
        <w:tc>
          <w:tcPr>
            <w:tcW w:w="25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项目支出小计</w:t>
            </w:r>
          </w:p>
        </w:tc>
        <w:tc>
          <w:tcPr>
            <w:tcW w:w="1517"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33,985.92 </w:t>
            </w:r>
          </w:p>
        </w:tc>
        <w:tc>
          <w:tcPr>
            <w:tcW w:w="19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32,262.42 </w:t>
            </w:r>
          </w:p>
        </w:tc>
        <w:tc>
          <w:tcPr>
            <w:tcW w:w="1708"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94.93%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25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基本支出小计</w:t>
            </w:r>
          </w:p>
        </w:tc>
        <w:tc>
          <w:tcPr>
            <w:tcW w:w="1517"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2,527.27 </w:t>
            </w:r>
          </w:p>
        </w:tc>
        <w:tc>
          <w:tcPr>
            <w:tcW w:w="19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2,520.03 </w:t>
            </w:r>
          </w:p>
        </w:tc>
        <w:tc>
          <w:tcPr>
            <w:tcW w:w="1708"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99.71%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25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年初预算合计</w:t>
            </w:r>
          </w:p>
        </w:tc>
        <w:tc>
          <w:tcPr>
            <w:tcW w:w="1517"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36,513.19 </w:t>
            </w:r>
          </w:p>
        </w:tc>
        <w:tc>
          <w:tcPr>
            <w:tcW w:w="19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34,782.45 </w:t>
            </w:r>
          </w:p>
        </w:tc>
        <w:tc>
          <w:tcPr>
            <w:tcW w:w="1708"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95.26%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25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预算追加合计</w:t>
            </w:r>
          </w:p>
        </w:tc>
        <w:tc>
          <w:tcPr>
            <w:tcW w:w="1517"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1,049.93 </w:t>
            </w:r>
          </w:p>
        </w:tc>
        <w:tc>
          <w:tcPr>
            <w:tcW w:w="19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747.24 </w:t>
            </w:r>
          </w:p>
        </w:tc>
        <w:tc>
          <w:tcPr>
            <w:tcW w:w="1708"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71.17%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25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公共预算下达总计</w:t>
            </w:r>
          </w:p>
        </w:tc>
        <w:tc>
          <w:tcPr>
            <w:tcW w:w="1517"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37,563.12 </w:t>
            </w:r>
          </w:p>
        </w:tc>
        <w:tc>
          <w:tcPr>
            <w:tcW w:w="19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35,529.69 </w:t>
            </w:r>
          </w:p>
        </w:tc>
        <w:tc>
          <w:tcPr>
            <w:tcW w:w="1708"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94.59%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25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政府性基金总计</w:t>
            </w:r>
          </w:p>
        </w:tc>
        <w:tc>
          <w:tcPr>
            <w:tcW w:w="1517"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38,415.00 </w:t>
            </w:r>
          </w:p>
        </w:tc>
        <w:tc>
          <w:tcPr>
            <w:tcW w:w="19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35,063.10 </w:t>
            </w:r>
          </w:p>
        </w:tc>
        <w:tc>
          <w:tcPr>
            <w:tcW w:w="1708"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91.27%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9" w:hRule="atLeast"/>
        </w:trPr>
        <w:tc>
          <w:tcPr>
            <w:tcW w:w="25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总计</w:t>
            </w:r>
          </w:p>
        </w:tc>
        <w:tc>
          <w:tcPr>
            <w:tcW w:w="1517"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75,978.11 </w:t>
            </w:r>
          </w:p>
        </w:tc>
        <w:tc>
          <w:tcPr>
            <w:tcW w:w="192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 xml:space="preserve"> 70,592.78 </w:t>
            </w:r>
          </w:p>
        </w:tc>
        <w:tc>
          <w:tcPr>
            <w:tcW w:w="1708"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bdr w:val="none" w:color="auto" w:sz="0" w:space="0"/>
                <w:lang w:val="en-US" w:eastAsia="zh-CN" w:bidi="ar"/>
              </w:rPr>
              <w:t>92.91%</w:t>
            </w:r>
          </w:p>
        </w:tc>
      </w:tr>
    </w:tbl>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2.</w:t>
      </w:r>
      <w:r>
        <w:rPr>
          <w:rFonts w:hint="eastAsia" w:ascii="宋体" w:hAnsi="宋体" w:eastAsia="宋体" w:cs="宋体"/>
          <w:color w:val="000000"/>
          <w:kern w:val="0"/>
          <w:sz w:val="28"/>
          <w:szCs w:val="28"/>
        </w:rPr>
        <w:t>完成的绩效目标。</w:t>
      </w:r>
    </w:p>
    <w:p>
      <w:pPr>
        <w:widowControl/>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1）补齐公共服务短板，提升城市品质。启动革新社区、新建大队的老年人互助中心建设，增加老年人服务场所731.9平方米。申报三民小区纳入2021年东西湖区老旧小区提档改造计划，衔接代建单位区城投公司启动小区改造施工，楼栋外墙喷涂改造完毕。</w:t>
      </w:r>
    </w:p>
    <w:p>
      <w:pPr>
        <w:widowControl/>
        <w:spacing w:line="520" w:lineRule="exact"/>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2）全力打造社区养老服务。规划建设革新社区居委会社区老年人服务站及新建大队胜利村新建老年人互助照料活动中心，使用面积达1100㎡，预计10月底完成施工，11月初完成设备采购和安装。在现有社会养老机构运营的基础上，新引入湖北盛世炎黄养老服务有限公司对三民社区老年人服务中心、幸福食堂和华星社区老年人服务中心进行社会化运营，社会化运营率达100%。打造金鼎湾绿色养老、合兴里怀旧剧场、幸福苑贴心服务及豫剧、“ 时光“敬”好·喜“孝”颜开”重阳游园会等系列为老服务品牌，开展健康检查、心理慰藉、公益理发、康复理疗等照料服务1800余人次/月。</w:t>
      </w:r>
    </w:p>
    <w:p>
      <w:pPr>
        <w:widowControl/>
        <w:spacing w:line="520" w:lineRule="exact"/>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w:t>
      </w:r>
      <w:r>
        <w:rPr>
          <w:rFonts w:hint="eastAsia" w:ascii="宋体" w:hAnsi="宋体" w:cs="宋体"/>
          <w:color w:val="000000"/>
          <w:kern w:val="0"/>
          <w:sz w:val="28"/>
          <w:szCs w:val="28"/>
          <w:lang w:val="en-US" w:eastAsia="zh-CN"/>
        </w:rPr>
        <w:t>3</w:t>
      </w:r>
      <w:r>
        <w:rPr>
          <w:rFonts w:hint="eastAsia" w:ascii="宋体" w:hAnsi="宋体" w:cs="宋体"/>
          <w:color w:val="000000"/>
          <w:kern w:val="0"/>
          <w:sz w:val="28"/>
          <w:szCs w:val="28"/>
        </w:rPr>
        <w:t>）打造便民服务，积极为原农场职工排忧解难。为我街农垦企业职工和灵活就业人员办理异动307人，网申查询2950例；为24人办理基本养老保险补缴申请；为22人办理农垦养老保险重复缴费退费手续；为85人办理农垦缴费记录维护，变更参保人员信息61例；为42人办理了农垦企业养老保险参保人员待转金配置历史欠费冲抵。农垦职工养老保险服务全年未发生纠纷事件。</w:t>
      </w:r>
    </w:p>
    <w:p>
      <w:pPr>
        <w:widowControl/>
        <w:autoSpaceDE w:val="0"/>
        <w:spacing w:line="520" w:lineRule="exact"/>
        <w:ind w:firstLine="560" w:firstLineChars="200"/>
        <w:jc w:val="left"/>
      </w:pPr>
      <w:r>
        <w:rPr>
          <w:rFonts w:hint="eastAsia" w:ascii="宋体" w:hAnsi="宋体" w:cs="宋体"/>
          <w:color w:val="000000"/>
          <w:kern w:val="0"/>
          <w:sz w:val="28"/>
          <w:szCs w:val="28"/>
          <w:lang w:eastAsia="zh-CN"/>
        </w:rPr>
        <w:t>（</w:t>
      </w:r>
      <w:r>
        <w:rPr>
          <w:rFonts w:hint="eastAsia" w:ascii="宋体" w:hAnsi="宋体" w:cs="宋体"/>
          <w:color w:val="000000"/>
          <w:kern w:val="0"/>
          <w:sz w:val="28"/>
          <w:szCs w:val="28"/>
          <w:lang w:val="en-US" w:eastAsia="zh-CN"/>
        </w:rPr>
        <w:t>4</w:t>
      </w:r>
      <w:r>
        <w:rPr>
          <w:rFonts w:hint="eastAsia" w:ascii="宋体" w:hAnsi="宋体" w:cs="宋体"/>
          <w:color w:val="000000"/>
          <w:kern w:val="0"/>
          <w:sz w:val="28"/>
          <w:szCs w:val="28"/>
          <w:lang w:eastAsia="zh-CN"/>
        </w:rPr>
        <w:t>）</w:t>
      </w:r>
      <w:r>
        <w:rPr>
          <w:rFonts w:hint="eastAsia" w:ascii="宋体" w:hAnsi="宋体" w:cs="宋体"/>
          <w:color w:val="000000"/>
          <w:kern w:val="0"/>
          <w:sz w:val="28"/>
          <w:szCs w:val="28"/>
        </w:rPr>
        <w:t>企业对于“协税护税”工作满意度为100%。我街精心挑选具有一定专业知识和服务态度好的人员，成立协税护税工作专班为企业服务。“心贴心”做好企业税收宣传和辅导，热情解答、协调各类涉税问题，以真心换满意，全心全意为纳税人提供优质高效的纳税服务，得到了辖区内广大企业的认可和好评；我街对辖区内企业和拟投资项目逐一摸排、走访，及时回应和解决企业人员、资金、材料等困难，做到企业院子外的事政府做，院子内的事企业做，同企业一道重启经济；我街积极协助辖区内46户个体工商户、86户企业申报纾困资金，通过网上帮助登记注册新设立公司13家。</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kern w:val="0"/>
          <w:sz w:val="28"/>
          <w:szCs w:val="28"/>
          <w:highlight w:val="none"/>
        </w:rPr>
      </w:pPr>
      <w:r>
        <w:rPr>
          <w:rFonts w:hint="eastAsia" w:ascii="宋体" w:hAnsi="宋体" w:cs="宋体"/>
          <w:color w:val="000000"/>
          <w:kern w:val="0"/>
          <w:sz w:val="28"/>
          <w:szCs w:val="28"/>
          <w:lang w:eastAsia="zh-CN"/>
        </w:rPr>
        <w:t>（</w:t>
      </w:r>
      <w:r>
        <w:rPr>
          <w:rFonts w:hint="eastAsia" w:ascii="宋体" w:hAnsi="宋体" w:cs="宋体"/>
          <w:color w:val="000000"/>
          <w:kern w:val="0"/>
          <w:sz w:val="28"/>
          <w:szCs w:val="28"/>
          <w:lang w:val="en-US" w:eastAsia="zh-CN"/>
        </w:rPr>
        <w:t>5</w:t>
      </w:r>
      <w:r>
        <w:rPr>
          <w:rFonts w:hint="eastAsia" w:ascii="宋体" w:hAnsi="宋体" w:cs="宋体"/>
          <w:color w:val="000000"/>
          <w:kern w:val="0"/>
          <w:sz w:val="28"/>
          <w:szCs w:val="28"/>
          <w:lang w:eastAsia="zh-CN"/>
        </w:rPr>
        <w:t>）</w:t>
      </w:r>
      <w:r>
        <w:rPr>
          <w:rFonts w:hint="eastAsia" w:ascii="宋体" w:hAnsi="宋体" w:cs="宋体"/>
          <w:color w:val="000000"/>
          <w:kern w:val="0"/>
          <w:sz w:val="28"/>
          <w:szCs w:val="28"/>
        </w:rPr>
        <w:t>保障拆迁片区生活水平，维护辖区稳定和安全。第一季度，我街发放二大队、三大队、新建大队、兴达社区、团结社区共计1289户过渡费。第二季度，我街发放三大队、新建大队、兴达社区、二雅社区、团结社区共计1297户过渡费。第三季度，我街发放三大队、新建大队、二雅社区、团结社区共计550户过渡费。第四季度，我街发放三大队、新建大队、团结社区、兴达社区、二雅社区共计550户过渡费。拆迁过渡费及时准确的发放，提高了拆迁片区人员对拆迁工作的满意度和认可度。</w:t>
      </w:r>
      <w:r>
        <w:rPr>
          <w:rFonts w:hint="eastAsia" w:ascii="宋体" w:hAnsi="宋体" w:eastAsia="宋体" w:cs="宋体"/>
          <w:color w:val="000000"/>
          <w:kern w:val="0"/>
          <w:sz w:val="28"/>
          <w:szCs w:val="28"/>
          <w:highlight w:val="none"/>
        </w:rPr>
        <w:t>3.未完成的绩效目标。</w:t>
      </w:r>
    </w:p>
    <w:p>
      <w:pPr>
        <w:widowControl/>
        <w:spacing w:line="520" w:lineRule="exact"/>
        <w:ind w:firstLine="560" w:firstLineChars="200"/>
        <w:jc w:val="left"/>
        <w:rPr>
          <w:rFonts w:hint="eastAsia"/>
        </w:rPr>
      </w:pPr>
      <w:r>
        <w:rPr>
          <w:rFonts w:hint="eastAsia" w:ascii="宋体" w:hAnsi="宋体" w:cs="宋体"/>
          <w:color w:val="000000"/>
          <w:kern w:val="0"/>
          <w:sz w:val="28"/>
          <w:szCs w:val="28"/>
        </w:rPr>
        <w:t>3.未完成的绩效目标。</w:t>
      </w:r>
      <w:bookmarkStart w:id="0" w:name="_GoBack"/>
      <w:bookmarkEnd w:id="0"/>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default" w:ascii="宋体" w:hAnsi="宋体" w:eastAsia="宋体" w:cs="宋体"/>
          <w:color w:val="000000"/>
          <w:kern w:val="0"/>
          <w:sz w:val="28"/>
          <w:szCs w:val="28"/>
          <w:highlight w:val="none"/>
          <w:lang w:val="en-US" w:eastAsia="zh-CN"/>
        </w:rPr>
      </w:pPr>
      <w:r>
        <w:rPr>
          <w:rFonts w:hint="eastAsia" w:ascii="宋体" w:hAnsi="宋体" w:cs="宋体"/>
          <w:color w:val="000000"/>
          <w:kern w:val="0"/>
          <w:sz w:val="28"/>
          <w:szCs w:val="28"/>
          <w:lang w:val="en-US" w:eastAsia="zh-CN"/>
        </w:rPr>
        <w:t>2021年部门整体预算75978.11万元，执行数70592.78万元，未完成绩效目</w:t>
      </w:r>
      <w:r>
        <w:rPr>
          <w:rFonts w:hint="eastAsia" w:ascii="宋体" w:hAnsi="宋体" w:cs="宋体"/>
          <w:color w:val="000000"/>
          <w:kern w:val="0"/>
          <w:sz w:val="28"/>
          <w:szCs w:val="28"/>
          <w:highlight w:val="none"/>
          <w:lang w:val="en-US" w:eastAsia="zh-CN"/>
        </w:rPr>
        <w:t>标，主要原因如下：一、受疫情影响，我街重点企业、生产型企业税收大幅下降，企业享受疫情税收减免政策，地方一般公共预算目标值达不到区下达目标值。我街签订扶持协议企业税收减少，相对应的企业扶持金也减少，导致招商引资专项项目资金支出减少。二、根据武汉市人力资源和社会保障局、武汉市医疗保障局、国家税务总局武汉市税务局出台的《关于我市上线省集中企保系统和省医保信息平台的公告》，湖北省企业职工社会保险信息系统切换后统一按新政策实施。我街农垦养老保险灵活人员信息数据已全部迁移至区灵活库，社保缴费由区人社局申报，导致了原农场遗留支出减少。因而，</w:t>
      </w:r>
      <w:r>
        <w:rPr>
          <w:rFonts w:hint="eastAsia" w:ascii="宋体" w:hAnsi="宋体" w:cs="宋体"/>
          <w:color w:val="000000"/>
          <w:kern w:val="0"/>
          <w:sz w:val="28"/>
          <w:szCs w:val="28"/>
          <w:lang w:val="en-US" w:eastAsia="zh-CN"/>
        </w:rPr>
        <w:t>部门整体</w:t>
      </w:r>
      <w:r>
        <w:rPr>
          <w:rFonts w:hint="eastAsia" w:ascii="宋体" w:hAnsi="宋体" w:cs="宋体"/>
          <w:color w:val="000000"/>
          <w:kern w:val="0"/>
          <w:sz w:val="28"/>
          <w:szCs w:val="28"/>
          <w:highlight w:val="none"/>
          <w:lang w:val="en-US" w:eastAsia="zh-CN"/>
        </w:rPr>
        <w:t>绩效目标未完成。</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lang w:eastAsia="zh-CN"/>
        </w:rPr>
        <w:t>三、</w:t>
      </w:r>
      <w:r>
        <w:rPr>
          <w:rFonts w:hint="eastAsia" w:ascii="黑体" w:hAnsi="黑体" w:eastAsia="黑体" w:cs="黑体"/>
          <w:color w:val="000000"/>
          <w:kern w:val="0"/>
          <w:sz w:val="28"/>
          <w:szCs w:val="28"/>
        </w:rPr>
        <w:t>存在的问题和原因</w:t>
      </w:r>
    </w:p>
    <w:p>
      <w:pPr>
        <w:keepNext w:val="0"/>
        <w:keepLines w:val="0"/>
        <w:pageBreakBefore w:val="0"/>
        <w:widowControl w:val="0"/>
        <w:kinsoku/>
        <w:wordWrap/>
        <w:overflowPunct/>
        <w:topLinePunct w:val="0"/>
        <w:autoSpaceDE w:val="0"/>
        <w:autoSpaceDN/>
        <w:bidi w:val="0"/>
        <w:adjustRightInd/>
        <w:snapToGrid/>
        <w:spacing w:line="517" w:lineRule="exact"/>
        <w:ind w:firstLine="600" w:firstLineChars="200"/>
        <w:textAlignment w:val="auto"/>
        <w:rPr>
          <w:rFonts w:hint="eastAsia" w:ascii="宋体" w:hAnsi="宋体"/>
          <w:color w:val="000000"/>
          <w:kern w:val="0"/>
          <w:sz w:val="30"/>
          <w:szCs w:val="30"/>
          <w:lang w:eastAsia="zh-CN"/>
        </w:rPr>
      </w:pPr>
      <w:r>
        <w:rPr>
          <w:rFonts w:hint="eastAsia" w:ascii="宋体" w:hAnsi="宋体"/>
          <w:color w:val="000000"/>
          <w:kern w:val="0"/>
          <w:sz w:val="30"/>
          <w:szCs w:val="30"/>
          <w:lang w:val="en-US" w:eastAsia="zh-CN"/>
        </w:rPr>
        <w:t>1.</w:t>
      </w:r>
      <w:r>
        <w:rPr>
          <w:rFonts w:hint="eastAsia" w:ascii="宋体" w:hAnsi="宋体"/>
          <w:color w:val="000000"/>
          <w:kern w:val="0"/>
          <w:sz w:val="30"/>
          <w:szCs w:val="30"/>
          <w:lang w:eastAsia="zh-CN"/>
        </w:rPr>
        <w:t>绩效管理水平有待提高，项目执行过程中有效约束不够。预算编制与会计核算经济项目部分口径不一致，存在一定的偏差。佐证绩效目标实现的基础资料存档及绩效跟踪考核方面尚需进一步加强。</w:t>
      </w:r>
    </w:p>
    <w:p>
      <w:pPr>
        <w:keepNext w:val="0"/>
        <w:keepLines w:val="0"/>
        <w:pageBreakBefore w:val="0"/>
        <w:widowControl w:val="0"/>
        <w:kinsoku/>
        <w:wordWrap/>
        <w:overflowPunct/>
        <w:topLinePunct w:val="0"/>
        <w:autoSpaceDE w:val="0"/>
        <w:autoSpaceDN/>
        <w:bidi w:val="0"/>
        <w:adjustRightInd/>
        <w:snapToGrid/>
        <w:spacing w:line="517" w:lineRule="exact"/>
        <w:ind w:firstLine="600" w:firstLineChars="200"/>
        <w:textAlignment w:val="auto"/>
        <w:rPr>
          <w:rFonts w:hint="default" w:ascii="宋体" w:hAnsi="宋体"/>
          <w:color w:val="000000"/>
          <w:kern w:val="0"/>
          <w:sz w:val="30"/>
          <w:szCs w:val="30"/>
          <w:highlight w:val="none"/>
          <w:lang w:val="en-US" w:eastAsia="zh-CN"/>
        </w:rPr>
      </w:pPr>
      <w:r>
        <w:rPr>
          <w:rFonts w:hint="eastAsia" w:ascii="宋体" w:hAnsi="宋体"/>
          <w:color w:val="000000"/>
          <w:kern w:val="0"/>
          <w:sz w:val="30"/>
          <w:szCs w:val="30"/>
          <w:lang w:val="en-US" w:eastAsia="zh-CN"/>
        </w:rPr>
        <w:t>2.对绩效指标的定义认识不准确，导致绩效指标设置不够合理。</w:t>
      </w:r>
      <w:r>
        <w:rPr>
          <w:rFonts w:hint="eastAsia" w:ascii="宋体" w:hAnsi="宋体"/>
          <w:color w:val="000000"/>
          <w:kern w:val="0"/>
          <w:sz w:val="30"/>
          <w:szCs w:val="30"/>
          <w:highlight w:val="none"/>
          <w:lang w:val="en-US" w:eastAsia="zh-CN"/>
        </w:rPr>
        <w:t>项目绩效目标的设置不够具体和全面，难以对该项目资金使用情况作出最有效的评价。</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highlight w:val="none"/>
        </w:rPr>
      </w:pPr>
      <w:r>
        <w:rPr>
          <w:rFonts w:hint="eastAsia" w:ascii="黑体" w:hAnsi="黑体" w:eastAsia="黑体" w:cs="黑体"/>
          <w:color w:val="000000"/>
          <w:kern w:val="0"/>
          <w:sz w:val="28"/>
          <w:szCs w:val="28"/>
          <w:highlight w:val="none"/>
        </w:rPr>
        <w:t>四</w:t>
      </w:r>
      <w:r>
        <w:rPr>
          <w:rFonts w:hint="eastAsia" w:ascii="黑体" w:hAnsi="黑体" w:eastAsia="黑体" w:cs="黑体"/>
          <w:color w:val="000000"/>
          <w:kern w:val="0"/>
          <w:sz w:val="28"/>
          <w:szCs w:val="28"/>
          <w:highlight w:val="none"/>
          <w:lang w:eastAsia="zh-CN"/>
        </w:rPr>
        <w:t>、</w:t>
      </w:r>
      <w:r>
        <w:rPr>
          <w:rFonts w:hint="eastAsia" w:ascii="黑体" w:hAnsi="黑体" w:eastAsia="黑体" w:cs="黑体"/>
          <w:color w:val="000000"/>
          <w:kern w:val="0"/>
          <w:sz w:val="28"/>
          <w:szCs w:val="28"/>
          <w:highlight w:val="none"/>
        </w:rPr>
        <w:t>下一步拟改进措施</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val="en-US" w:eastAsia="zh-CN"/>
        </w:rPr>
        <w:t>1.</w:t>
      </w:r>
      <w:r>
        <w:rPr>
          <w:rFonts w:hint="eastAsia" w:ascii="宋体" w:hAnsi="宋体" w:cs="宋体"/>
          <w:color w:val="000000"/>
          <w:kern w:val="0"/>
          <w:sz w:val="28"/>
          <w:szCs w:val="28"/>
          <w:lang w:eastAsia="zh-CN"/>
        </w:rPr>
        <w:t>优化预算</w:t>
      </w:r>
      <w:r>
        <w:rPr>
          <w:rFonts w:hint="eastAsia" w:ascii="宋体" w:hAnsi="宋体" w:eastAsia="宋体" w:cs="宋体"/>
          <w:color w:val="000000"/>
          <w:kern w:val="0"/>
          <w:sz w:val="28"/>
          <w:szCs w:val="28"/>
        </w:rPr>
        <w:t>绩效指标</w:t>
      </w:r>
      <w:r>
        <w:rPr>
          <w:rFonts w:hint="eastAsia" w:ascii="宋体" w:hAnsi="宋体" w:cs="宋体"/>
          <w:color w:val="000000"/>
          <w:kern w:val="0"/>
          <w:sz w:val="28"/>
          <w:szCs w:val="28"/>
          <w:lang w:eastAsia="zh-CN"/>
        </w:rPr>
        <w:t>任务设置</w:t>
      </w:r>
      <w:r>
        <w:rPr>
          <w:rFonts w:hint="eastAsia" w:ascii="宋体" w:hAnsi="宋体" w:eastAsia="宋体" w:cs="宋体"/>
          <w:color w:val="000000"/>
          <w:kern w:val="0"/>
          <w:sz w:val="28"/>
          <w:szCs w:val="28"/>
        </w:rPr>
        <w:t>。</w:t>
      </w:r>
      <w:r>
        <w:rPr>
          <w:rFonts w:hint="eastAsia" w:ascii="宋体" w:hAnsi="宋体" w:cs="宋体"/>
          <w:color w:val="000000"/>
          <w:kern w:val="0"/>
          <w:sz w:val="28"/>
          <w:szCs w:val="28"/>
          <w:lang w:eastAsia="zh-CN"/>
        </w:rPr>
        <w:t>根据该项目实际情况选择最能反映绩效管理要求的关键性指标，</w:t>
      </w:r>
      <w:r>
        <w:rPr>
          <w:rFonts w:hint="eastAsia" w:ascii="宋体" w:hAnsi="宋体" w:eastAsia="宋体" w:cs="宋体"/>
          <w:color w:val="000000"/>
          <w:kern w:val="0"/>
          <w:sz w:val="28"/>
          <w:szCs w:val="28"/>
        </w:rPr>
        <w:t>合理设定</w:t>
      </w:r>
      <w:r>
        <w:rPr>
          <w:rFonts w:hint="eastAsia" w:ascii="宋体" w:hAnsi="宋体" w:cs="宋体"/>
          <w:color w:val="000000"/>
          <w:kern w:val="0"/>
          <w:sz w:val="28"/>
          <w:szCs w:val="28"/>
          <w:lang w:eastAsia="zh-CN"/>
        </w:rPr>
        <w:t>绩效</w:t>
      </w:r>
      <w:r>
        <w:rPr>
          <w:rFonts w:hint="eastAsia" w:ascii="宋体" w:hAnsi="宋体" w:eastAsia="宋体" w:cs="宋体"/>
          <w:color w:val="000000"/>
          <w:kern w:val="0"/>
          <w:sz w:val="28"/>
          <w:szCs w:val="28"/>
        </w:rPr>
        <w:t>指标值</w:t>
      </w:r>
      <w:r>
        <w:rPr>
          <w:rFonts w:hint="eastAsia" w:ascii="宋体" w:hAnsi="宋体" w:cs="宋体"/>
          <w:color w:val="000000"/>
          <w:kern w:val="0"/>
          <w:sz w:val="28"/>
          <w:szCs w:val="28"/>
          <w:lang w:eastAsia="zh-CN"/>
        </w:rPr>
        <w:t>，提高绩效指标实际执行率</w:t>
      </w:r>
      <w:r>
        <w:rPr>
          <w:rFonts w:hint="eastAsia" w:ascii="宋体" w:hAnsi="宋体" w:cs="宋体"/>
          <w:color w:val="000000"/>
          <w:kern w:val="0"/>
          <w:sz w:val="28"/>
          <w:szCs w:val="28"/>
          <w:highlight w:val="none"/>
          <w:lang w:eastAsia="zh-CN"/>
        </w:rPr>
        <w:t>。</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2.</w:t>
      </w:r>
      <w:r>
        <w:rPr>
          <w:rFonts w:hint="eastAsia" w:ascii="宋体" w:hAnsi="宋体" w:cs="宋体"/>
          <w:color w:val="000000"/>
          <w:kern w:val="0"/>
          <w:sz w:val="28"/>
          <w:szCs w:val="28"/>
          <w:lang w:eastAsia="zh-CN"/>
        </w:rPr>
        <w:t>强化预算</w:t>
      </w:r>
      <w:r>
        <w:rPr>
          <w:rFonts w:hint="eastAsia" w:ascii="宋体" w:hAnsi="宋体" w:eastAsia="宋体" w:cs="宋体"/>
          <w:color w:val="000000"/>
          <w:kern w:val="0"/>
          <w:sz w:val="28"/>
          <w:szCs w:val="28"/>
        </w:rPr>
        <w:t>绩效指标</w:t>
      </w:r>
      <w:r>
        <w:rPr>
          <w:rFonts w:hint="eastAsia" w:ascii="宋体" w:hAnsi="宋体" w:cs="宋体"/>
          <w:color w:val="000000"/>
          <w:kern w:val="0"/>
          <w:sz w:val="28"/>
          <w:szCs w:val="28"/>
          <w:lang w:eastAsia="zh-CN"/>
        </w:rPr>
        <w:t>跟踪管控</w:t>
      </w:r>
      <w:r>
        <w:rPr>
          <w:rFonts w:hint="eastAsia" w:ascii="宋体" w:hAnsi="宋体" w:eastAsia="宋体" w:cs="宋体"/>
          <w:color w:val="000000"/>
          <w:kern w:val="0"/>
          <w:sz w:val="28"/>
          <w:szCs w:val="28"/>
        </w:rPr>
        <w:t>。按照</w:t>
      </w:r>
      <w:r>
        <w:rPr>
          <w:rFonts w:hint="eastAsia" w:ascii="宋体" w:hAnsi="宋体" w:cs="宋体"/>
          <w:color w:val="000000"/>
          <w:kern w:val="0"/>
          <w:sz w:val="28"/>
          <w:szCs w:val="28"/>
          <w:lang w:eastAsia="zh-CN"/>
        </w:rPr>
        <w:t>预算</w:t>
      </w:r>
      <w:r>
        <w:rPr>
          <w:rFonts w:hint="eastAsia" w:ascii="宋体" w:hAnsi="宋体" w:eastAsia="宋体" w:cs="宋体"/>
          <w:color w:val="000000"/>
          <w:kern w:val="0"/>
          <w:sz w:val="28"/>
          <w:szCs w:val="28"/>
        </w:rPr>
        <w:t>绩效指标</w:t>
      </w:r>
      <w:r>
        <w:rPr>
          <w:rFonts w:hint="eastAsia" w:ascii="宋体" w:hAnsi="宋体" w:cs="宋体"/>
          <w:color w:val="000000"/>
          <w:kern w:val="0"/>
          <w:sz w:val="28"/>
          <w:szCs w:val="28"/>
          <w:lang w:eastAsia="zh-CN"/>
        </w:rPr>
        <w:t>考核要求</w:t>
      </w:r>
      <w:r>
        <w:rPr>
          <w:rFonts w:hint="eastAsia" w:ascii="宋体" w:hAnsi="宋体" w:eastAsia="宋体" w:cs="宋体"/>
          <w:color w:val="000000"/>
          <w:kern w:val="0"/>
          <w:sz w:val="28"/>
          <w:szCs w:val="28"/>
        </w:rPr>
        <w:t>，提高预算绩效管理意识</w:t>
      </w:r>
      <w:r>
        <w:rPr>
          <w:rFonts w:hint="eastAsia" w:ascii="宋体" w:hAnsi="宋体" w:cs="宋体"/>
          <w:color w:val="000000"/>
          <w:kern w:val="0"/>
          <w:sz w:val="28"/>
          <w:szCs w:val="28"/>
          <w:lang w:eastAsia="zh-CN"/>
        </w:rPr>
        <w:t>及时跟进督促项目进度，</w:t>
      </w:r>
      <w:r>
        <w:rPr>
          <w:rFonts w:hint="eastAsia" w:ascii="宋体" w:hAnsi="宋体" w:eastAsia="宋体" w:cs="宋体"/>
          <w:color w:val="000000"/>
          <w:kern w:val="0"/>
          <w:sz w:val="28"/>
          <w:szCs w:val="28"/>
        </w:rPr>
        <w:t>强化</w:t>
      </w:r>
      <w:r>
        <w:rPr>
          <w:rFonts w:hint="eastAsia" w:ascii="宋体" w:hAnsi="宋体" w:cs="宋体"/>
          <w:color w:val="000000"/>
          <w:kern w:val="0"/>
          <w:sz w:val="28"/>
          <w:szCs w:val="28"/>
          <w:lang w:eastAsia="zh-CN"/>
        </w:rPr>
        <w:t>指标任务的过程管控</w:t>
      </w:r>
      <w:r>
        <w:rPr>
          <w:rFonts w:hint="eastAsia" w:ascii="宋体" w:hAnsi="宋体" w:eastAsia="宋体" w:cs="宋体"/>
          <w:color w:val="000000"/>
          <w:kern w:val="0"/>
          <w:sz w:val="28"/>
          <w:szCs w:val="28"/>
        </w:rPr>
        <w:t>。统一预算编制科目与会计核算科目口径，以便加强预算执行分析，强化财务监控，强化预算刚性约束；加强绩效考评基础信息档案管理；完善绩效考评制度，提高全员项目绩效考核意识，建立日常跟踪及考评机制，加强内部监督考评。</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0EDEE5"/>
    <w:multiLevelType w:val="singleLevel"/>
    <w:tmpl w:val="6B0EDEE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CB129F"/>
    <w:rsid w:val="23703E3B"/>
    <w:rsid w:val="38194938"/>
    <w:rsid w:val="4318393E"/>
    <w:rsid w:val="4BBA42AA"/>
    <w:rsid w:val="598321A2"/>
    <w:rsid w:val="76CB129F"/>
    <w:rsid w:val="77AA7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2022-04-25T01:37:00Z</dcterms:created>
  <dc:creator>: Les nuages pleurent</dc:creator>
  <cp:lastModifiedBy>: Les nuages pleurent</cp:lastModifiedBy>
  <dcterms:modified xsi:type="dcterms:W3CDTF">2022-05-01T07:26:44Z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