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center"/>
        <w:rPr>
          <w:rFonts w:hint="eastAsia" w:ascii="方正小标宋简体" w:hAnsi="方正小标宋简体" w:eastAsia="方正小标宋简体" w:cs="方正小标宋简体"/>
          <w:color w:val="000000"/>
          <w:kern w:val="0"/>
          <w:sz w:val="36"/>
          <w:szCs w:val="36"/>
        </w:rPr>
      </w:pPr>
      <w:r>
        <w:rPr>
          <w:rFonts w:hint="eastAsia" w:ascii="方正小标宋简体" w:hAnsi="方正小标宋简体" w:eastAsia="方正小标宋简体" w:cs="方正小标宋简体"/>
          <w:color w:val="000000"/>
          <w:kern w:val="0"/>
          <w:sz w:val="36"/>
          <w:szCs w:val="36"/>
          <w:lang w:val="en-US" w:eastAsia="zh-CN"/>
        </w:rPr>
        <w:t>2020</w:t>
      </w:r>
      <w:r>
        <w:rPr>
          <w:rFonts w:hint="eastAsia" w:ascii="方正小标宋简体" w:hAnsi="方正小标宋简体" w:eastAsia="方正小标宋简体" w:cs="方正小标宋简体"/>
          <w:color w:val="000000"/>
          <w:kern w:val="0"/>
          <w:sz w:val="36"/>
          <w:szCs w:val="36"/>
        </w:rPr>
        <w:t>年度重点项目搬迁退地补偿支出项目自评表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　　单位名称：</w:t>
      </w:r>
      <w:r>
        <w:rPr>
          <w:rFonts w:hint="eastAsia" w:ascii="楷体_GB2312" w:hAnsi="宋体" w:eastAsia="楷体_GB2312" w:cs="宋体"/>
          <w:color w:val="000000"/>
          <w:kern w:val="0"/>
          <w:sz w:val="24"/>
          <w:szCs w:val="24"/>
          <w:lang w:val="en-US" w:eastAsia="zh-CN"/>
        </w:rPr>
        <w:t xml:space="preserve"> 长青街道办事处                </w:t>
      </w:r>
      <w:r>
        <w:rPr>
          <w:rFonts w:hint="eastAsia" w:ascii="楷体_GB2312" w:hAnsi="宋体" w:eastAsia="楷体_GB2312" w:cs="宋体"/>
          <w:color w:val="000000"/>
          <w:kern w:val="0"/>
          <w:sz w:val="24"/>
          <w:szCs w:val="24"/>
        </w:rPr>
        <w:t>填报</w:t>
      </w:r>
      <w:r>
        <w:rPr>
          <w:rFonts w:hint="eastAsia" w:ascii="楷体_GB2312" w:hAnsi="宋体" w:eastAsia="楷体_GB2312" w:cs="宋体"/>
          <w:color w:val="000000"/>
          <w:kern w:val="0"/>
          <w:sz w:val="24"/>
          <w:szCs w:val="24"/>
          <w:lang w:eastAsia="zh-CN"/>
        </w:rPr>
        <w:t>日</w:t>
      </w:r>
      <w:r>
        <w:rPr>
          <w:rFonts w:hint="eastAsia" w:ascii="楷体_GB2312" w:hAnsi="宋体" w:eastAsia="楷体_GB2312" w:cs="宋体"/>
          <w:color w:val="000000"/>
          <w:kern w:val="0"/>
          <w:sz w:val="24"/>
          <w:szCs w:val="24"/>
        </w:rPr>
        <w:t>期：</w:t>
      </w:r>
      <w:r>
        <w:rPr>
          <w:rFonts w:hint="eastAsia" w:ascii="宋体" w:hAnsi="宋体" w:eastAsia="宋体" w:cs="宋体"/>
          <w:color w:val="000000"/>
          <w:kern w:val="0"/>
          <w:sz w:val="24"/>
          <w:szCs w:val="24"/>
        </w:rPr>
        <w:t>        </w:t>
      </w:r>
    </w:p>
    <w:tbl>
      <w:tblPr>
        <w:tblStyle w:val="3"/>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76"/>
        <w:gridCol w:w="1247"/>
        <w:gridCol w:w="1196"/>
        <w:gridCol w:w="545"/>
        <w:gridCol w:w="394"/>
        <w:gridCol w:w="951"/>
        <w:gridCol w:w="1175"/>
        <w:gridCol w:w="65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44" w:type="dxa"/>
            <w:gridSpan w:val="8"/>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eastAsia="宋体" w:cs="Times New Roman"/>
                <w:kern w:val="0"/>
                <w:lang w:val="en-US" w:eastAsia="zh-CN"/>
              </w:rPr>
              <w:t>重点项目搬迁退地补偿支出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2988" w:type="dxa"/>
            <w:gridSpan w:val="3"/>
            <w:noWrap w:val="0"/>
            <w:vAlign w:val="center"/>
          </w:tcPr>
          <w:p>
            <w:pPr>
              <w:widowControl/>
              <w:snapToGrid w:val="0"/>
              <w:jc w:val="left"/>
              <w:rPr>
                <w:rFonts w:hint="eastAsia" w:ascii="宋体" w:hAnsi="宋体" w:eastAsia="宋体" w:cs="Times New Roman"/>
                <w:kern w:val="0"/>
                <w:lang w:eastAsia="zh-CN"/>
              </w:rPr>
            </w:pPr>
            <w:r>
              <w:rPr>
                <w:rFonts w:hint="eastAsia" w:ascii="宋体" w:hAnsi="宋体" w:eastAsia="宋体" w:cs="Times New Roman"/>
                <w:kern w:val="0"/>
              </w:rPr>
              <w:t>长青街</w:t>
            </w:r>
            <w:r>
              <w:rPr>
                <w:rFonts w:hint="eastAsia" w:ascii="宋体" w:hAnsi="宋体" w:cs="Times New Roman"/>
                <w:kern w:val="0"/>
                <w:lang w:eastAsia="zh-CN"/>
              </w:rPr>
              <w:t>道办事处</w:t>
            </w:r>
          </w:p>
        </w:tc>
        <w:tc>
          <w:tcPr>
            <w:tcW w:w="2520"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1536" w:type="dxa"/>
            <w:gridSpan w:val="2"/>
            <w:noWrap w:val="0"/>
            <w:vAlign w:val="center"/>
          </w:tcPr>
          <w:p>
            <w:pPr>
              <w:widowControl/>
              <w:snapToGrid w:val="0"/>
              <w:jc w:val="center"/>
              <w:rPr>
                <w:rFonts w:ascii="宋体" w:hAnsi="宋体" w:eastAsia="宋体" w:cs="Times New Roman"/>
                <w:kern w:val="0"/>
              </w:rPr>
            </w:pPr>
            <w:r>
              <w:rPr>
                <w:rFonts w:hint="eastAsia" w:ascii="宋体" w:hAnsi="宋体" w:cs="Times New Roman"/>
                <w:kern w:val="0"/>
                <w:lang w:val="en-US" w:eastAsia="zh-CN"/>
              </w:rPr>
              <w:t>20个基层单位</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44" w:type="dxa"/>
            <w:gridSpan w:val="8"/>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cs="仿宋_GB2312"/>
                <w:kern w:val="0"/>
                <w:lang w:eastAsia="zh-CN"/>
              </w:rPr>
              <w:t>□</w:t>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44" w:type="dxa"/>
            <w:gridSpan w:val="8"/>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cs="仿宋_GB2312"/>
                <w:kern w:val="0"/>
                <w:lang w:eastAsia="zh-CN"/>
              </w:rPr>
              <w:t>□</w:t>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44" w:type="dxa"/>
            <w:gridSpan w:val="8"/>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cs="仿宋_GB2312"/>
                <w:kern w:val="0"/>
                <w:lang w:eastAsia="zh-CN"/>
              </w:rPr>
              <w:sym w:font="Wingdings 2" w:char="00A3"/>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eastAsia="宋体" w:cs="仿宋_GB2312"/>
                <w:kern w:val="0"/>
              </w:rPr>
              <w:sym w:font="Wingdings 2" w:char="005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904"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7" w:type="dxa"/>
            <w:noWrap w:val="0"/>
            <w:vAlign w:val="center"/>
          </w:tcPr>
          <w:p>
            <w:pPr>
              <w:widowControl/>
              <w:snapToGrid w:val="0"/>
              <w:jc w:val="center"/>
              <w:rPr>
                <w:rFonts w:ascii="宋体" w:hAnsi="宋体" w:eastAsia="宋体" w:cs="Times New Roman"/>
                <w:kern w:val="0"/>
              </w:rPr>
            </w:pPr>
          </w:p>
        </w:tc>
        <w:tc>
          <w:tcPr>
            <w:tcW w:w="1196"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939"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951"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2711"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Merge w:val="continue"/>
            <w:noWrap w:val="0"/>
            <w:vAlign w:val="center"/>
          </w:tcPr>
          <w:p>
            <w:pPr>
              <w:widowControl/>
              <w:snapToGrid w:val="0"/>
              <w:jc w:val="center"/>
              <w:rPr>
                <w:rFonts w:ascii="宋体" w:hAnsi="宋体" w:eastAsia="宋体" w:cs="Times New Roman"/>
                <w:kern w:val="0"/>
              </w:rPr>
            </w:pPr>
          </w:p>
        </w:tc>
        <w:tc>
          <w:tcPr>
            <w:tcW w:w="1247"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196"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121575.9</w:t>
            </w:r>
          </w:p>
        </w:tc>
        <w:tc>
          <w:tcPr>
            <w:tcW w:w="939"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116808.27</w:t>
            </w:r>
          </w:p>
        </w:tc>
        <w:tc>
          <w:tcPr>
            <w:tcW w:w="951"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96.08%</w:t>
            </w:r>
          </w:p>
        </w:tc>
        <w:tc>
          <w:tcPr>
            <w:tcW w:w="2711" w:type="dxa"/>
            <w:gridSpan w:val="3"/>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6"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7"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2135"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951"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834"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7"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7" w:type="dxa"/>
            <w:noWrap w:val="0"/>
            <w:vAlign w:val="center"/>
          </w:tcPr>
          <w:p>
            <w:pPr>
              <w:widowControl/>
              <w:snapToGrid w:val="0"/>
              <w:jc w:val="center"/>
              <w:rPr>
                <w:rFonts w:hint="eastAsia" w:ascii="宋体" w:hAnsi="宋体" w:eastAsia="宋体" w:cs="Times New Roman"/>
                <w:color w:val="000000"/>
                <w:kern w:val="0"/>
                <w:highlight w:val="none"/>
                <w:lang w:eastAsia="zh-CN"/>
              </w:rPr>
            </w:pPr>
            <w:r>
              <w:rPr>
                <w:rFonts w:ascii="宋体" w:hAnsi="宋体" w:eastAsia="宋体"/>
                <w:color w:val="000000"/>
                <w:sz w:val="20"/>
              </w:rPr>
              <w:t>数量指标</w:t>
            </w:r>
            <w:r>
              <w:rPr>
                <w:rFonts w:hint="eastAsia" w:ascii="宋体" w:hAnsi="宋体" w:cs="Times New Roman"/>
                <w:kern w:val="0"/>
                <w:highlight w:val="none"/>
                <w:lang w:eastAsia="zh-CN"/>
              </w:rPr>
              <w:t>（</w:t>
            </w:r>
            <w:r>
              <w:rPr>
                <w:rFonts w:hint="eastAsia" w:ascii="宋体" w:hAnsi="宋体" w:cs="Times New Roman"/>
                <w:kern w:val="0"/>
                <w:highlight w:val="none"/>
                <w:lang w:val="en-US" w:eastAsia="zh-CN"/>
              </w:rPr>
              <w:t>20</w:t>
            </w:r>
            <w:r>
              <w:rPr>
                <w:rFonts w:hint="eastAsia" w:ascii="宋体" w:hAnsi="宋体" w:cs="Times New Roman"/>
                <w:kern w:val="0"/>
                <w:highlight w:val="none"/>
                <w:lang w:eastAsia="zh-CN"/>
              </w:rPr>
              <w:t>）</w:t>
            </w:r>
          </w:p>
        </w:tc>
        <w:tc>
          <w:tcPr>
            <w:tcW w:w="2135" w:type="dxa"/>
            <w:gridSpan w:val="3"/>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2"/>
                <w:szCs w:val="22"/>
                <w:highlight w:val="none"/>
                <w:u w:val="none"/>
                <w:lang w:val="en-US" w:eastAsia="zh-CN" w:bidi="ar-SA"/>
              </w:rPr>
            </w:pPr>
            <w:r>
              <w:rPr>
                <w:rFonts w:hint="eastAsia" w:ascii="宋体" w:hAnsi="宋体" w:cs="宋体"/>
                <w:i w:val="0"/>
                <w:color w:val="000000"/>
                <w:kern w:val="2"/>
                <w:sz w:val="22"/>
                <w:szCs w:val="22"/>
                <w:highlight w:val="none"/>
                <w:u w:val="none"/>
                <w:lang w:val="en-US" w:eastAsia="zh-CN" w:bidi="ar-SA"/>
              </w:rPr>
              <w:t>三民被征收房屋户数</w:t>
            </w:r>
          </w:p>
        </w:tc>
        <w:tc>
          <w:tcPr>
            <w:tcW w:w="951" w:type="dxa"/>
            <w:noWrap w:val="0"/>
            <w:vAlign w:val="center"/>
          </w:tcPr>
          <w:p>
            <w:pPr>
              <w:keepNext w:val="0"/>
              <w:keepLines w:val="0"/>
              <w:widowControl/>
              <w:suppressLineNumbers w:val="0"/>
              <w:jc w:val="left"/>
              <w:textAlignment w:val="center"/>
              <w:rPr>
                <w:rFonts w:hint="default" w:ascii="宋体" w:hAnsi="宋体" w:eastAsia="宋体" w:cs="宋体"/>
                <w:i w:val="0"/>
                <w:color w:val="000000"/>
                <w:kern w:val="2"/>
                <w:sz w:val="22"/>
                <w:szCs w:val="22"/>
                <w:highlight w:val="none"/>
                <w:u w:val="none"/>
                <w:lang w:val="en-US" w:eastAsia="zh-CN" w:bidi="ar-SA"/>
              </w:rPr>
            </w:pPr>
            <w:r>
              <w:rPr>
                <w:rFonts w:hint="eastAsia" w:ascii="宋体" w:hAnsi="宋体" w:cs="宋体"/>
                <w:i w:val="0"/>
                <w:color w:val="000000"/>
                <w:kern w:val="2"/>
                <w:sz w:val="22"/>
                <w:szCs w:val="22"/>
                <w:highlight w:val="none"/>
                <w:u w:val="none"/>
                <w:lang w:val="en-US" w:eastAsia="zh-CN" w:bidi="ar-SA"/>
              </w:rPr>
              <w:t>65户</w:t>
            </w:r>
          </w:p>
        </w:tc>
        <w:tc>
          <w:tcPr>
            <w:tcW w:w="1834" w:type="dxa"/>
            <w:gridSpan w:val="2"/>
            <w:noWrap w:val="0"/>
            <w:vAlign w:val="center"/>
          </w:tcPr>
          <w:p>
            <w:pPr>
              <w:widowControl/>
              <w:snapToGrid w:val="0"/>
              <w:jc w:val="center"/>
              <w:rPr>
                <w:rFonts w:hint="default" w:ascii="宋体" w:hAnsi="宋体" w:eastAsia="宋体" w:cs="Times New Roman"/>
                <w:color w:val="000000"/>
                <w:kern w:val="0"/>
                <w:sz w:val="22"/>
                <w:szCs w:val="22"/>
                <w:highlight w:val="none"/>
                <w:lang w:val="en-US" w:eastAsia="zh-CN"/>
              </w:rPr>
            </w:pPr>
            <w:r>
              <w:rPr>
                <w:rFonts w:hint="eastAsia" w:ascii="宋体" w:hAnsi="宋体" w:cs="Times New Roman"/>
                <w:color w:val="000000"/>
                <w:kern w:val="0"/>
                <w:sz w:val="22"/>
                <w:szCs w:val="22"/>
                <w:highlight w:val="none"/>
                <w:lang w:val="en-US" w:eastAsia="zh-CN"/>
              </w:rPr>
              <w:t>约65户</w:t>
            </w:r>
          </w:p>
        </w:tc>
        <w:tc>
          <w:tcPr>
            <w:tcW w:w="877" w:type="dxa"/>
            <w:noWrap w:val="0"/>
            <w:vAlign w:val="center"/>
          </w:tcPr>
          <w:p>
            <w:pPr>
              <w:widowControl/>
              <w:snapToGrid w:val="0"/>
              <w:jc w:val="center"/>
              <w:rPr>
                <w:rFonts w:hint="default" w:ascii="宋体" w:hAnsi="宋体" w:eastAsia="宋体" w:cs="Times New Roman"/>
                <w:color w:val="000000"/>
                <w:kern w:val="0"/>
                <w:sz w:val="22"/>
                <w:szCs w:val="22"/>
                <w:highlight w:val="none"/>
                <w:lang w:val="en-US" w:eastAsia="zh-CN"/>
              </w:rPr>
            </w:pPr>
            <w:r>
              <w:rPr>
                <w:rFonts w:hint="eastAsia" w:ascii="宋体" w:hAnsi="宋体" w:cs="Times New Roman"/>
                <w:color w:val="000000"/>
                <w:kern w:val="0"/>
                <w:sz w:val="22"/>
                <w:szCs w:val="22"/>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ascii="宋体" w:hAnsi="宋体" w:eastAsia="宋体" w:cs="Times New Roman"/>
                <w:kern w:val="0"/>
              </w:rPr>
            </w:pPr>
          </w:p>
        </w:tc>
        <w:tc>
          <w:tcPr>
            <w:tcW w:w="1247" w:type="dxa"/>
            <w:noWrap w:val="0"/>
            <w:vAlign w:val="center"/>
          </w:tcPr>
          <w:p>
            <w:pPr>
              <w:widowControl/>
              <w:snapToGrid w:val="0"/>
              <w:jc w:val="center"/>
              <w:rPr>
                <w:rFonts w:hint="eastAsia" w:ascii="宋体" w:hAnsi="宋体" w:eastAsia="宋体" w:cs="Times New Roman"/>
                <w:kern w:val="0"/>
                <w:sz w:val="21"/>
                <w:szCs w:val="24"/>
                <w:highlight w:val="none"/>
                <w:lang w:val="en-US" w:eastAsia="zh-CN" w:bidi="ar-SA"/>
              </w:rPr>
            </w:pPr>
          </w:p>
        </w:tc>
        <w:tc>
          <w:tcPr>
            <w:tcW w:w="2135" w:type="dxa"/>
            <w:gridSpan w:val="3"/>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highlight w:val="none"/>
                <w:u w:val="none"/>
                <w:lang w:val="en-US" w:eastAsia="zh-CN" w:bidi="ar"/>
              </w:rPr>
            </w:pPr>
          </w:p>
        </w:tc>
        <w:tc>
          <w:tcPr>
            <w:tcW w:w="951" w:type="dxa"/>
            <w:noWrap w:val="0"/>
            <w:vAlign w:val="center"/>
          </w:tcPr>
          <w:p>
            <w:pPr>
              <w:keepNext w:val="0"/>
              <w:keepLines w:val="0"/>
              <w:widowControl/>
              <w:suppressLineNumbers w:val="0"/>
              <w:jc w:val="left"/>
              <w:textAlignment w:val="center"/>
              <w:rPr>
                <w:rFonts w:hint="default" w:ascii="宋体" w:hAnsi="宋体" w:eastAsia="宋体" w:cs="宋体"/>
                <w:i w:val="0"/>
                <w:color w:val="000000"/>
                <w:kern w:val="0"/>
                <w:sz w:val="22"/>
                <w:szCs w:val="22"/>
                <w:highlight w:val="none"/>
                <w:u w:val="none"/>
                <w:lang w:val="en-US" w:eastAsia="zh-CN" w:bidi="ar"/>
              </w:rPr>
            </w:pPr>
          </w:p>
        </w:tc>
        <w:tc>
          <w:tcPr>
            <w:tcW w:w="1834" w:type="dxa"/>
            <w:gridSpan w:val="2"/>
            <w:noWrap w:val="0"/>
            <w:vAlign w:val="center"/>
          </w:tcPr>
          <w:p>
            <w:pPr>
              <w:widowControl/>
              <w:snapToGrid w:val="0"/>
              <w:jc w:val="center"/>
              <w:rPr>
                <w:rFonts w:hint="default" w:ascii="宋体" w:hAnsi="宋体" w:eastAsia="宋体" w:cs="Times New Roman"/>
                <w:kern w:val="0"/>
                <w:sz w:val="22"/>
                <w:szCs w:val="22"/>
                <w:highlight w:val="none"/>
                <w:lang w:val="en-US" w:eastAsia="zh-CN" w:bidi="ar-SA"/>
              </w:rPr>
            </w:pPr>
          </w:p>
        </w:tc>
        <w:tc>
          <w:tcPr>
            <w:tcW w:w="877" w:type="dxa"/>
            <w:noWrap w:val="0"/>
            <w:vAlign w:val="center"/>
          </w:tcPr>
          <w:p>
            <w:pPr>
              <w:widowControl/>
              <w:snapToGrid w:val="0"/>
              <w:jc w:val="center"/>
              <w:rPr>
                <w:rFonts w:hint="default" w:ascii="宋体" w:hAnsi="宋体" w:eastAsia="宋体" w:cs="Times New Roman"/>
                <w:kern w:val="0"/>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ascii="宋体" w:hAnsi="宋体" w:eastAsia="宋体" w:cs="Times New Roman"/>
                <w:kern w:val="0"/>
              </w:rPr>
            </w:pPr>
          </w:p>
        </w:tc>
        <w:tc>
          <w:tcPr>
            <w:tcW w:w="1247" w:type="dxa"/>
            <w:noWrap w:val="0"/>
            <w:vAlign w:val="center"/>
          </w:tcPr>
          <w:p>
            <w:pPr>
              <w:widowControl/>
              <w:snapToGrid w:val="0"/>
              <w:jc w:val="center"/>
              <w:rPr>
                <w:rFonts w:hint="eastAsia" w:ascii="宋体" w:hAnsi="宋体" w:eastAsia="宋体" w:cs="Times New Roman"/>
                <w:kern w:val="0"/>
                <w:sz w:val="21"/>
                <w:szCs w:val="24"/>
                <w:highlight w:val="none"/>
                <w:lang w:val="en-US" w:eastAsia="zh-CN" w:bidi="ar-SA"/>
              </w:rPr>
            </w:pPr>
            <w:r>
              <w:rPr>
                <w:rFonts w:hint="eastAsia" w:ascii="宋体" w:hAnsi="宋体" w:cs="Times New Roman"/>
                <w:kern w:val="0"/>
                <w:highlight w:val="none"/>
                <w:lang w:eastAsia="zh-CN"/>
              </w:rPr>
              <w:t>时效指标（</w:t>
            </w:r>
            <w:r>
              <w:rPr>
                <w:rFonts w:hint="eastAsia" w:ascii="宋体" w:hAnsi="宋体" w:cs="Times New Roman"/>
                <w:kern w:val="0"/>
                <w:highlight w:val="none"/>
                <w:lang w:val="en-US" w:eastAsia="zh-CN"/>
              </w:rPr>
              <w:t>20</w:t>
            </w:r>
            <w:r>
              <w:rPr>
                <w:rFonts w:hint="eastAsia" w:ascii="宋体" w:hAnsi="宋体" w:cs="Times New Roman"/>
                <w:kern w:val="0"/>
                <w:highlight w:val="none"/>
                <w:lang w:eastAsia="zh-CN"/>
              </w:rPr>
              <w:t>）</w:t>
            </w:r>
          </w:p>
        </w:tc>
        <w:tc>
          <w:tcPr>
            <w:tcW w:w="2135" w:type="dxa"/>
            <w:gridSpan w:val="3"/>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highlight w:val="none"/>
                <w:u w:val="none"/>
                <w:lang w:val="en-US" w:eastAsia="zh-CN" w:bidi="ar"/>
              </w:rPr>
            </w:pPr>
            <w:r>
              <w:rPr>
                <w:rFonts w:hint="eastAsia" w:ascii="宋体" w:hAnsi="宋体" w:cs="宋体"/>
                <w:i w:val="0"/>
                <w:color w:val="000000"/>
                <w:kern w:val="0"/>
                <w:sz w:val="22"/>
                <w:szCs w:val="22"/>
                <w:highlight w:val="none"/>
                <w:u w:val="none"/>
                <w:lang w:val="en-US" w:eastAsia="zh-CN" w:bidi="ar"/>
              </w:rPr>
              <w:t>按时发放补偿款</w:t>
            </w:r>
          </w:p>
        </w:tc>
        <w:tc>
          <w:tcPr>
            <w:tcW w:w="951"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highlight w:val="none"/>
                <w:u w:val="none"/>
                <w:lang w:val="en-US" w:eastAsia="zh-CN" w:bidi="ar"/>
              </w:rPr>
            </w:pPr>
          </w:p>
        </w:tc>
        <w:tc>
          <w:tcPr>
            <w:tcW w:w="1834" w:type="dxa"/>
            <w:gridSpan w:val="2"/>
            <w:noWrap w:val="0"/>
            <w:vAlign w:val="center"/>
          </w:tcPr>
          <w:p>
            <w:pPr>
              <w:widowControl/>
              <w:snapToGrid w:val="0"/>
              <w:jc w:val="center"/>
              <w:rPr>
                <w:rFonts w:hint="default" w:ascii="宋体" w:hAnsi="宋体" w:eastAsia="宋体" w:cs="Times New Roman"/>
                <w:kern w:val="0"/>
                <w:sz w:val="22"/>
                <w:szCs w:val="22"/>
                <w:highlight w:val="none"/>
                <w:lang w:val="en-US" w:eastAsia="zh-CN" w:bidi="ar-SA"/>
              </w:rPr>
            </w:pPr>
            <w:r>
              <w:rPr>
                <w:rFonts w:hint="eastAsia" w:ascii="宋体" w:hAnsi="宋体" w:cs="Times New Roman"/>
                <w:kern w:val="0"/>
                <w:sz w:val="22"/>
                <w:szCs w:val="22"/>
                <w:highlight w:val="none"/>
                <w:lang w:val="en-US" w:eastAsia="zh-CN" w:bidi="ar-SA"/>
              </w:rPr>
              <w:t>2020年12月底完成全部支付</w:t>
            </w:r>
          </w:p>
        </w:tc>
        <w:tc>
          <w:tcPr>
            <w:tcW w:w="877" w:type="dxa"/>
            <w:noWrap w:val="0"/>
            <w:vAlign w:val="center"/>
          </w:tcPr>
          <w:p>
            <w:pPr>
              <w:widowControl/>
              <w:snapToGrid w:val="0"/>
              <w:jc w:val="center"/>
              <w:rPr>
                <w:rFonts w:hint="default" w:ascii="宋体" w:hAnsi="宋体" w:eastAsia="宋体" w:cs="Times New Roman"/>
                <w:kern w:val="0"/>
                <w:sz w:val="22"/>
                <w:szCs w:val="22"/>
                <w:highlight w:val="none"/>
                <w:lang w:val="en-US" w:eastAsia="zh-CN" w:bidi="ar-SA"/>
              </w:rPr>
            </w:pPr>
            <w:r>
              <w:rPr>
                <w:rFonts w:hint="eastAsia" w:ascii="宋体" w:hAnsi="宋体" w:cs="Times New Roman"/>
                <w:kern w:val="0"/>
                <w:sz w:val="22"/>
                <w:szCs w:val="22"/>
                <w:highlight w:val="none"/>
                <w:lang w:val="en-US" w:eastAsia="zh-CN" w:bidi="ar-S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ascii="宋体" w:hAnsi="宋体" w:eastAsia="宋体" w:cs="Times New Roman"/>
                <w:kern w:val="0"/>
              </w:rPr>
            </w:pPr>
          </w:p>
        </w:tc>
        <w:tc>
          <w:tcPr>
            <w:tcW w:w="1247" w:type="dxa"/>
            <w:noWrap w:val="0"/>
            <w:vAlign w:val="center"/>
          </w:tcPr>
          <w:p>
            <w:pPr>
              <w:widowControl/>
              <w:snapToGrid w:val="0"/>
              <w:jc w:val="center"/>
              <w:rPr>
                <w:rFonts w:hint="eastAsia" w:ascii="宋体" w:hAnsi="宋体" w:eastAsia="宋体" w:cs="Times New Roman"/>
                <w:kern w:val="0"/>
                <w:sz w:val="21"/>
                <w:szCs w:val="24"/>
                <w:highlight w:val="none"/>
                <w:lang w:val="en-US" w:eastAsia="zh-CN" w:bidi="ar-SA"/>
              </w:rPr>
            </w:pPr>
          </w:p>
        </w:tc>
        <w:tc>
          <w:tcPr>
            <w:tcW w:w="2135" w:type="dxa"/>
            <w:gridSpan w:val="3"/>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2"/>
                <w:szCs w:val="22"/>
                <w:highlight w:val="none"/>
                <w:u w:val="none"/>
                <w:lang w:val="en-US" w:eastAsia="zh-CN" w:bidi="ar-SA"/>
              </w:rPr>
            </w:pPr>
          </w:p>
        </w:tc>
        <w:tc>
          <w:tcPr>
            <w:tcW w:w="951"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2"/>
                <w:szCs w:val="22"/>
                <w:highlight w:val="none"/>
                <w:u w:val="none"/>
                <w:lang w:val="en-US" w:eastAsia="zh-CN" w:bidi="ar-SA"/>
              </w:rPr>
            </w:pPr>
          </w:p>
        </w:tc>
        <w:tc>
          <w:tcPr>
            <w:tcW w:w="1834" w:type="dxa"/>
            <w:gridSpan w:val="2"/>
            <w:noWrap w:val="0"/>
            <w:vAlign w:val="center"/>
          </w:tcPr>
          <w:p>
            <w:pPr>
              <w:widowControl/>
              <w:snapToGrid w:val="0"/>
              <w:jc w:val="center"/>
              <w:rPr>
                <w:rFonts w:hint="default" w:ascii="宋体" w:hAnsi="宋体" w:eastAsia="宋体" w:cs="Times New Roman"/>
                <w:kern w:val="0"/>
                <w:sz w:val="22"/>
                <w:szCs w:val="22"/>
                <w:highlight w:val="none"/>
                <w:lang w:val="en-US" w:eastAsia="zh-CN" w:bidi="ar-SA"/>
              </w:rPr>
            </w:pPr>
          </w:p>
        </w:tc>
        <w:tc>
          <w:tcPr>
            <w:tcW w:w="877" w:type="dxa"/>
            <w:noWrap w:val="0"/>
            <w:vAlign w:val="center"/>
          </w:tcPr>
          <w:p>
            <w:pPr>
              <w:widowControl/>
              <w:snapToGrid w:val="0"/>
              <w:jc w:val="center"/>
              <w:rPr>
                <w:rFonts w:hint="default" w:ascii="宋体" w:hAnsi="宋体" w:eastAsia="宋体" w:cs="Times New Roman"/>
                <w:kern w:val="0"/>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restart"/>
            <w:noWrap w:val="0"/>
            <w:vAlign w:val="center"/>
          </w:tcPr>
          <w:p>
            <w:pPr>
              <w:widowControl/>
              <w:tabs>
                <w:tab w:val="left" w:pos="381"/>
              </w:tabs>
              <w:snapToGrid w:val="0"/>
              <w:jc w:val="center"/>
              <w:rPr>
                <w:rFonts w:hint="eastAsia" w:ascii="宋体" w:hAnsi="宋体" w:cs="Times New Roman"/>
                <w:kern w:val="0"/>
                <w:lang w:eastAsia="zh-CN"/>
              </w:rPr>
            </w:pPr>
            <w:r>
              <w:rPr>
                <w:rFonts w:hint="eastAsia" w:ascii="宋体" w:hAnsi="宋体" w:cs="Times New Roman"/>
                <w:kern w:val="0"/>
                <w:lang w:eastAsia="zh-CN"/>
              </w:rPr>
              <w:t>效益指标</w:t>
            </w:r>
            <w:r>
              <w:rPr>
                <w:rFonts w:hint="eastAsia" w:ascii="宋体" w:hAnsi="宋体" w:cs="仿宋_GB2312"/>
                <w:kern w:val="0"/>
                <w:lang w:val="en-US" w:eastAsia="zh-CN"/>
              </w:rPr>
              <w:t>（20分</w:t>
            </w:r>
            <w:r>
              <w:rPr>
                <w:rFonts w:hint="eastAsia" w:ascii="宋体" w:hAnsi="宋体" w:cs="仿宋_GB2312"/>
                <w:kern w:val="0"/>
                <w:lang w:eastAsia="zh-CN"/>
              </w:rPr>
              <w:t>）</w:t>
            </w:r>
          </w:p>
        </w:tc>
        <w:tc>
          <w:tcPr>
            <w:tcW w:w="124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仿宋_GB2312"/>
                <w:kern w:val="0"/>
                <w:highlight w:val="none"/>
                <w:lang w:eastAsia="zh-CN"/>
              </w:rPr>
              <w:t>社会效益指标</w:t>
            </w:r>
            <w:r>
              <w:rPr>
                <w:rFonts w:hint="eastAsia" w:ascii="宋体" w:hAnsi="宋体" w:cs="仿宋_GB2312"/>
                <w:kern w:val="0"/>
                <w:highlight w:val="none"/>
                <w:lang w:val="en-US" w:eastAsia="zh-CN"/>
              </w:rPr>
              <w:t>(20)</w:t>
            </w:r>
          </w:p>
        </w:tc>
        <w:tc>
          <w:tcPr>
            <w:tcW w:w="2135" w:type="dxa"/>
            <w:gridSpan w:val="3"/>
            <w:noWrap w:val="0"/>
            <w:vAlign w:val="center"/>
          </w:tcPr>
          <w:p>
            <w:pPr>
              <w:keepNext w:val="0"/>
              <w:keepLines w:val="0"/>
              <w:widowControl/>
              <w:suppressLineNumbers w:val="0"/>
              <w:jc w:val="left"/>
              <w:textAlignment w:val="center"/>
              <w:rPr>
                <w:rFonts w:hint="eastAsia" w:ascii="宋体" w:hAnsi="宋体" w:eastAsia="宋体"/>
                <w:color w:val="000000"/>
                <w:sz w:val="22"/>
                <w:szCs w:val="22"/>
                <w:lang w:eastAsia="zh-CN"/>
              </w:rPr>
            </w:pPr>
            <w:r>
              <w:rPr>
                <w:rFonts w:hint="eastAsia" w:ascii="宋体" w:hAnsi="宋体"/>
                <w:color w:val="000000"/>
                <w:sz w:val="22"/>
                <w:szCs w:val="22"/>
                <w:lang w:eastAsia="zh-CN"/>
              </w:rPr>
              <w:t>被搬迁人员生活保障</w:t>
            </w:r>
          </w:p>
        </w:tc>
        <w:tc>
          <w:tcPr>
            <w:tcW w:w="951" w:type="dxa"/>
            <w:noWrap w:val="0"/>
            <w:vAlign w:val="center"/>
          </w:tcPr>
          <w:p>
            <w:pPr>
              <w:keepNext w:val="0"/>
              <w:keepLines w:val="0"/>
              <w:widowControl/>
              <w:suppressLineNumbers w:val="0"/>
              <w:jc w:val="left"/>
              <w:textAlignment w:val="center"/>
              <w:rPr>
                <w:rFonts w:ascii="宋体" w:hAnsi="宋体" w:eastAsia="宋体"/>
                <w:color w:val="000000"/>
                <w:sz w:val="22"/>
                <w:szCs w:val="22"/>
              </w:rPr>
            </w:pPr>
            <w:r>
              <w:rPr>
                <w:rFonts w:hint="eastAsia" w:ascii="宋体" w:hAnsi="宋体" w:eastAsia="宋体" w:cs="宋体"/>
                <w:i w:val="0"/>
                <w:color w:val="000000"/>
                <w:kern w:val="2"/>
                <w:sz w:val="22"/>
                <w:szCs w:val="22"/>
                <w:highlight w:val="none"/>
                <w:u w:val="none"/>
                <w:lang w:val="en-US" w:eastAsia="zh-CN" w:bidi="ar-SA"/>
              </w:rPr>
              <w:t>≧</w:t>
            </w:r>
            <w:r>
              <w:rPr>
                <w:rFonts w:hint="eastAsia" w:ascii="宋体" w:hAnsi="宋体" w:cs="宋体"/>
                <w:i w:val="0"/>
                <w:color w:val="000000"/>
                <w:kern w:val="2"/>
                <w:sz w:val="22"/>
                <w:szCs w:val="22"/>
                <w:highlight w:val="none"/>
                <w:u w:val="none"/>
                <w:lang w:val="en-US" w:eastAsia="zh-CN" w:bidi="ar-SA"/>
              </w:rPr>
              <w:t>90%</w:t>
            </w:r>
          </w:p>
        </w:tc>
        <w:tc>
          <w:tcPr>
            <w:tcW w:w="1834" w:type="dxa"/>
            <w:gridSpan w:val="2"/>
            <w:noWrap w:val="0"/>
            <w:vAlign w:val="center"/>
          </w:tcPr>
          <w:p>
            <w:pPr>
              <w:widowControl/>
              <w:snapToGrid w:val="0"/>
              <w:jc w:val="center"/>
              <w:rPr>
                <w:rFonts w:hint="default" w:ascii="宋体" w:hAnsi="宋体" w:eastAsia="宋体" w:cs="Times New Roman"/>
                <w:kern w:val="0"/>
                <w:sz w:val="22"/>
                <w:szCs w:val="22"/>
                <w:highlight w:val="none"/>
                <w:lang w:val="en-US" w:eastAsia="zh-CN"/>
              </w:rPr>
            </w:pPr>
            <w:r>
              <w:rPr>
                <w:rFonts w:hint="eastAsia" w:ascii="宋体" w:hAnsi="宋体" w:eastAsia="宋体" w:cs="宋体"/>
                <w:i w:val="0"/>
                <w:color w:val="000000"/>
                <w:kern w:val="2"/>
                <w:sz w:val="22"/>
                <w:szCs w:val="22"/>
                <w:highlight w:val="none"/>
                <w:u w:val="none"/>
                <w:lang w:val="en-US" w:eastAsia="zh-CN" w:bidi="ar-SA"/>
              </w:rPr>
              <w:t>≧</w:t>
            </w:r>
            <w:r>
              <w:rPr>
                <w:rFonts w:hint="eastAsia" w:ascii="宋体" w:hAnsi="宋体" w:cs="宋体"/>
                <w:i w:val="0"/>
                <w:color w:val="000000"/>
                <w:kern w:val="2"/>
                <w:sz w:val="22"/>
                <w:szCs w:val="22"/>
                <w:highlight w:val="none"/>
                <w:u w:val="none"/>
                <w:lang w:val="en-US" w:eastAsia="zh-CN" w:bidi="ar-SA"/>
              </w:rPr>
              <w:t>90%</w:t>
            </w:r>
          </w:p>
        </w:tc>
        <w:tc>
          <w:tcPr>
            <w:tcW w:w="877" w:type="dxa"/>
            <w:noWrap w:val="0"/>
            <w:vAlign w:val="center"/>
          </w:tcPr>
          <w:p>
            <w:pPr>
              <w:widowControl/>
              <w:snapToGrid w:val="0"/>
              <w:jc w:val="center"/>
              <w:rPr>
                <w:rFonts w:hint="default" w:ascii="宋体" w:hAnsi="宋体" w:eastAsia="宋体" w:cs="Times New Roman"/>
                <w:kern w:val="0"/>
                <w:sz w:val="22"/>
                <w:szCs w:val="22"/>
                <w:highlight w:val="none"/>
                <w:lang w:val="en-US" w:eastAsia="zh-CN"/>
              </w:rPr>
            </w:pPr>
            <w:r>
              <w:rPr>
                <w:rFonts w:hint="eastAsia" w:ascii="宋体" w:hAnsi="宋体" w:cs="Times New Roman"/>
                <w:kern w:val="0"/>
                <w:sz w:val="22"/>
                <w:szCs w:val="22"/>
                <w:highlight w:val="none"/>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hint="eastAsia" w:ascii="宋体" w:hAnsi="宋体" w:cs="Times New Roman"/>
                <w:kern w:val="0"/>
                <w:lang w:eastAsia="zh-CN"/>
              </w:rPr>
            </w:pPr>
          </w:p>
        </w:tc>
        <w:tc>
          <w:tcPr>
            <w:tcW w:w="124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2135" w:type="dxa"/>
            <w:gridSpan w:val="3"/>
            <w:noWrap w:val="0"/>
            <w:vAlign w:val="center"/>
          </w:tcPr>
          <w:p>
            <w:pPr>
              <w:keepNext w:val="0"/>
              <w:keepLines w:val="0"/>
              <w:widowControl/>
              <w:suppressLineNumbers w:val="0"/>
              <w:jc w:val="left"/>
              <w:textAlignment w:val="center"/>
              <w:rPr>
                <w:rFonts w:hint="eastAsia" w:ascii="宋体" w:hAnsi="宋体" w:eastAsia="宋体"/>
                <w:color w:val="000000"/>
                <w:sz w:val="22"/>
                <w:szCs w:val="22"/>
                <w:lang w:eastAsia="zh-CN"/>
              </w:rPr>
            </w:pPr>
          </w:p>
        </w:tc>
        <w:tc>
          <w:tcPr>
            <w:tcW w:w="951" w:type="dxa"/>
            <w:noWrap w:val="0"/>
            <w:vAlign w:val="center"/>
          </w:tcPr>
          <w:p>
            <w:pPr>
              <w:keepNext w:val="0"/>
              <w:keepLines w:val="0"/>
              <w:widowControl/>
              <w:suppressLineNumbers w:val="0"/>
              <w:jc w:val="left"/>
              <w:textAlignment w:val="center"/>
              <w:rPr>
                <w:rFonts w:ascii="宋体" w:hAnsi="宋体" w:eastAsia="宋体"/>
                <w:color w:val="000000"/>
                <w:sz w:val="22"/>
                <w:szCs w:val="22"/>
              </w:rPr>
            </w:pPr>
          </w:p>
        </w:tc>
        <w:tc>
          <w:tcPr>
            <w:tcW w:w="1834" w:type="dxa"/>
            <w:gridSpan w:val="2"/>
            <w:noWrap w:val="0"/>
            <w:vAlign w:val="center"/>
          </w:tcPr>
          <w:p>
            <w:pPr>
              <w:widowControl/>
              <w:snapToGrid w:val="0"/>
              <w:jc w:val="center"/>
              <w:rPr>
                <w:rFonts w:hint="default" w:ascii="宋体" w:hAnsi="宋体" w:eastAsia="宋体" w:cs="Times New Roman"/>
                <w:kern w:val="0"/>
                <w:sz w:val="22"/>
                <w:szCs w:val="22"/>
                <w:highlight w:val="none"/>
                <w:lang w:val="en-US" w:eastAsia="zh-CN"/>
              </w:rPr>
            </w:pPr>
          </w:p>
        </w:tc>
        <w:tc>
          <w:tcPr>
            <w:tcW w:w="877" w:type="dxa"/>
            <w:noWrap w:val="0"/>
            <w:vAlign w:val="center"/>
          </w:tcPr>
          <w:p>
            <w:pPr>
              <w:widowControl/>
              <w:snapToGrid w:val="0"/>
              <w:jc w:val="center"/>
              <w:rPr>
                <w:rFonts w:hint="default" w:ascii="宋体" w:hAnsi="宋体" w:eastAsia="宋体" w:cs="Times New Roman"/>
                <w:kern w:val="0"/>
                <w:sz w:val="22"/>
                <w:szCs w:val="22"/>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restart"/>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20分</w:t>
            </w:r>
            <w:r>
              <w:rPr>
                <w:rFonts w:hint="eastAsia" w:ascii="宋体" w:hAnsi="宋体" w:cs="Times New Roman"/>
                <w:kern w:val="0"/>
                <w:lang w:eastAsia="zh-CN"/>
              </w:rPr>
              <w:t>）</w:t>
            </w:r>
          </w:p>
        </w:tc>
        <w:tc>
          <w:tcPr>
            <w:tcW w:w="124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服务对象</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满意度指标</w:t>
            </w:r>
            <w:r>
              <w:rPr>
                <w:rFonts w:hint="eastAsia" w:ascii="宋体" w:hAnsi="宋体" w:cs="仿宋_GB2312"/>
                <w:kern w:val="0"/>
                <w:highlight w:val="none"/>
                <w:lang w:val="en-US" w:eastAsia="zh-CN"/>
              </w:rPr>
              <w:t>(20)</w:t>
            </w:r>
          </w:p>
        </w:tc>
        <w:tc>
          <w:tcPr>
            <w:tcW w:w="2135" w:type="dxa"/>
            <w:gridSpan w:val="3"/>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2"/>
                <w:szCs w:val="22"/>
                <w:highlight w:val="none"/>
                <w:u w:val="none"/>
                <w:lang w:val="en-US" w:eastAsia="zh-CN" w:bidi="ar-SA"/>
              </w:rPr>
            </w:pPr>
            <w:r>
              <w:rPr>
                <w:rFonts w:hint="eastAsia" w:ascii="宋体" w:hAnsi="宋体" w:cs="宋体"/>
                <w:i w:val="0"/>
                <w:color w:val="000000"/>
                <w:kern w:val="2"/>
                <w:sz w:val="22"/>
                <w:szCs w:val="22"/>
                <w:highlight w:val="none"/>
                <w:u w:val="none"/>
                <w:lang w:val="en-US" w:eastAsia="zh-CN" w:bidi="ar-SA"/>
              </w:rPr>
              <w:t>被征收人员房屋人员满意度</w:t>
            </w:r>
          </w:p>
        </w:tc>
        <w:tc>
          <w:tcPr>
            <w:tcW w:w="951" w:type="dxa"/>
            <w:noWrap w:val="0"/>
            <w:vAlign w:val="center"/>
          </w:tcPr>
          <w:p>
            <w:pPr>
              <w:keepNext w:val="0"/>
              <w:keepLines w:val="0"/>
              <w:widowControl/>
              <w:suppressLineNumbers w:val="0"/>
              <w:jc w:val="left"/>
              <w:textAlignment w:val="center"/>
              <w:rPr>
                <w:rFonts w:hint="default" w:ascii="宋体" w:hAnsi="宋体" w:eastAsia="宋体" w:cs="宋体"/>
                <w:i w:val="0"/>
                <w:color w:val="000000"/>
                <w:kern w:val="2"/>
                <w:sz w:val="22"/>
                <w:szCs w:val="22"/>
                <w:highlight w:val="none"/>
                <w:u w:val="none"/>
                <w:lang w:val="en-US" w:eastAsia="zh-CN" w:bidi="ar-SA"/>
              </w:rPr>
            </w:pPr>
            <w:r>
              <w:rPr>
                <w:rFonts w:hint="eastAsia" w:ascii="宋体" w:hAnsi="宋体" w:eastAsia="宋体" w:cs="宋体"/>
                <w:i w:val="0"/>
                <w:color w:val="000000"/>
                <w:kern w:val="2"/>
                <w:sz w:val="22"/>
                <w:szCs w:val="22"/>
                <w:highlight w:val="none"/>
                <w:u w:val="none"/>
                <w:lang w:val="en-US" w:eastAsia="zh-CN" w:bidi="ar-SA"/>
              </w:rPr>
              <w:t>≧</w:t>
            </w:r>
            <w:r>
              <w:rPr>
                <w:rFonts w:hint="eastAsia" w:ascii="宋体" w:hAnsi="宋体" w:cs="宋体"/>
                <w:i w:val="0"/>
                <w:color w:val="000000"/>
                <w:kern w:val="2"/>
                <w:sz w:val="22"/>
                <w:szCs w:val="22"/>
                <w:highlight w:val="none"/>
                <w:u w:val="none"/>
                <w:lang w:val="en-US" w:eastAsia="zh-CN" w:bidi="ar-SA"/>
              </w:rPr>
              <w:t>90%</w:t>
            </w:r>
          </w:p>
        </w:tc>
        <w:tc>
          <w:tcPr>
            <w:tcW w:w="1834" w:type="dxa"/>
            <w:gridSpan w:val="2"/>
            <w:noWrap w:val="0"/>
            <w:vAlign w:val="center"/>
          </w:tcPr>
          <w:p>
            <w:pPr>
              <w:widowControl/>
              <w:snapToGrid w:val="0"/>
              <w:jc w:val="center"/>
              <w:rPr>
                <w:rFonts w:hint="default" w:ascii="宋体" w:hAnsi="宋体" w:eastAsia="宋体" w:cs="Times New Roman"/>
                <w:kern w:val="0"/>
                <w:sz w:val="22"/>
                <w:szCs w:val="22"/>
                <w:highlight w:val="none"/>
                <w:lang w:val="en-US" w:eastAsia="zh-CN"/>
              </w:rPr>
            </w:pPr>
            <w:r>
              <w:rPr>
                <w:rFonts w:hint="eastAsia" w:ascii="宋体" w:hAnsi="宋体" w:eastAsia="宋体" w:cs="宋体"/>
                <w:i w:val="0"/>
                <w:color w:val="000000"/>
                <w:kern w:val="2"/>
                <w:sz w:val="22"/>
                <w:szCs w:val="22"/>
                <w:highlight w:val="none"/>
                <w:u w:val="none"/>
                <w:lang w:val="en-US" w:eastAsia="zh-CN" w:bidi="ar-SA"/>
              </w:rPr>
              <w:t>≧</w:t>
            </w:r>
            <w:r>
              <w:rPr>
                <w:rFonts w:hint="eastAsia" w:ascii="宋体" w:hAnsi="宋体" w:cs="宋体"/>
                <w:i w:val="0"/>
                <w:color w:val="000000"/>
                <w:kern w:val="2"/>
                <w:sz w:val="22"/>
                <w:szCs w:val="22"/>
                <w:highlight w:val="none"/>
                <w:u w:val="none"/>
                <w:lang w:val="en-US" w:eastAsia="zh-CN" w:bidi="ar-SA"/>
              </w:rPr>
              <w:t>90%</w:t>
            </w:r>
          </w:p>
        </w:tc>
        <w:tc>
          <w:tcPr>
            <w:tcW w:w="877" w:type="dxa"/>
            <w:noWrap w:val="0"/>
            <w:vAlign w:val="center"/>
          </w:tcPr>
          <w:p>
            <w:pPr>
              <w:widowControl/>
              <w:snapToGrid w:val="0"/>
              <w:jc w:val="center"/>
              <w:rPr>
                <w:rFonts w:hint="default" w:ascii="宋体" w:hAnsi="宋体" w:eastAsia="宋体" w:cs="Times New Roman"/>
                <w:kern w:val="0"/>
                <w:sz w:val="22"/>
                <w:szCs w:val="22"/>
                <w:highlight w:val="none"/>
                <w:lang w:val="en-US" w:eastAsia="zh-CN"/>
              </w:rPr>
            </w:pPr>
            <w:r>
              <w:rPr>
                <w:rFonts w:hint="eastAsia" w:ascii="宋体" w:hAnsi="宋体" w:cs="Times New Roman"/>
                <w:kern w:val="0"/>
                <w:sz w:val="22"/>
                <w:szCs w:val="22"/>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hint="eastAsia" w:ascii="宋体" w:hAnsi="宋体" w:cs="Times New Roman"/>
                <w:kern w:val="0"/>
                <w:lang w:eastAsia="zh-CN"/>
              </w:rPr>
            </w:pPr>
          </w:p>
        </w:tc>
        <w:tc>
          <w:tcPr>
            <w:tcW w:w="124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2135" w:type="dxa"/>
            <w:gridSpan w:val="3"/>
            <w:noWrap w:val="0"/>
            <w:vAlign w:val="center"/>
          </w:tcPr>
          <w:p>
            <w:pPr>
              <w:keepNext w:val="0"/>
              <w:keepLines w:val="0"/>
              <w:widowControl/>
              <w:suppressLineNumbers w:val="0"/>
              <w:jc w:val="left"/>
              <w:textAlignment w:val="center"/>
              <w:rPr>
                <w:rFonts w:ascii="宋体" w:hAnsi="宋体" w:eastAsia="宋体"/>
                <w:color w:val="000000"/>
                <w:sz w:val="20"/>
              </w:rPr>
            </w:pPr>
          </w:p>
        </w:tc>
        <w:tc>
          <w:tcPr>
            <w:tcW w:w="951" w:type="dxa"/>
            <w:noWrap w:val="0"/>
            <w:vAlign w:val="center"/>
          </w:tcPr>
          <w:p>
            <w:pPr>
              <w:keepNext w:val="0"/>
              <w:keepLines w:val="0"/>
              <w:widowControl/>
              <w:suppressLineNumbers w:val="0"/>
              <w:jc w:val="left"/>
              <w:textAlignment w:val="center"/>
              <w:rPr>
                <w:rFonts w:ascii="宋体" w:hAnsi="宋体" w:eastAsia="宋体"/>
                <w:color w:val="000000"/>
                <w:sz w:val="20"/>
              </w:rPr>
            </w:pPr>
          </w:p>
        </w:tc>
        <w:tc>
          <w:tcPr>
            <w:tcW w:w="1834" w:type="dxa"/>
            <w:gridSpan w:val="2"/>
            <w:noWrap w:val="0"/>
            <w:vAlign w:val="center"/>
          </w:tcPr>
          <w:p>
            <w:pPr>
              <w:widowControl/>
              <w:snapToGrid w:val="0"/>
              <w:jc w:val="center"/>
              <w:rPr>
                <w:rFonts w:ascii="宋体" w:hAnsi="宋体" w:eastAsia="宋体"/>
                <w:color w:val="000000"/>
                <w:sz w:val="20"/>
              </w:rPr>
            </w:pPr>
          </w:p>
        </w:tc>
        <w:tc>
          <w:tcPr>
            <w:tcW w:w="877" w:type="dxa"/>
            <w:noWrap w:val="0"/>
            <w:vAlign w:val="center"/>
          </w:tcPr>
          <w:p>
            <w:pPr>
              <w:widowControl/>
              <w:snapToGrid w:val="0"/>
              <w:jc w:val="center"/>
              <w:rPr>
                <w:rFonts w:hint="default" w:ascii="宋体" w:hAnsi="宋体" w:eastAsia="宋体" w:cs="Times New Roman"/>
                <w:kern w:val="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120" w:type="dxa"/>
            <w:gridSpan w:val="9"/>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1904"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44" w:type="dxa"/>
            <w:gridSpan w:val="8"/>
            <w:noWrap w:val="0"/>
            <w:vAlign w:val="center"/>
          </w:tcPr>
          <w:p>
            <w:pPr>
              <w:pStyle w:val="2"/>
              <w:numPr>
                <w:ilvl w:val="0"/>
                <w:numId w:val="0"/>
              </w:numP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0" w:hRule="atLeast"/>
          <w:jc w:val="center"/>
        </w:trPr>
        <w:tc>
          <w:tcPr>
            <w:tcW w:w="1904"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44" w:type="dxa"/>
            <w:gridSpan w:val="8"/>
            <w:noWrap w:val="0"/>
            <w:vAlign w:val="center"/>
          </w:tcPr>
          <w:p>
            <w:pPr>
              <w:pStyle w:val="2"/>
              <w:numPr>
                <w:ilvl w:val="0"/>
                <w:numId w:val="0"/>
              </w:numPr>
              <w:ind w:firstLine="480" w:firstLineChars="200"/>
              <w:rPr>
                <w:rFonts w:hint="eastAsia"/>
                <w:lang w:eastAsia="zh-CN"/>
              </w:rPr>
            </w:pPr>
            <w:r>
              <w:rPr>
                <w:rFonts w:hint="eastAsia"/>
                <w:lang w:eastAsia="zh-CN"/>
              </w:rPr>
              <w:t>1.优化预算绩效指标任务设置。根据该项目实际情况选择最能反映绩效管理要求的关键性指标，合理设定绩效指标值，提高绩效指标实际执行率。</w:t>
            </w:r>
          </w:p>
          <w:p>
            <w:pPr>
              <w:pStyle w:val="2"/>
              <w:numPr>
                <w:ilvl w:val="0"/>
                <w:numId w:val="0"/>
              </w:numPr>
              <w:ind w:firstLine="480" w:firstLineChars="200"/>
              <w:rPr>
                <w:rFonts w:hint="eastAsia"/>
                <w:lang w:eastAsia="zh-CN"/>
              </w:rPr>
            </w:pPr>
            <w:r>
              <w:rPr>
                <w:rFonts w:hint="eastAsia"/>
                <w:lang w:eastAsia="zh-CN"/>
              </w:rPr>
              <w:t>2.强化预算绩效指标跟踪管控。按照预算绩效指标考核要求，提高预算绩效管理意识及时跟进督促项目进度，强化指标任务的过程管控。统一预算编制科目与会计核算科目口径，以便加强预算执行分析，强化财务监控，强化预算刚性约束；加强绩效考评基础信息档案管理；完善绩效考评制度，提高全员项目绩效考核意识，建立日常跟踪及考评机制，加强内部监督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jc w:val="center"/>
        </w:trPr>
        <w:tc>
          <w:tcPr>
            <w:tcW w:w="1904"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44" w:type="dxa"/>
            <w:gridSpan w:val="8"/>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pPr>
        <w:pStyle w:val="2"/>
        <w:numPr>
          <w:ilvl w:val="0"/>
          <w:numId w:val="0"/>
        </w:numPr>
        <w:jc w:val="both"/>
        <w:rPr>
          <w:rFonts w:hint="default" w:eastAsia="宋体" w:cs="Times New Roman"/>
          <w:sz w:val="28"/>
          <w:szCs w:val="36"/>
          <w:lang w:val="en-US" w:eastAsia="zh-CN"/>
        </w:rPr>
      </w:pP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年度重点项目搬迁退地补偿支出拆迁过渡费项目自评结果</w:t>
      </w:r>
    </w:p>
    <w:p>
      <w:pPr>
        <w:widowControl/>
        <w:spacing w:line="432" w:lineRule="atLeast"/>
        <w:jc w:val="center"/>
        <w:rPr>
          <w:rFonts w:hint="eastAsia" w:ascii="楷体_GB2312" w:hAnsi="宋体" w:eastAsia="楷体_GB2312" w:cs="宋体"/>
          <w:color w:val="000000"/>
          <w:kern w:val="0"/>
          <w:sz w:val="24"/>
          <w:szCs w:val="24"/>
        </w:rPr>
      </w:pP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自评得分</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jc w:val="left"/>
        <w:textAlignment w:val="auto"/>
        <w:rPr>
          <w:rFonts w:hint="eastAsia" w:ascii="黑体" w:hAnsi="黑体" w:eastAsia="黑体" w:cs="黑体"/>
          <w:color w:val="000000"/>
          <w:kern w:val="0"/>
          <w:sz w:val="28"/>
          <w:szCs w:val="28"/>
        </w:rPr>
      </w:pPr>
    </w:p>
    <w:tbl>
      <w:tblPr>
        <w:tblStyle w:val="4"/>
        <w:tblW w:w="8299" w:type="dxa"/>
        <w:tblInd w:w="6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8"/>
        <w:gridCol w:w="2063"/>
        <w:gridCol w:w="2063"/>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评分项目</w:t>
            </w:r>
          </w:p>
        </w:tc>
        <w:tc>
          <w:tcPr>
            <w:tcW w:w="2063"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权重</w:t>
            </w:r>
          </w:p>
        </w:tc>
        <w:tc>
          <w:tcPr>
            <w:tcW w:w="2063"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评分值</w:t>
            </w:r>
          </w:p>
        </w:tc>
        <w:tc>
          <w:tcPr>
            <w:tcW w:w="2065"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本项得分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108"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预算执行情况</w:t>
            </w:r>
          </w:p>
        </w:tc>
        <w:tc>
          <w:tcPr>
            <w:tcW w:w="2063"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2063"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20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产出指标</w:t>
            </w:r>
          </w:p>
        </w:tc>
        <w:tc>
          <w:tcPr>
            <w:tcW w:w="2063"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40%</w:t>
            </w:r>
          </w:p>
        </w:tc>
        <w:tc>
          <w:tcPr>
            <w:tcW w:w="2063"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40</w:t>
            </w:r>
          </w:p>
        </w:tc>
        <w:tc>
          <w:tcPr>
            <w:tcW w:w="20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效益指标</w:t>
            </w:r>
          </w:p>
        </w:tc>
        <w:tc>
          <w:tcPr>
            <w:tcW w:w="2063"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2063"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20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满意度指标</w:t>
            </w:r>
          </w:p>
        </w:tc>
        <w:tc>
          <w:tcPr>
            <w:tcW w:w="2063"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2063"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20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noWrap w:val="0"/>
            <w:vAlign w:val="top"/>
          </w:tcPr>
          <w:p>
            <w:pPr>
              <w:widowControl/>
              <w:autoSpaceDE w:val="0"/>
              <w:spacing w:line="520" w:lineRule="exact"/>
              <w:jc w:val="center"/>
              <w:rPr>
                <w:rFonts w:hint="eastAsia" w:ascii="宋体" w:hAnsi="宋体" w:eastAsia="宋体"/>
                <w:color w:val="000000"/>
                <w:kern w:val="0"/>
                <w:sz w:val="30"/>
                <w:szCs w:val="30"/>
                <w:lang w:eastAsia="zh-CN"/>
              </w:rPr>
            </w:pPr>
            <w:r>
              <w:rPr>
                <w:rFonts w:hint="eastAsia" w:ascii="宋体" w:hAnsi="宋体"/>
                <w:color w:val="000000"/>
                <w:kern w:val="0"/>
                <w:sz w:val="30"/>
                <w:szCs w:val="30"/>
                <w:lang w:eastAsia="zh-CN"/>
              </w:rPr>
              <w:t>汇总</w:t>
            </w:r>
          </w:p>
        </w:tc>
        <w:tc>
          <w:tcPr>
            <w:tcW w:w="2063"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100%</w:t>
            </w:r>
          </w:p>
        </w:tc>
        <w:tc>
          <w:tcPr>
            <w:tcW w:w="2063"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100</w:t>
            </w:r>
          </w:p>
        </w:tc>
        <w:tc>
          <w:tcPr>
            <w:tcW w:w="20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96</w:t>
            </w:r>
          </w:p>
        </w:tc>
      </w:tr>
    </w:tbl>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rPr>
      </w:pP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二</w:t>
      </w:r>
      <w:r>
        <w:rPr>
          <w:rFonts w:hint="eastAsia" w:ascii="黑体" w:hAnsi="黑体" w:eastAsia="黑体" w:cs="黑体"/>
          <w:color w:val="000000"/>
          <w:kern w:val="0"/>
          <w:sz w:val="28"/>
          <w:szCs w:val="28"/>
          <w:lang w:eastAsia="zh-CN"/>
        </w:rPr>
        <w:t>、</w:t>
      </w:r>
      <w:r>
        <w:rPr>
          <w:rFonts w:hint="eastAsia" w:ascii="黑体" w:hAnsi="黑体" w:eastAsia="黑体" w:cs="黑体"/>
          <w:color w:val="000000"/>
          <w:kern w:val="0"/>
          <w:sz w:val="28"/>
          <w:szCs w:val="28"/>
        </w:rPr>
        <w:t>绩效目标完成情况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1.执行率情况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eastAsia="宋体" w:cs="宋体"/>
          <w:color w:val="000000"/>
          <w:kern w:val="0"/>
          <w:sz w:val="28"/>
          <w:szCs w:val="28"/>
          <w:lang w:val="en-US" w:eastAsia="zh-CN"/>
        </w:rPr>
      </w:pPr>
      <w:r>
        <w:rPr>
          <w:rFonts w:hint="eastAsia" w:ascii="宋体" w:hAnsi="宋体" w:cs="宋体"/>
          <w:color w:val="000000"/>
          <w:kern w:val="0"/>
          <w:sz w:val="28"/>
          <w:szCs w:val="28"/>
          <w:lang w:val="en-US" w:eastAsia="zh-CN"/>
        </w:rPr>
        <w:t>2020年项目预算总额121575.9万元，执行数116808.27万元，资金执行率</w:t>
      </w:r>
      <w:r>
        <w:rPr>
          <w:rFonts w:hint="eastAsia" w:ascii="宋体" w:hAnsi="宋体"/>
          <w:color w:val="000000"/>
          <w:kern w:val="0"/>
          <w:sz w:val="30"/>
          <w:szCs w:val="30"/>
          <w:lang w:val="en-US" w:eastAsia="zh-CN"/>
        </w:rPr>
        <w:t>96.08</w:t>
      </w:r>
      <w:r>
        <w:rPr>
          <w:rFonts w:hint="eastAsia" w:ascii="宋体" w:hAnsi="宋体" w:eastAsia="宋体"/>
          <w:color w:val="000000"/>
          <w:kern w:val="0"/>
          <w:sz w:val="30"/>
          <w:szCs w:val="30"/>
        </w:rPr>
        <w:t>%</w:t>
      </w:r>
      <w:r>
        <w:rPr>
          <w:rFonts w:hint="eastAsia" w:ascii="宋体" w:hAnsi="宋体" w:cs="宋体"/>
          <w:color w:val="000000"/>
          <w:kern w:val="0"/>
          <w:sz w:val="28"/>
          <w:szCs w:val="28"/>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2.</w:t>
      </w:r>
      <w:r>
        <w:rPr>
          <w:rFonts w:hint="eastAsia" w:ascii="宋体" w:hAnsi="宋体" w:eastAsia="宋体" w:cs="宋体"/>
          <w:color w:val="000000"/>
          <w:kern w:val="0"/>
          <w:sz w:val="28"/>
          <w:szCs w:val="28"/>
        </w:rPr>
        <w:t>完成的绩效目标</w:t>
      </w:r>
    </w:p>
    <w:p>
      <w:pPr>
        <w:pStyle w:val="2"/>
        <w:numPr>
          <w:ilvl w:val="0"/>
          <w:numId w:val="0"/>
        </w:numPr>
        <w:rPr>
          <w:rFonts w:hint="default" w:ascii="宋体" w:hAnsi="宋体" w:eastAsia="宋体" w:cs="宋体"/>
          <w:color w:val="000000"/>
          <w:kern w:val="0"/>
          <w:sz w:val="28"/>
          <w:szCs w:val="28"/>
          <w:lang w:val="en-US" w:eastAsia="zh-CN" w:bidi="ar-SA"/>
        </w:rPr>
      </w:pPr>
      <w:r>
        <w:rPr>
          <w:rFonts w:hint="eastAsia"/>
          <w:lang w:val="en-US" w:eastAsia="zh-CN"/>
        </w:rPr>
        <w:t xml:space="preserve">     </w:t>
      </w:r>
      <w:r>
        <w:rPr>
          <w:rFonts w:hint="eastAsia" w:ascii="宋体" w:hAnsi="宋体" w:cs="宋体"/>
          <w:color w:val="000000"/>
          <w:kern w:val="0"/>
          <w:sz w:val="28"/>
          <w:szCs w:val="28"/>
          <w:lang w:eastAsia="zh-CN"/>
        </w:rPr>
        <w:t>保障拆迁片区生活水平，</w:t>
      </w:r>
      <w:r>
        <w:rPr>
          <w:rFonts w:hint="eastAsia" w:ascii="宋体" w:hAnsi="宋体" w:cs="宋体"/>
          <w:color w:val="000000"/>
          <w:kern w:val="0"/>
          <w:sz w:val="28"/>
          <w:szCs w:val="28"/>
          <w:lang w:val="en-US" w:eastAsia="zh-CN"/>
        </w:rPr>
        <w:t>维护辖区稳定和安全</w:t>
      </w:r>
      <w:r>
        <w:rPr>
          <w:rFonts w:hint="eastAsia" w:hAnsi="宋体" w:cs="宋体"/>
          <w:color w:val="000000"/>
          <w:kern w:val="0"/>
          <w:sz w:val="28"/>
          <w:szCs w:val="28"/>
          <w:lang w:val="en-US" w:eastAsia="zh-CN"/>
        </w:rPr>
        <w:t>。</w:t>
      </w:r>
      <w:r>
        <w:rPr>
          <w:rFonts w:hint="eastAsia" w:ascii="宋体" w:hAnsi="宋体" w:eastAsia="宋体" w:cs="宋体"/>
          <w:color w:val="000000"/>
          <w:kern w:val="0"/>
          <w:sz w:val="28"/>
          <w:szCs w:val="28"/>
          <w:lang w:val="en-US" w:eastAsia="zh-CN" w:bidi="ar-SA"/>
        </w:rPr>
        <w:t>如：三民小区三秀路</w:t>
      </w:r>
      <w:r>
        <w:rPr>
          <w:rFonts w:hint="eastAsia" w:hAnsi="宋体" w:cs="宋体"/>
          <w:color w:val="000000"/>
          <w:kern w:val="0"/>
          <w:sz w:val="28"/>
          <w:szCs w:val="28"/>
          <w:lang w:val="en-US" w:eastAsia="zh-CN" w:bidi="ar-SA"/>
        </w:rPr>
        <w:t>共计搬迁65户房屋，发放搬迁补偿费3238.6</w:t>
      </w:r>
      <w:bookmarkStart w:id="0" w:name="_GoBack"/>
      <w:bookmarkEnd w:id="0"/>
      <w:r>
        <w:rPr>
          <w:rFonts w:hint="eastAsia" w:hAnsi="宋体" w:cs="宋体"/>
          <w:color w:val="000000"/>
          <w:kern w:val="0"/>
          <w:sz w:val="28"/>
          <w:szCs w:val="28"/>
          <w:lang w:val="en-US" w:eastAsia="zh-CN" w:bidi="ar-SA"/>
        </w:rPr>
        <w:t>1万元。</w:t>
      </w:r>
      <w:r>
        <w:rPr>
          <w:rFonts w:hint="eastAsia" w:ascii="宋体" w:hAnsi="宋体" w:cs="宋体"/>
          <w:color w:val="000000"/>
          <w:kern w:val="0"/>
          <w:sz w:val="28"/>
          <w:szCs w:val="28"/>
          <w:lang w:val="en-US" w:eastAsia="zh-CN"/>
        </w:rPr>
        <w:t>拆迁过渡费的</w:t>
      </w:r>
      <w:r>
        <w:rPr>
          <w:rFonts w:hint="eastAsia" w:hAnsi="宋体" w:cs="宋体"/>
          <w:color w:val="000000"/>
          <w:kern w:val="0"/>
          <w:sz w:val="28"/>
          <w:szCs w:val="28"/>
          <w:lang w:val="en-US" w:eastAsia="zh-CN"/>
        </w:rPr>
        <w:t>及时</w:t>
      </w:r>
      <w:r>
        <w:rPr>
          <w:rFonts w:hint="eastAsia" w:ascii="宋体" w:hAnsi="宋体" w:cs="宋体"/>
          <w:color w:val="000000"/>
          <w:kern w:val="0"/>
          <w:sz w:val="28"/>
          <w:szCs w:val="28"/>
          <w:lang w:val="en-US" w:eastAsia="zh-CN"/>
        </w:rPr>
        <w:t>发放，提高了</w:t>
      </w:r>
      <w:r>
        <w:rPr>
          <w:rFonts w:hint="eastAsia" w:ascii="宋体" w:hAnsi="宋体" w:cs="宋体"/>
          <w:color w:val="000000"/>
          <w:kern w:val="0"/>
          <w:sz w:val="28"/>
          <w:szCs w:val="28"/>
          <w:lang w:eastAsia="zh-CN"/>
        </w:rPr>
        <w:t>拆迁片区人员对拆迁工作的满意度和认可度。</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lang w:eastAsia="zh-CN"/>
        </w:rPr>
        <w:t>三、</w:t>
      </w:r>
      <w:r>
        <w:rPr>
          <w:rFonts w:hint="eastAsia" w:ascii="黑体" w:hAnsi="黑体" w:eastAsia="黑体" w:cs="黑体"/>
          <w:color w:val="000000"/>
          <w:kern w:val="0"/>
          <w:sz w:val="28"/>
          <w:szCs w:val="28"/>
        </w:rPr>
        <w:t>存在的问题和原因</w:t>
      </w:r>
    </w:p>
    <w:p>
      <w:pPr>
        <w:keepNext w:val="0"/>
        <w:keepLines w:val="0"/>
        <w:pageBreakBefore w:val="0"/>
        <w:widowControl w:val="0"/>
        <w:kinsoku/>
        <w:wordWrap/>
        <w:overflowPunct/>
        <w:topLinePunct w:val="0"/>
        <w:autoSpaceDE w:val="0"/>
        <w:autoSpaceDN/>
        <w:bidi w:val="0"/>
        <w:adjustRightInd/>
        <w:snapToGrid/>
        <w:spacing w:line="517" w:lineRule="exact"/>
        <w:ind w:firstLine="600" w:firstLineChars="200"/>
        <w:textAlignment w:val="auto"/>
        <w:rPr>
          <w:rFonts w:hint="eastAsia" w:ascii="宋体" w:hAnsi="宋体"/>
          <w:color w:val="000000"/>
          <w:kern w:val="0"/>
          <w:sz w:val="30"/>
          <w:szCs w:val="30"/>
          <w:lang w:eastAsia="zh-CN"/>
        </w:rPr>
      </w:pPr>
      <w:r>
        <w:rPr>
          <w:rFonts w:hint="eastAsia" w:ascii="宋体" w:hAnsi="宋体"/>
          <w:color w:val="000000"/>
          <w:kern w:val="0"/>
          <w:sz w:val="30"/>
          <w:szCs w:val="30"/>
          <w:lang w:val="en-US" w:eastAsia="zh-CN"/>
        </w:rPr>
        <w:t>1.</w:t>
      </w:r>
      <w:r>
        <w:rPr>
          <w:rFonts w:hint="eastAsia" w:ascii="宋体" w:hAnsi="宋体"/>
          <w:color w:val="000000"/>
          <w:kern w:val="0"/>
          <w:sz w:val="30"/>
          <w:szCs w:val="30"/>
          <w:lang w:eastAsia="zh-CN"/>
        </w:rPr>
        <w:t>绩效管理水平有待提高，项目执行过程中有效约束不够。预算编制与会计核算经济项目部分口径不一致，存在一定的偏差。佐证绩效目标实现的基础资料存档及绩效跟踪考核方面尚需进一步加强。</w:t>
      </w:r>
    </w:p>
    <w:p>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宋体" w:hAnsi="宋体"/>
          <w:color w:val="000000"/>
          <w:kern w:val="0"/>
          <w:sz w:val="30"/>
          <w:szCs w:val="30"/>
          <w:highlight w:val="none"/>
          <w:lang w:val="en-US" w:eastAsia="zh-CN"/>
        </w:rPr>
      </w:pPr>
      <w:r>
        <w:rPr>
          <w:rFonts w:hint="eastAsia" w:ascii="宋体" w:hAnsi="宋体"/>
          <w:color w:val="000000"/>
          <w:kern w:val="0"/>
          <w:sz w:val="30"/>
          <w:szCs w:val="30"/>
          <w:lang w:val="en-US" w:eastAsia="zh-CN"/>
        </w:rPr>
        <w:t>2.对绩效指标的定义认识不准确，导致绩效指标的目标值设置不够合理、不够全面，</w:t>
      </w:r>
      <w:r>
        <w:rPr>
          <w:rFonts w:hint="eastAsia" w:ascii="宋体" w:hAnsi="宋体"/>
          <w:color w:val="000000"/>
          <w:kern w:val="0"/>
          <w:sz w:val="30"/>
          <w:szCs w:val="30"/>
          <w:highlight w:val="none"/>
          <w:lang w:val="en-US" w:eastAsia="zh-CN"/>
        </w:rPr>
        <w:t>难以对该项目资金使用情况作出最有效的评价。</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highlight w:val="none"/>
        </w:rPr>
      </w:pPr>
      <w:r>
        <w:rPr>
          <w:rFonts w:hint="eastAsia" w:ascii="黑体" w:hAnsi="黑体" w:eastAsia="黑体" w:cs="黑体"/>
          <w:color w:val="000000"/>
          <w:kern w:val="0"/>
          <w:sz w:val="28"/>
          <w:szCs w:val="28"/>
          <w:highlight w:val="none"/>
        </w:rPr>
        <w:t>四</w:t>
      </w:r>
      <w:r>
        <w:rPr>
          <w:rFonts w:hint="eastAsia" w:ascii="黑体" w:hAnsi="黑体" w:eastAsia="黑体" w:cs="黑体"/>
          <w:color w:val="000000"/>
          <w:kern w:val="0"/>
          <w:sz w:val="28"/>
          <w:szCs w:val="28"/>
          <w:highlight w:val="none"/>
          <w:lang w:eastAsia="zh-CN"/>
        </w:rPr>
        <w:t>、</w:t>
      </w:r>
      <w:r>
        <w:rPr>
          <w:rFonts w:hint="eastAsia" w:ascii="黑体" w:hAnsi="黑体" w:eastAsia="黑体" w:cs="黑体"/>
          <w:color w:val="000000"/>
          <w:kern w:val="0"/>
          <w:sz w:val="28"/>
          <w:szCs w:val="28"/>
          <w:highlight w:val="none"/>
        </w:rPr>
        <w:t>下一步拟改进措施</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highlight w:val="none"/>
          <w:lang w:eastAsia="zh-CN"/>
        </w:rPr>
      </w:pPr>
      <w:r>
        <w:rPr>
          <w:rFonts w:hint="eastAsia" w:ascii="宋体" w:hAnsi="宋体" w:cs="宋体"/>
          <w:color w:val="000000"/>
          <w:kern w:val="0"/>
          <w:sz w:val="28"/>
          <w:szCs w:val="28"/>
          <w:lang w:val="en-US" w:eastAsia="zh-CN"/>
        </w:rPr>
        <w:t>1.</w:t>
      </w:r>
      <w:r>
        <w:rPr>
          <w:rFonts w:hint="eastAsia" w:ascii="宋体" w:hAnsi="宋体" w:cs="宋体"/>
          <w:color w:val="000000"/>
          <w:kern w:val="0"/>
          <w:sz w:val="28"/>
          <w:szCs w:val="28"/>
          <w:lang w:eastAsia="zh-CN"/>
        </w:rPr>
        <w:t>优化预算</w:t>
      </w:r>
      <w:r>
        <w:rPr>
          <w:rFonts w:hint="eastAsia" w:ascii="宋体" w:hAnsi="宋体" w:eastAsia="宋体" w:cs="宋体"/>
          <w:color w:val="000000"/>
          <w:kern w:val="0"/>
          <w:sz w:val="28"/>
          <w:szCs w:val="28"/>
        </w:rPr>
        <w:t>绩效指标</w:t>
      </w:r>
      <w:r>
        <w:rPr>
          <w:rFonts w:hint="eastAsia" w:ascii="宋体" w:hAnsi="宋体" w:cs="宋体"/>
          <w:color w:val="000000"/>
          <w:kern w:val="0"/>
          <w:sz w:val="28"/>
          <w:szCs w:val="28"/>
          <w:lang w:eastAsia="zh-CN"/>
        </w:rPr>
        <w:t>任务设置</w:t>
      </w:r>
      <w:r>
        <w:rPr>
          <w:rFonts w:hint="eastAsia" w:ascii="宋体" w:hAnsi="宋体" w:eastAsia="宋体" w:cs="宋体"/>
          <w:color w:val="000000"/>
          <w:kern w:val="0"/>
          <w:sz w:val="28"/>
          <w:szCs w:val="28"/>
        </w:rPr>
        <w:t>。</w:t>
      </w:r>
      <w:r>
        <w:rPr>
          <w:rFonts w:hint="eastAsia" w:ascii="宋体" w:hAnsi="宋体" w:cs="宋体"/>
          <w:color w:val="000000"/>
          <w:kern w:val="0"/>
          <w:sz w:val="28"/>
          <w:szCs w:val="28"/>
          <w:lang w:eastAsia="zh-CN"/>
        </w:rPr>
        <w:t>根据该项目实际情况选择最能反映绩效管理要求的关键性指标，</w:t>
      </w:r>
      <w:r>
        <w:rPr>
          <w:rFonts w:hint="eastAsia" w:ascii="宋体" w:hAnsi="宋体" w:eastAsia="宋体" w:cs="宋体"/>
          <w:color w:val="000000"/>
          <w:kern w:val="0"/>
          <w:sz w:val="28"/>
          <w:szCs w:val="28"/>
        </w:rPr>
        <w:t>合理设定</w:t>
      </w:r>
      <w:r>
        <w:rPr>
          <w:rFonts w:hint="eastAsia" w:ascii="宋体" w:hAnsi="宋体" w:cs="宋体"/>
          <w:color w:val="000000"/>
          <w:kern w:val="0"/>
          <w:sz w:val="28"/>
          <w:szCs w:val="28"/>
          <w:lang w:eastAsia="zh-CN"/>
        </w:rPr>
        <w:t>绩效</w:t>
      </w:r>
      <w:r>
        <w:rPr>
          <w:rFonts w:hint="eastAsia" w:ascii="宋体" w:hAnsi="宋体" w:eastAsia="宋体" w:cs="宋体"/>
          <w:color w:val="000000"/>
          <w:kern w:val="0"/>
          <w:sz w:val="28"/>
          <w:szCs w:val="28"/>
        </w:rPr>
        <w:t>指标值</w:t>
      </w:r>
      <w:r>
        <w:rPr>
          <w:rFonts w:hint="eastAsia" w:ascii="宋体" w:hAnsi="宋体" w:cs="宋体"/>
          <w:color w:val="000000"/>
          <w:kern w:val="0"/>
          <w:sz w:val="28"/>
          <w:szCs w:val="28"/>
          <w:lang w:eastAsia="zh-CN"/>
        </w:rPr>
        <w:t>，提高绩效指标实际执行率</w:t>
      </w:r>
      <w:r>
        <w:rPr>
          <w:rFonts w:hint="eastAsia" w:ascii="宋体" w:hAnsi="宋体" w:cs="宋体"/>
          <w:color w:val="000000"/>
          <w:kern w:val="0"/>
          <w:sz w:val="28"/>
          <w:szCs w:val="28"/>
          <w:highlight w:val="none"/>
          <w:lang w:eastAsia="zh-CN"/>
        </w:rPr>
        <w:t>。</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2.</w:t>
      </w:r>
      <w:r>
        <w:rPr>
          <w:rFonts w:hint="eastAsia" w:ascii="宋体" w:hAnsi="宋体" w:cs="宋体"/>
          <w:color w:val="000000"/>
          <w:kern w:val="0"/>
          <w:sz w:val="28"/>
          <w:szCs w:val="28"/>
          <w:lang w:eastAsia="zh-CN"/>
        </w:rPr>
        <w:t>强化预算</w:t>
      </w:r>
      <w:r>
        <w:rPr>
          <w:rFonts w:hint="eastAsia" w:ascii="宋体" w:hAnsi="宋体" w:eastAsia="宋体" w:cs="宋体"/>
          <w:color w:val="000000"/>
          <w:kern w:val="0"/>
          <w:sz w:val="28"/>
          <w:szCs w:val="28"/>
        </w:rPr>
        <w:t>绩效指标</w:t>
      </w:r>
      <w:r>
        <w:rPr>
          <w:rFonts w:hint="eastAsia" w:ascii="宋体" w:hAnsi="宋体" w:cs="宋体"/>
          <w:color w:val="000000"/>
          <w:kern w:val="0"/>
          <w:sz w:val="28"/>
          <w:szCs w:val="28"/>
          <w:lang w:eastAsia="zh-CN"/>
        </w:rPr>
        <w:t>跟踪管控</w:t>
      </w:r>
      <w:r>
        <w:rPr>
          <w:rFonts w:hint="eastAsia" w:ascii="宋体" w:hAnsi="宋体" w:eastAsia="宋体" w:cs="宋体"/>
          <w:color w:val="000000"/>
          <w:kern w:val="0"/>
          <w:sz w:val="28"/>
          <w:szCs w:val="28"/>
        </w:rPr>
        <w:t>。按照</w:t>
      </w:r>
      <w:r>
        <w:rPr>
          <w:rFonts w:hint="eastAsia" w:ascii="宋体" w:hAnsi="宋体" w:cs="宋体"/>
          <w:color w:val="000000"/>
          <w:kern w:val="0"/>
          <w:sz w:val="28"/>
          <w:szCs w:val="28"/>
          <w:lang w:eastAsia="zh-CN"/>
        </w:rPr>
        <w:t>预算</w:t>
      </w:r>
      <w:r>
        <w:rPr>
          <w:rFonts w:hint="eastAsia" w:ascii="宋体" w:hAnsi="宋体" w:eastAsia="宋体" w:cs="宋体"/>
          <w:color w:val="000000"/>
          <w:kern w:val="0"/>
          <w:sz w:val="28"/>
          <w:szCs w:val="28"/>
        </w:rPr>
        <w:t>绩效指标</w:t>
      </w:r>
      <w:r>
        <w:rPr>
          <w:rFonts w:hint="eastAsia" w:ascii="宋体" w:hAnsi="宋体" w:cs="宋体"/>
          <w:color w:val="000000"/>
          <w:kern w:val="0"/>
          <w:sz w:val="28"/>
          <w:szCs w:val="28"/>
          <w:lang w:eastAsia="zh-CN"/>
        </w:rPr>
        <w:t>考核要求</w:t>
      </w:r>
      <w:r>
        <w:rPr>
          <w:rFonts w:hint="eastAsia" w:ascii="宋体" w:hAnsi="宋体" w:eastAsia="宋体" w:cs="宋体"/>
          <w:color w:val="000000"/>
          <w:kern w:val="0"/>
          <w:sz w:val="28"/>
          <w:szCs w:val="28"/>
        </w:rPr>
        <w:t>，提高预算绩效管理意识</w:t>
      </w:r>
      <w:r>
        <w:rPr>
          <w:rFonts w:hint="eastAsia" w:ascii="宋体" w:hAnsi="宋体" w:cs="宋体"/>
          <w:color w:val="000000"/>
          <w:kern w:val="0"/>
          <w:sz w:val="28"/>
          <w:szCs w:val="28"/>
          <w:lang w:eastAsia="zh-CN"/>
        </w:rPr>
        <w:t>及时跟进督促项目进度，</w:t>
      </w:r>
      <w:r>
        <w:rPr>
          <w:rFonts w:hint="eastAsia" w:ascii="宋体" w:hAnsi="宋体" w:eastAsia="宋体" w:cs="宋体"/>
          <w:color w:val="000000"/>
          <w:kern w:val="0"/>
          <w:sz w:val="28"/>
          <w:szCs w:val="28"/>
        </w:rPr>
        <w:t>强化</w:t>
      </w:r>
      <w:r>
        <w:rPr>
          <w:rFonts w:hint="eastAsia" w:ascii="宋体" w:hAnsi="宋体" w:cs="宋体"/>
          <w:color w:val="000000"/>
          <w:kern w:val="0"/>
          <w:sz w:val="28"/>
          <w:szCs w:val="28"/>
          <w:lang w:eastAsia="zh-CN"/>
        </w:rPr>
        <w:t>指标任务的过程管控</w:t>
      </w:r>
      <w:r>
        <w:rPr>
          <w:rFonts w:hint="eastAsia" w:ascii="宋体" w:hAnsi="宋体" w:eastAsia="宋体" w:cs="宋体"/>
          <w:color w:val="000000"/>
          <w:kern w:val="0"/>
          <w:sz w:val="28"/>
          <w:szCs w:val="28"/>
        </w:rPr>
        <w:t>。统一预算编制科目与会计核算科目口径，以便加强预算执行分析</w:t>
      </w:r>
      <w:r>
        <w:rPr>
          <w:rFonts w:hint="eastAsia" w:ascii="宋体" w:hAnsi="宋体" w:cs="宋体"/>
          <w:color w:val="000000"/>
          <w:kern w:val="0"/>
          <w:sz w:val="28"/>
          <w:szCs w:val="28"/>
          <w:lang w:eastAsia="zh-CN"/>
        </w:rPr>
        <w:t>，</w:t>
      </w:r>
      <w:r>
        <w:rPr>
          <w:rFonts w:hint="eastAsia" w:ascii="宋体" w:hAnsi="宋体" w:eastAsia="宋体" w:cs="宋体"/>
          <w:color w:val="000000"/>
          <w:kern w:val="0"/>
          <w:sz w:val="28"/>
          <w:szCs w:val="28"/>
        </w:rPr>
        <w:t>强化财务监控，强化预算刚性约束；加强绩效考评基础信息档案管理；完善绩效考评制度，提高全员项目绩效考核意识，建立日常跟踪及考评机制，加强内部监督考评。</w:t>
      </w:r>
    </w:p>
    <w:p>
      <w:pPr>
        <w:pStyle w:val="2"/>
        <w:numPr>
          <w:ilvl w:val="0"/>
          <w:numId w:val="0"/>
        </w:numPr>
        <w:jc w:val="both"/>
        <w:rPr>
          <w:rFonts w:hint="default" w:cs="Times New Roman"/>
          <w:sz w:val="28"/>
          <w:szCs w:val="36"/>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附件：1.三民小区房屋搬迁补偿明细表</w:t>
      </w:r>
    </w:p>
    <w:p>
      <w:pPr>
        <w:keepNext w:val="0"/>
        <w:keepLines w:val="0"/>
        <w:pageBreakBefore w:val="0"/>
        <w:widowControl/>
        <w:kinsoku/>
        <w:wordWrap/>
        <w:overflowPunct/>
        <w:topLinePunct w:val="0"/>
        <w:autoSpaceDE/>
        <w:autoSpaceDN/>
        <w:bidi w:val="0"/>
        <w:adjustRightInd/>
        <w:snapToGrid/>
        <w:spacing w:line="520" w:lineRule="exact"/>
        <w:ind w:firstLine="1400" w:firstLineChars="5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2.三民小区搬迁补偿人员名单</w:t>
      </w:r>
    </w:p>
    <w:p>
      <w:pPr>
        <w:pStyle w:val="2"/>
        <w:numPr>
          <w:ilvl w:val="0"/>
          <w:numId w:val="0"/>
        </w:numPr>
        <w:ind w:left="1400" w:leftChars="0"/>
        <w:rPr>
          <w:rFonts w:hint="default" w:hAnsi="宋体" w:cs="宋体"/>
          <w:color w:val="000000"/>
          <w:kern w:val="0"/>
          <w:sz w:val="28"/>
          <w:szCs w:val="28"/>
          <w:lang w:val="en-US" w:eastAsia="zh-CN"/>
        </w:rPr>
      </w:pPr>
      <w:r>
        <w:rPr>
          <w:rFonts w:hint="eastAsia" w:hAnsi="宋体" w:cs="宋体"/>
          <w:color w:val="000000"/>
          <w:kern w:val="0"/>
          <w:sz w:val="28"/>
          <w:szCs w:val="28"/>
          <w:lang w:val="en-US" w:eastAsia="zh-CN"/>
        </w:rPr>
        <w:t>3.阮剪拆迁损失和经营性损失补偿支付凭证</w:t>
      </w:r>
    </w:p>
    <w:p>
      <w:pPr>
        <w:pStyle w:val="2"/>
        <w:rPr>
          <w:rFonts w:hint="eastAsia"/>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EDEE5"/>
    <w:multiLevelType w:val="singleLevel"/>
    <w:tmpl w:val="6B0EDEE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8B3058"/>
    <w:rsid w:val="07726DD7"/>
    <w:rsid w:val="090616E8"/>
    <w:rsid w:val="0A8B3058"/>
    <w:rsid w:val="1D2067AF"/>
    <w:rsid w:val="31251521"/>
    <w:rsid w:val="35C77B97"/>
    <w:rsid w:val="3A0454AB"/>
    <w:rsid w:val="451F212E"/>
    <w:rsid w:val="458B1397"/>
    <w:rsid w:val="5FD537AD"/>
    <w:rsid w:val="66C8222C"/>
    <w:rsid w:val="7ECA5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2021-04-27T00:35:00Z</dcterms:created>
  <dc:creator>: Les nuages pleurent</dc:creator>
  <cp:lastModifiedBy>: Les nuages pleurent</cp:lastModifiedBy>
  <cp:lastPrinted>2021-05-06T00:50:42Z</cp:lastPrinted>
  <dcterms:modified xsi:type="dcterms:W3CDTF">2021-05-06T01:09:16Z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