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BDDDA">
      <w:pPr>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方正小标宋简体" w:hAnsi="方正小标宋简体" w:eastAsia="方正小标宋简体" w:cs="方正小标宋简体"/>
          <w:b w:val="0"/>
          <w:bCs w:val="0"/>
          <w:spacing w:val="0"/>
          <w:w w:val="100"/>
          <w:kern w:val="2"/>
          <w:position w:val="0"/>
          <w:sz w:val="36"/>
          <w:szCs w:val="36"/>
          <w:shd w:val="clear" w:color="auto" w:fill="auto"/>
          <w:lang w:val="en-US" w:eastAsia="zh-CN" w:bidi="ar-SA"/>
        </w:rPr>
      </w:pPr>
      <w:r>
        <w:rPr>
          <w:rFonts w:hint="eastAsia" w:ascii="方正小标宋简体" w:hAnsi="方正小标宋简体" w:eastAsia="方正小标宋简体" w:cs="方正小标宋简体"/>
          <w:b w:val="0"/>
          <w:bCs w:val="0"/>
          <w:spacing w:val="0"/>
          <w:w w:val="100"/>
          <w:kern w:val="2"/>
          <w:position w:val="0"/>
          <w:sz w:val="36"/>
          <w:szCs w:val="36"/>
          <w:shd w:val="clear" w:color="auto" w:fill="auto"/>
          <w:lang w:eastAsia="zh-CN" w:bidi="ar-SA"/>
        </w:rPr>
        <w:t>武汉市东西湖区</w:t>
      </w:r>
      <w:r>
        <w:rPr>
          <w:rFonts w:hint="eastAsia" w:ascii="方正小标宋简体" w:hAnsi="方正小标宋简体" w:eastAsia="方正小标宋简体" w:cs="方正小标宋简体"/>
          <w:b w:val="0"/>
          <w:bCs w:val="0"/>
          <w:spacing w:val="0"/>
          <w:w w:val="100"/>
          <w:kern w:val="2"/>
          <w:position w:val="0"/>
          <w:sz w:val="36"/>
          <w:szCs w:val="36"/>
          <w:shd w:val="clear" w:color="auto" w:fill="auto"/>
          <w:lang w:val="en-US" w:eastAsia="zh-CN" w:bidi="ar-SA"/>
        </w:rPr>
        <w:t>人民政府慈惠街道办事处</w:t>
      </w:r>
    </w:p>
    <w:p w14:paraId="27076381">
      <w:pPr>
        <w:widowControl w:val="0"/>
        <w:spacing w:line="560" w:lineRule="exact"/>
        <w:ind w:left="0" w:leftChars="0" w:firstLine="0" w:firstLineChars="0"/>
        <w:jc w:val="center"/>
        <w:rPr>
          <w:rFonts w:hint="eastAsia" w:ascii="仿宋" w:hAnsi="仿宋" w:eastAsia="仿宋" w:cs="仿宋"/>
          <w:sz w:val="32"/>
          <w:szCs w:val="32"/>
          <w:u w:val="single"/>
          <w:lang w:eastAsia="zh-CN" w:bidi="zh-TW"/>
        </w:rPr>
      </w:pPr>
      <w:r>
        <w:rPr>
          <w:rFonts w:hint="eastAsia" w:ascii="方正小标宋简体" w:hAnsi="方正小标宋简体" w:eastAsia="方正小标宋简体" w:cs="方正小标宋简体"/>
          <w:b w:val="0"/>
          <w:bCs w:val="0"/>
          <w:spacing w:val="0"/>
          <w:w w:val="100"/>
          <w:kern w:val="2"/>
          <w:position w:val="0"/>
          <w:sz w:val="36"/>
          <w:szCs w:val="36"/>
          <w:shd w:val="clear" w:color="auto" w:fill="auto"/>
          <w:lang w:val="en-US" w:eastAsia="zh-CN" w:bidi="ar-SA"/>
        </w:rPr>
        <w:t>2025年部门整体绩效自评结果</w:t>
      </w:r>
    </w:p>
    <w:p w14:paraId="20351F49">
      <w:pPr>
        <w:pStyle w:val="5"/>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right="0" w:firstLine="3724" w:firstLineChars="1164"/>
        <w:jc w:val="both"/>
        <w:rPr>
          <w:rFonts w:hint="eastAsia" w:ascii="仿宋" w:hAnsi="仿宋" w:eastAsia="仿宋" w:cs="仿宋"/>
          <w:color w:val="000000"/>
          <w:spacing w:val="0"/>
          <w:w w:val="100"/>
          <w:position w:val="0"/>
          <w:sz w:val="32"/>
          <w:szCs w:val="32"/>
          <w:lang w:eastAsia="zh-CN"/>
        </w:rPr>
      </w:pPr>
      <w:r>
        <w:rPr>
          <w:rFonts w:hint="eastAsia" w:ascii="仿宋" w:hAnsi="仿宋" w:eastAsia="仿宋" w:cs="仿宋"/>
          <w:color w:val="000000"/>
          <w:spacing w:val="0"/>
          <w:w w:val="100"/>
          <w:position w:val="0"/>
          <w:sz w:val="32"/>
          <w:szCs w:val="32"/>
          <w:lang w:eastAsia="zh-CN"/>
        </w:rPr>
        <w:t>（缩略版）</w:t>
      </w:r>
    </w:p>
    <w:p w14:paraId="39EF3FA9">
      <w:pPr>
        <w:pStyle w:val="6"/>
        <w:keepNext w:val="0"/>
        <w:keepLines w:val="0"/>
        <w:widowControl w:val="0"/>
        <w:shd w:val="clear" w:color="auto" w:fill="auto"/>
        <w:bidi w:val="0"/>
        <w:spacing w:before="0" w:after="0" w:line="240" w:lineRule="auto"/>
        <w:ind w:left="0" w:right="0" w:firstLine="0"/>
        <w:jc w:val="both"/>
        <w:rPr>
          <w:rFonts w:hint="eastAsia" w:ascii="仿宋" w:hAnsi="仿宋" w:eastAsia="仿宋" w:cs="仿宋"/>
          <w:sz w:val="32"/>
          <w:szCs w:val="32"/>
          <w:highlight w:val="none"/>
        </w:rPr>
      </w:pPr>
    </w:p>
    <w:p w14:paraId="52BFDFC5">
      <w:pPr>
        <w:pStyle w:val="5"/>
        <w:keepNext w:val="0"/>
        <w:keepLines w:val="0"/>
        <w:pageBreakBefore w:val="0"/>
        <w:widowControl w:val="0"/>
        <w:numPr>
          <w:ilvl w:val="0"/>
          <w:numId w:val="1"/>
        </w:numPr>
        <w:shd w:val="clear" w:color="auto" w:fill="auto"/>
        <w:tabs>
          <w:tab w:val="left" w:pos="1116"/>
        </w:tabs>
        <w:kinsoku/>
        <w:wordWrap/>
        <w:overflowPunct/>
        <w:topLinePunct w:val="0"/>
        <w:autoSpaceDE/>
        <w:autoSpaceDN/>
        <w:bidi w:val="0"/>
        <w:adjustRightInd/>
        <w:snapToGrid/>
        <w:spacing w:before="0" w:after="0" w:line="560" w:lineRule="exact"/>
        <w:ind w:left="300" w:leftChars="0" w:right="0" w:rightChars="0" w:firstLine="420" w:firstLineChars="0"/>
        <w:jc w:val="both"/>
        <w:rPr>
          <w:rFonts w:hint="eastAsia" w:ascii="仿宋" w:hAnsi="仿宋" w:eastAsia="仿宋" w:cs="仿宋"/>
          <w:b w:val="0"/>
          <w:bCs w:val="0"/>
          <w:color w:val="000000"/>
          <w:spacing w:val="0"/>
          <w:w w:val="100"/>
          <w:position w:val="0"/>
          <w:sz w:val="32"/>
          <w:szCs w:val="32"/>
        </w:rPr>
      </w:pPr>
      <w:r>
        <w:rPr>
          <w:rFonts w:hint="eastAsia" w:ascii="黑体" w:hAnsi="黑体" w:eastAsia="黑体" w:cs="黑体"/>
          <w:b w:val="0"/>
          <w:bCs w:val="0"/>
          <w:color w:val="000000"/>
          <w:spacing w:val="0"/>
          <w:w w:val="100"/>
          <w:position w:val="0"/>
          <w:sz w:val="32"/>
          <w:szCs w:val="32"/>
        </w:rPr>
        <w:t>自评结论</w:t>
      </w:r>
    </w:p>
    <w:p w14:paraId="5068DF5F">
      <w:pPr>
        <w:pStyle w:val="5"/>
        <w:keepNext w:val="0"/>
        <w:keepLines w:val="0"/>
        <w:pageBreakBefore w:val="0"/>
        <w:widowControl w:val="0"/>
        <w:numPr>
          <w:ilvl w:val="0"/>
          <w:numId w:val="2"/>
        </w:numPr>
        <w:shd w:val="clear" w:color="auto" w:fill="auto"/>
        <w:tabs>
          <w:tab w:val="left" w:pos="1116"/>
        </w:tabs>
        <w:kinsoku/>
        <w:wordWrap/>
        <w:overflowPunct/>
        <w:topLinePunct w:val="0"/>
        <w:autoSpaceDE/>
        <w:autoSpaceDN/>
        <w:bidi w:val="0"/>
        <w:adjustRightInd/>
        <w:snapToGrid/>
        <w:spacing w:before="0" w:after="0" w:line="560" w:lineRule="exact"/>
        <w:ind w:left="1042" w:leftChars="0" w:right="0" w:rightChars="0" w:hanging="562" w:firstLineChars="0"/>
        <w:jc w:val="both"/>
        <w:rPr>
          <w:rFonts w:hint="eastAsia" w:ascii="仿宋" w:hAnsi="仿宋" w:eastAsia="仿宋" w:cs="仿宋"/>
          <w:color w:val="000000"/>
          <w:spacing w:val="0"/>
          <w:w w:val="100"/>
          <w:kern w:val="0"/>
          <w:position w:val="0"/>
          <w:sz w:val="32"/>
          <w:szCs w:val="32"/>
          <w:u w:val="none"/>
          <w:shd w:val="clear" w:color="auto" w:fill="auto"/>
          <w:lang w:val="en-US" w:eastAsia="zh-CN" w:bidi="ar-SA"/>
        </w:rPr>
      </w:pPr>
      <w:bookmarkStart w:id="0" w:name="bookmark70"/>
      <w:r>
        <w:rPr>
          <w:rFonts w:hint="eastAsia" w:ascii="仿宋" w:hAnsi="仿宋" w:eastAsia="仿宋" w:cs="仿宋"/>
          <w:color w:val="000000"/>
          <w:spacing w:val="0"/>
          <w:w w:val="100"/>
          <w:kern w:val="0"/>
          <w:position w:val="0"/>
          <w:sz w:val="32"/>
          <w:szCs w:val="32"/>
          <w:u w:val="none"/>
          <w:shd w:val="clear" w:color="auto" w:fill="auto"/>
          <w:lang w:val="en-US" w:eastAsia="zh-CN" w:bidi="ar-SA"/>
        </w:rPr>
        <w:t>部门整体绩效自评得分为</w:t>
      </w:r>
      <w:r>
        <w:rPr>
          <w:rFonts w:hint="eastAsia" w:ascii="仿宋" w:hAnsi="仿宋" w:eastAsia="仿宋" w:cs="仿宋"/>
          <w:color w:val="000000"/>
          <w:spacing w:val="0"/>
          <w:w w:val="100"/>
          <w:position w:val="0"/>
          <w:sz w:val="32"/>
          <w:szCs w:val="32"/>
          <w:u w:val="none"/>
          <w:shd w:val="clear" w:color="auto" w:fill="auto"/>
          <w:lang w:val="en-US" w:eastAsia="zh-CN" w:bidi="zh-TW"/>
        </w:rPr>
        <w:t>95.34</w:t>
      </w:r>
      <w:r>
        <w:rPr>
          <w:rFonts w:hint="eastAsia" w:ascii="仿宋" w:hAnsi="仿宋" w:eastAsia="仿宋" w:cs="仿宋"/>
          <w:color w:val="000000"/>
          <w:spacing w:val="0"/>
          <w:w w:val="100"/>
          <w:position w:val="0"/>
          <w:sz w:val="32"/>
          <w:szCs w:val="32"/>
          <w:u w:val="none"/>
          <w:shd w:val="clear" w:color="auto" w:fill="auto"/>
          <w:lang w:val="en-US" w:eastAsia="zh-CN" w:bidi="zh-TW"/>
        </w:rPr>
        <w:tab/>
      </w:r>
      <w:r>
        <w:rPr>
          <w:rFonts w:hint="eastAsia" w:ascii="仿宋" w:hAnsi="仿宋" w:eastAsia="仿宋" w:cs="仿宋"/>
          <w:color w:val="000000"/>
          <w:spacing w:val="0"/>
          <w:w w:val="100"/>
          <w:kern w:val="0"/>
          <w:position w:val="0"/>
          <w:sz w:val="32"/>
          <w:szCs w:val="32"/>
          <w:u w:val="none"/>
          <w:shd w:val="clear" w:color="auto" w:fill="auto"/>
          <w:lang w:val="en-US" w:eastAsia="zh-CN" w:bidi="ar-SA"/>
        </w:rPr>
        <w:t>分，绩效评价等级划分为“优”。</w:t>
      </w:r>
    </w:p>
    <w:tbl>
      <w:tblPr>
        <w:tblStyle w:val="3"/>
        <w:tblW w:w="4612" w:type="pct"/>
        <w:tblInd w:w="432" w:type="dxa"/>
        <w:tblLayout w:type="autofit"/>
        <w:tblCellMar>
          <w:top w:w="0" w:type="dxa"/>
          <w:left w:w="108" w:type="dxa"/>
          <w:bottom w:w="0" w:type="dxa"/>
          <w:right w:w="108" w:type="dxa"/>
        </w:tblCellMar>
      </w:tblPr>
      <w:tblGrid>
        <w:gridCol w:w="2002"/>
        <w:gridCol w:w="1524"/>
        <w:gridCol w:w="1409"/>
        <w:gridCol w:w="1497"/>
        <w:gridCol w:w="1429"/>
      </w:tblGrid>
      <w:tr w14:paraId="2E1875BE">
        <w:tblPrEx>
          <w:tblCellMar>
            <w:top w:w="0" w:type="dxa"/>
            <w:left w:w="108" w:type="dxa"/>
            <w:bottom w:w="0" w:type="dxa"/>
            <w:right w:w="108" w:type="dxa"/>
          </w:tblCellMar>
        </w:tblPrEx>
        <w:trPr>
          <w:trHeight w:val="493" w:hRule="atLeast"/>
        </w:trPr>
        <w:tc>
          <w:tcPr>
            <w:tcW w:w="1273" w:type="pct"/>
            <w:tcBorders>
              <w:top w:val="single" w:color="000000" w:sz="4" w:space="0"/>
              <w:left w:val="single" w:color="000000" w:sz="4" w:space="0"/>
              <w:bottom w:val="single" w:color="000000" w:sz="4" w:space="0"/>
              <w:right w:val="single" w:color="000000" w:sz="4" w:space="0"/>
            </w:tcBorders>
            <w:noWrap/>
            <w:vAlign w:val="center"/>
          </w:tcPr>
          <w:p w14:paraId="54EB44A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pacing w:val="0"/>
                <w:w w:val="100"/>
                <w:kern w:val="0"/>
                <w:position w:val="0"/>
                <w:sz w:val="24"/>
                <w:szCs w:val="24"/>
                <w:u w:val="none"/>
                <w:shd w:val="clear" w:color="auto" w:fill="auto"/>
                <w:lang w:val="en-US" w:eastAsia="zh-CN" w:bidi="ar"/>
              </w:rPr>
              <w:t>评价项目</w:t>
            </w:r>
          </w:p>
        </w:tc>
        <w:tc>
          <w:tcPr>
            <w:tcW w:w="969" w:type="pct"/>
            <w:tcBorders>
              <w:top w:val="single" w:color="000000" w:sz="4" w:space="0"/>
              <w:left w:val="single" w:color="000000" w:sz="4" w:space="0"/>
              <w:bottom w:val="single" w:color="000000" w:sz="4" w:space="0"/>
              <w:right w:val="single" w:color="000000" w:sz="4" w:space="0"/>
            </w:tcBorders>
            <w:noWrap/>
            <w:vAlign w:val="center"/>
          </w:tcPr>
          <w:p w14:paraId="7A0C642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pacing w:val="0"/>
                <w:w w:val="100"/>
                <w:kern w:val="0"/>
                <w:position w:val="0"/>
                <w:sz w:val="24"/>
                <w:szCs w:val="24"/>
                <w:u w:val="none"/>
                <w:shd w:val="clear" w:color="auto" w:fill="auto"/>
                <w:lang w:val="en-US" w:eastAsia="zh-CN" w:bidi="ar"/>
              </w:rPr>
              <w:t>权重</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160D12A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pacing w:val="0"/>
                <w:w w:val="100"/>
                <w:kern w:val="0"/>
                <w:position w:val="0"/>
                <w:sz w:val="24"/>
                <w:szCs w:val="24"/>
                <w:u w:val="none"/>
                <w:shd w:val="clear" w:color="auto" w:fill="auto"/>
                <w:lang w:val="en-US" w:eastAsia="zh-CN" w:bidi="ar"/>
              </w:rPr>
              <w:t>评级分值</w:t>
            </w:r>
          </w:p>
        </w:tc>
        <w:tc>
          <w:tcPr>
            <w:tcW w:w="952" w:type="pct"/>
            <w:tcBorders>
              <w:top w:val="single" w:color="000000" w:sz="4" w:space="0"/>
              <w:left w:val="single" w:color="000000" w:sz="4" w:space="0"/>
              <w:bottom w:val="single" w:color="000000" w:sz="4" w:space="0"/>
              <w:right w:val="single" w:color="000000" w:sz="4" w:space="0"/>
            </w:tcBorders>
            <w:noWrap/>
            <w:vAlign w:val="center"/>
          </w:tcPr>
          <w:p w14:paraId="0C80143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pacing w:val="0"/>
                <w:w w:val="100"/>
                <w:kern w:val="0"/>
                <w:position w:val="0"/>
                <w:sz w:val="24"/>
                <w:szCs w:val="24"/>
                <w:u w:val="none"/>
                <w:shd w:val="clear" w:color="auto" w:fill="auto"/>
                <w:lang w:val="en-US" w:eastAsia="zh-CN" w:bidi="ar"/>
              </w:rPr>
              <w:t>本项得分</w:t>
            </w:r>
          </w:p>
        </w:tc>
        <w:tc>
          <w:tcPr>
            <w:tcW w:w="908" w:type="pct"/>
            <w:tcBorders>
              <w:top w:val="single" w:color="000000" w:sz="4" w:space="0"/>
              <w:left w:val="single" w:color="000000" w:sz="4" w:space="0"/>
              <w:bottom w:val="single" w:color="000000" w:sz="4" w:space="0"/>
              <w:right w:val="single" w:color="000000" w:sz="4" w:space="0"/>
            </w:tcBorders>
            <w:noWrap/>
            <w:vAlign w:val="center"/>
          </w:tcPr>
          <w:p w14:paraId="72C94A3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pacing w:val="0"/>
                <w:w w:val="100"/>
                <w:kern w:val="0"/>
                <w:position w:val="0"/>
                <w:sz w:val="24"/>
                <w:szCs w:val="24"/>
                <w:u w:val="none"/>
                <w:shd w:val="clear" w:color="auto" w:fill="auto"/>
                <w:lang w:val="en-US" w:eastAsia="zh-CN" w:bidi="ar"/>
              </w:rPr>
              <w:t>得分率</w:t>
            </w:r>
          </w:p>
        </w:tc>
      </w:tr>
      <w:tr w14:paraId="1040ADB1">
        <w:tblPrEx>
          <w:tblCellMar>
            <w:top w:w="0" w:type="dxa"/>
            <w:left w:w="108" w:type="dxa"/>
            <w:bottom w:w="0" w:type="dxa"/>
            <w:right w:w="108" w:type="dxa"/>
          </w:tblCellMar>
        </w:tblPrEx>
        <w:trPr>
          <w:trHeight w:val="493" w:hRule="atLeast"/>
        </w:trPr>
        <w:tc>
          <w:tcPr>
            <w:tcW w:w="1273" w:type="pct"/>
            <w:tcBorders>
              <w:top w:val="single" w:color="000000" w:sz="4" w:space="0"/>
              <w:left w:val="single" w:color="000000" w:sz="4" w:space="0"/>
              <w:bottom w:val="single" w:color="000000" w:sz="4" w:space="0"/>
              <w:right w:val="single" w:color="000000" w:sz="4" w:space="0"/>
            </w:tcBorders>
            <w:noWrap/>
            <w:vAlign w:val="center"/>
          </w:tcPr>
          <w:p w14:paraId="090160D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预算执行情况</w:t>
            </w:r>
          </w:p>
        </w:tc>
        <w:tc>
          <w:tcPr>
            <w:tcW w:w="969" w:type="pct"/>
            <w:tcBorders>
              <w:top w:val="single" w:color="000000" w:sz="4" w:space="0"/>
              <w:left w:val="single" w:color="000000" w:sz="4" w:space="0"/>
              <w:bottom w:val="single" w:color="000000" w:sz="4" w:space="0"/>
              <w:right w:val="single" w:color="000000" w:sz="4" w:space="0"/>
            </w:tcBorders>
            <w:noWrap/>
            <w:vAlign w:val="center"/>
          </w:tcPr>
          <w:p w14:paraId="45756E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7FA031D9">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20</w:t>
            </w:r>
          </w:p>
        </w:tc>
        <w:tc>
          <w:tcPr>
            <w:tcW w:w="952" w:type="pct"/>
            <w:tcBorders>
              <w:top w:val="single" w:color="000000" w:sz="4" w:space="0"/>
              <w:left w:val="single" w:color="000000" w:sz="4" w:space="0"/>
              <w:bottom w:val="single" w:color="000000" w:sz="4" w:space="0"/>
              <w:right w:val="single" w:color="000000" w:sz="4" w:space="0"/>
            </w:tcBorders>
            <w:noWrap/>
            <w:vAlign w:val="center"/>
          </w:tcPr>
          <w:p w14:paraId="31E66C95">
            <w:pPr>
              <w:keepNext w:val="0"/>
              <w:keepLines w:val="0"/>
              <w:widowControl/>
              <w:suppressLineNumbers w:val="0"/>
              <w:ind w:left="0" w:leftChars="0" w:right="0" w:rightChars="0" w:firstLine="0" w:firstLineChars="0"/>
              <w:jc w:val="center"/>
              <w:textAlignment w:val="center"/>
              <w:rPr>
                <w:rFonts w:hint="default"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lang w:eastAsia="zh-CN"/>
              </w:rPr>
              <w:t xml:space="preserve">19.70 </w:t>
            </w:r>
          </w:p>
        </w:tc>
        <w:tc>
          <w:tcPr>
            <w:tcW w:w="908" w:type="pct"/>
            <w:tcBorders>
              <w:top w:val="single" w:color="000000" w:sz="4" w:space="0"/>
              <w:left w:val="single" w:color="000000" w:sz="4" w:space="0"/>
              <w:bottom w:val="single" w:color="000000" w:sz="4" w:space="0"/>
              <w:right w:val="single" w:color="000000" w:sz="4" w:space="0"/>
            </w:tcBorders>
            <w:noWrap/>
            <w:vAlign w:val="center"/>
          </w:tcPr>
          <w:p w14:paraId="1BB2A3E8">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en-US" w:bidi="en-US"/>
              </w:rPr>
            </w:pPr>
            <w:r>
              <w:rPr>
                <w:rFonts w:hint="eastAsia" w:ascii="仿宋" w:hAnsi="仿宋" w:eastAsia="仿宋" w:cs="仿宋"/>
                <w:lang w:eastAsia="zh-CN" w:bidi="ar"/>
              </w:rPr>
              <w:t>98</w:t>
            </w:r>
            <w:r>
              <w:rPr>
                <w:rFonts w:hint="eastAsia" w:ascii="仿宋" w:hAnsi="仿宋" w:eastAsia="仿宋" w:cs="仿宋"/>
                <w:lang w:val="en-US" w:eastAsia="zh-CN" w:bidi="ar"/>
              </w:rPr>
              <w:t>.5</w:t>
            </w:r>
            <w:r>
              <w:rPr>
                <w:rFonts w:hint="eastAsia" w:ascii="仿宋" w:hAnsi="仿宋" w:eastAsia="仿宋" w:cs="仿宋"/>
                <w:lang w:eastAsia="zh-CN" w:bidi="ar"/>
              </w:rPr>
              <w:t>%</w:t>
            </w:r>
          </w:p>
        </w:tc>
      </w:tr>
      <w:tr w14:paraId="20D3BE2E">
        <w:tblPrEx>
          <w:tblCellMar>
            <w:top w:w="0" w:type="dxa"/>
            <w:left w:w="108" w:type="dxa"/>
            <w:bottom w:w="0" w:type="dxa"/>
            <w:right w:w="108" w:type="dxa"/>
          </w:tblCellMar>
        </w:tblPrEx>
        <w:trPr>
          <w:trHeight w:val="398" w:hRule="atLeast"/>
        </w:trPr>
        <w:tc>
          <w:tcPr>
            <w:tcW w:w="1273" w:type="pct"/>
            <w:tcBorders>
              <w:top w:val="single" w:color="000000" w:sz="4" w:space="0"/>
              <w:left w:val="single" w:color="000000" w:sz="4" w:space="0"/>
              <w:bottom w:val="single" w:color="000000" w:sz="4" w:space="0"/>
              <w:right w:val="single" w:color="000000" w:sz="4" w:space="0"/>
            </w:tcBorders>
            <w:noWrap/>
            <w:vAlign w:val="center"/>
          </w:tcPr>
          <w:p w14:paraId="0B073426">
            <w:pPr>
              <w:keepNext w:val="0"/>
              <w:keepLines w:val="0"/>
              <w:widowControl/>
              <w:suppressLineNumbers w:val="0"/>
              <w:jc w:val="center"/>
              <w:textAlignment w:val="center"/>
              <w:rPr>
                <w:rFonts w:hint="default" w:ascii="仿宋" w:hAnsi="仿宋" w:eastAsia="仿宋" w:cs="仿宋"/>
                <w:i w:val="0"/>
                <w:iCs w:val="0"/>
                <w:color w:val="000000"/>
                <w:spacing w:val="0"/>
                <w:w w:val="100"/>
                <w:kern w:val="0"/>
                <w:position w:val="0"/>
                <w:sz w:val="24"/>
                <w:szCs w:val="24"/>
                <w:u w:val="none"/>
                <w:shd w:val="clear" w:color="auto" w:fill="auto"/>
                <w:lang w:val="en-US" w:eastAsia="zh-CN" w:bidi="ar"/>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项目成本</w:t>
            </w:r>
          </w:p>
        </w:tc>
        <w:tc>
          <w:tcPr>
            <w:tcW w:w="969" w:type="pct"/>
            <w:tcBorders>
              <w:top w:val="single" w:color="000000" w:sz="4" w:space="0"/>
              <w:left w:val="single" w:color="000000" w:sz="4" w:space="0"/>
              <w:bottom w:val="single" w:color="000000" w:sz="4" w:space="0"/>
              <w:right w:val="single" w:color="000000" w:sz="4" w:space="0"/>
            </w:tcBorders>
            <w:noWrap/>
            <w:vAlign w:val="center"/>
          </w:tcPr>
          <w:p w14:paraId="45A27D07">
            <w:pPr>
              <w:keepNext w:val="0"/>
              <w:keepLines w:val="0"/>
              <w:widowControl/>
              <w:suppressLineNumbers w:val="0"/>
              <w:jc w:val="center"/>
              <w:textAlignment w:val="cente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2B973671">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20</w:t>
            </w:r>
          </w:p>
        </w:tc>
        <w:tc>
          <w:tcPr>
            <w:tcW w:w="952" w:type="pct"/>
            <w:tcBorders>
              <w:top w:val="single" w:color="000000" w:sz="4" w:space="0"/>
              <w:left w:val="single" w:color="000000" w:sz="4" w:space="0"/>
              <w:bottom w:val="single" w:color="000000" w:sz="4" w:space="0"/>
              <w:right w:val="single" w:color="000000" w:sz="4" w:space="0"/>
            </w:tcBorders>
            <w:noWrap/>
            <w:vAlign w:val="center"/>
          </w:tcPr>
          <w:p w14:paraId="1B6462C3">
            <w:pPr>
              <w:keepNext w:val="0"/>
              <w:keepLines w:val="0"/>
              <w:widowControl/>
              <w:suppressLineNumbers w:val="0"/>
              <w:ind w:left="0" w:leftChars="0" w:right="0" w:rightChars="0" w:firstLine="0" w:firstLineChars="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lang w:eastAsia="zh-CN"/>
              </w:rPr>
              <w:t>19</w:t>
            </w:r>
          </w:p>
        </w:tc>
        <w:tc>
          <w:tcPr>
            <w:tcW w:w="908" w:type="pct"/>
            <w:tcBorders>
              <w:top w:val="single" w:color="000000" w:sz="4" w:space="0"/>
              <w:left w:val="single" w:color="000000" w:sz="4" w:space="0"/>
              <w:bottom w:val="single" w:color="000000" w:sz="4" w:space="0"/>
              <w:right w:val="single" w:color="000000" w:sz="4" w:space="0"/>
            </w:tcBorders>
            <w:noWrap/>
            <w:vAlign w:val="center"/>
          </w:tcPr>
          <w:p w14:paraId="062DF00F">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95%</w:t>
            </w:r>
          </w:p>
        </w:tc>
      </w:tr>
      <w:tr w14:paraId="7696CEE0">
        <w:tblPrEx>
          <w:tblCellMar>
            <w:top w:w="0" w:type="dxa"/>
            <w:left w:w="108" w:type="dxa"/>
            <w:bottom w:w="0" w:type="dxa"/>
            <w:right w:w="108" w:type="dxa"/>
          </w:tblCellMar>
        </w:tblPrEx>
        <w:trPr>
          <w:trHeight w:val="398" w:hRule="atLeast"/>
        </w:trPr>
        <w:tc>
          <w:tcPr>
            <w:tcW w:w="1273" w:type="pct"/>
            <w:tcBorders>
              <w:top w:val="single" w:color="000000" w:sz="4" w:space="0"/>
              <w:left w:val="single" w:color="000000" w:sz="4" w:space="0"/>
              <w:bottom w:val="single" w:color="000000" w:sz="4" w:space="0"/>
              <w:right w:val="single" w:color="000000" w:sz="4" w:space="0"/>
            </w:tcBorders>
            <w:noWrap/>
            <w:vAlign w:val="center"/>
          </w:tcPr>
          <w:p w14:paraId="0E3597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项目产出</w:t>
            </w:r>
          </w:p>
        </w:tc>
        <w:tc>
          <w:tcPr>
            <w:tcW w:w="969" w:type="pct"/>
            <w:tcBorders>
              <w:top w:val="single" w:color="000000" w:sz="4" w:space="0"/>
              <w:left w:val="single" w:color="000000" w:sz="4" w:space="0"/>
              <w:bottom w:val="single" w:color="000000" w:sz="4" w:space="0"/>
              <w:right w:val="single" w:color="000000" w:sz="4" w:space="0"/>
            </w:tcBorders>
            <w:noWrap/>
            <w:vAlign w:val="center"/>
          </w:tcPr>
          <w:p w14:paraId="1285B8B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20%</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15AEBFB">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20</w:t>
            </w:r>
          </w:p>
        </w:tc>
        <w:tc>
          <w:tcPr>
            <w:tcW w:w="952" w:type="pct"/>
            <w:tcBorders>
              <w:top w:val="single" w:color="000000" w:sz="4" w:space="0"/>
              <w:left w:val="single" w:color="000000" w:sz="4" w:space="0"/>
              <w:bottom w:val="single" w:color="000000" w:sz="4" w:space="0"/>
              <w:right w:val="single" w:color="000000" w:sz="4" w:space="0"/>
            </w:tcBorders>
            <w:noWrap/>
            <w:vAlign w:val="center"/>
          </w:tcPr>
          <w:p w14:paraId="26C7284F">
            <w:pPr>
              <w:keepNext w:val="0"/>
              <w:keepLines w:val="0"/>
              <w:widowControl/>
              <w:suppressLineNumbers w:val="0"/>
              <w:ind w:left="0" w:leftChars="0" w:right="0" w:rightChars="0" w:firstLine="0" w:firstLineChars="0"/>
              <w:jc w:val="center"/>
              <w:textAlignment w:val="center"/>
              <w:rPr>
                <w:rFonts w:hint="default"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i w:val="0"/>
                <w:iCs w:val="0"/>
                <w:color w:val="000000"/>
                <w:sz w:val="24"/>
                <w:szCs w:val="24"/>
                <w:u w:val="none"/>
                <w:lang w:val="en-US" w:eastAsia="zh-CN"/>
              </w:rPr>
              <w:t>19.64</w:t>
            </w:r>
          </w:p>
        </w:tc>
        <w:tc>
          <w:tcPr>
            <w:tcW w:w="908" w:type="pct"/>
            <w:tcBorders>
              <w:top w:val="single" w:color="000000" w:sz="4" w:space="0"/>
              <w:left w:val="single" w:color="000000" w:sz="4" w:space="0"/>
              <w:bottom w:val="single" w:color="000000" w:sz="4" w:space="0"/>
              <w:right w:val="single" w:color="000000" w:sz="4" w:space="0"/>
            </w:tcBorders>
            <w:noWrap/>
            <w:vAlign w:val="center"/>
          </w:tcPr>
          <w:p w14:paraId="7190ABAD">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en-US" w:bidi="en-US"/>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98.2%</w:t>
            </w:r>
          </w:p>
        </w:tc>
      </w:tr>
      <w:tr w14:paraId="3BAFF1B2">
        <w:tblPrEx>
          <w:tblCellMar>
            <w:top w:w="0" w:type="dxa"/>
            <w:left w:w="108" w:type="dxa"/>
            <w:bottom w:w="0" w:type="dxa"/>
            <w:right w:w="108" w:type="dxa"/>
          </w:tblCellMar>
        </w:tblPrEx>
        <w:trPr>
          <w:trHeight w:val="398" w:hRule="atLeast"/>
        </w:trPr>
        <w:tc>
          <w:tcPr>
            <w:tcW w:w="1273" w:type="pct"/>
            <w:tcBorders>
              <w:top w:val="single" w:color="000000" w:sz="4" w:space="0"/>
              <w:left w:val="single" w:color="000000" w:sz="4" w:space="0"/>
              <w:bottom w:val="single" w:color="000000" w:sz="4" w:space="0"/>
              <w:right w:val="single" w:color="000000" w:sz="4" w:space="0"/>
            </w:tcBorders>
            <w:noWrap/>
            <w:vAlign w:val="center"/>
          </w:tcPr>
          <w:p w14:paraId="531009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项目效益</w:t>
            </w:r>
          </w:p>
        </w:tc>
        <w:tc>
          <w:tcPr>
            <w:tcW w:w="969" w:type="pct"/>
            <w:tcBorders>
              <w:top w:val="single" w:color="000000" w:sz="4" w:space="0"/>
              <w:left w:val="single" w:color="000000" w:sz="4" w:space="0"/>
              <w:bottom w:val="single" w:color="000000" w:sz="4" w:space="0"/>
              <w:right w:val="single" w:color="000000" w:sz="4" w:space="0"/>
            </w:tcBorders>
            <w:noWrap/>
            <w:vAlign w:val="center"/>
          </w:tcPr>
          <w:p w14:paraId="4DE6AC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6A5A24A6">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30</w:t>
            </w:r>
          </w:p>
        </w:tc>
        <w:tc>
          <w:tcPr>
            <w:tcW w:w="952" w:type="pct"/>
            <w:tcBorders>
              <w:top w:val="single" w:color="000000" w:sz="4" w:space="0"/>
              <w:left w:val="single" w:color="000000" w:sz="4" w:space="0"/>
              <w:bottom w:val="single" w:color="000000" w:sz="4" w:space="0"/>
              <w:right w:val="single" w:color="000000" w:sz="4" w:space="0"/>
            </w:tcBorders>
            <w:noWrap/>
            <w:vAlign w:val="center"/>
          </w:tcPr>
          <w:p w14:paraId="38D3A147">
            <w:pPr>
              <w:keepNext w:val="0"/>
              <w:keepLines w:val="0"/>
              <w:widowControl/>
              <w:suppressLineNumbers w:val="0"/>
              <w:ind w:left="0" w:leftChars="0" w:right="0" w:rightChars="0" w:firstLine="0" w:firstLineChars="0"/>
              <w:jc w:val="center"/>
              <w:textAlignment w:val="center"/>
              <w:rPr>
                <w:rFonts w:hint="default"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i w:val="0"/>
                <w:iCs w:val="0"/>
                <w:color w:val="000000"/>
                <w:sz w:val="24"/>
                <w:szCs w:val="24"/>
                <w:u w:val="none"/>
                <w:lang w:val="en-US" w:eastAsia="zh-CN"/>
              </w:rPr>
              <w:t>27</w:t>
            </w:r>
          </w:p>
        </w:tc>
        <w:tc>
          <w:tcPr>
            <w:tcW w:w="908" w:type="pct"/>
            <w:tcBorders>
              <w:top w:val="single" w:color="000000" w:sz="4" w:space="0"/>
              <w:left w:val="single" w:color="000000" w:sz="4" w:space="0"/>
              <w:bottom w:val="single" w:color="000000" w:sz="4" w:space="0"/>
              <w:right w:val="single" w:color="000000" w:sz="4" w:space="0"/>
            </w:tcBorders>
            <w:noWrap/>
            <w:vAlign w:val="center"/>
          </w:tcPr>
          <w:p w14:paraId="60161903">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en-US" w:bidi="en-US"/>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90%</w:t>
            </w:r>
          </w:p>
        </w:tc>
      </w:tr>
      <w:tr w14:paraId="5394B93C">
        <w:tblPrEx>
          <w:tblCellMar>
            <w:top w:w="0" w:type="dxa"/>
            <w:left w:w="108" w:type="dxa"/>
            <w:bottom w:w="0" w:type="dxa"/>
            <w:right w:w="108" w:type="dxa"/>
          </w:tblCellMar>
        </w:tblPrEx>
        <w:trPr>
          <w:trHeight w:val="433" w:hRule="atLeast"/>
        </w:trPr>
        <w:tc>
          <w:tcPr>
            <w:tcW w:w="1273" w:type="pct"/>
            <w:tcBorders>
              <w:top w:val="single" w:color="000000" w:sz="4" w:space="0"/>
              <w:left w:val="single" w:color="000000" w:sz="4" w:space="0"/>
              <w:bottom w:val="single" w:color="000000" w:sz="4" w:space="0"/>
              <w:right w:val="single" w:color="000000" w:sz="4" w:space="0"/>
            </w:tcBorders>
            <w:noWrap/>
            <w:vAlign w:val="center"/>
          </w:tcPr>
          <w:p w14:paraId="33CCE04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项目满意度</w:t>
            </w:r>
          </w:p>
        </w:tc>
        <w:tc>
          <w:tcPr>
            <w:tcW w:w="969" w:type="pct"/>
            <w:tcBorders>
              <w:top w:val="single" w:color="000000" w:sz="4" w:space="0"/>
              <w:left w:val="single" w:color="000000" w:sz="4" w:space="0"/>
              <w:bottom w:val="single" w:color="000000" w:sz="4" w:space="0"/>
              <w:right w:val="single" w:color="000000" w:sz="4" w:space="0"/>
            </w:tcBorders>
            <w:noWrap/>
            <w:vAlign w:val="center"/>
          </w:tcPr>
          <w:p w14:paraId="26C5612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047298A9">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10</w:t>
            </w:r>
          </w:p>
        </w:tc>
        <w:tc>
          <w:tcPr>
            <w:tcW w:w="952" w:type="pct"/>
            <w:tcBorders>
              <w:top w:val="single" w:color="000000" w:sz="4" w:space="0"/>
              <w:left w:val="single" w:color="000000" w:sz="4" w:space="0"/>
              <w:bottom w:val="single" w:color="000000" w:sz="4" w:space="0"/>
              <w:right w:val="single" w:color="000000" w:sz="4" w:space="0"/>
            </w:tcBorders>
            <w:noWrap/>
            <w:vAlign w:val="center"/>
          </w:tcPr>
          <w:p w14:paraId="42E1BE27">
            <w:pPr>
              <w:keepNext w:val="0"/>
              <w:keepLines w:val="0"/>
              <w:widowControl/>
              <w:suppressLineNumbers w:val="0"/>
              <w:ind w:left="0" w:leftChars="0" w:right="0" w:rightChars="0" w:firstLine="0" w:firstLineChars="0"/>
              <w:jc w:val="center"/>
              <w:textAlignment w:val="center"/>
              <w:rPr>
                <w:rFonts w:hint="default"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i w:val="0"/>
                <w:iCs w:val="0"/>
                <w:color w:val="000000"/>
                <w:sz w:val="24"/>
                <w:szCs w:val="24"/>
                <w:u w:val="none"/>
                <w:lang w:val="en-US" w:eastAsia="zh-CN"/>
              </w:rPr>
              <w:t>10</w:t>
            </w:r>
          </w:p>
        </w:tc>
        <w:tc>
          <w:tcPr>
            <w:tcW w:w="908" w:type="pct"/>
            <w:tcBorders>
              <w:top w:val="single" w:color="000000" w:sz="4" w:space="0"/>
              <w:left w:val="single" w:color="000000" w:sz="4" w:space="0"/>
              <w:bottom w:val="single" w:color="000000" w:sz="4" w:space="0"/>
              <w:right w:val="single" w:color="000000" w:sz="4" w:space="0"/>
            </w:tcBorders>
            <w:noWrap/>
            <w:vAlign w:val="center"/>
          </w:tcPr>
          <w:p w14:paraId="25B76BC8">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en-US" w:bidi="en-US"/>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100%</w:t>
            </w:r>
          </w:p>
        </w:tc>
      </w:tr>
      <w:tr w14:paraId="0748F262">
        <w:tblPrEx>
          <w:tblCellMar>
            <w:top w:w="0" w:type="dxa"/>
            <w:left w:w="108" w:type="dxa"/>
            <w:bottom w:w="0" w:type="dxa"/>
            <w:right w:w="108" w:type="dxa"/>
          </w:tblCellMar>
        </w:tblPrEx>
        <w:trPr>
          <w:trHeight w:val="408" w:hRule="atLeast"/>
        </w:trPr>
        <w:tc>
          <w:tcPr>
            <w:tcW w:w="1273" w:type="pct"/>
            <w:tcBorders>
              <w:top w:val="single" w:color="000000" w:sz="4" w:space="0"/>
              <w:left w:val="single" w:color="000000" w:sz="4" w:space="0"/>
              <w:bottom w:val="single" w:color="000000" w:sz="4" w:space="0"/>
              <w:right w:val="single" w:color="000000" w:sz="4" w:space="0"/>
            </w:tcBorders>
            <w:noWrap/>
            <w:vAlign w:val="center"/>
          </w:tcPr>
          <w:p w14:paraId="5D0F83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综合绩效</w:t>
            </w:r>
          </w:p>
        </w:tc>
        <w:tc>
          <w:tcPr>
            <w:tcW w:w="969" w:type="pct"/>
            <w:tcBorders>
              <w:top w:val="single" w:color="000000" w:sz="4" w:space="0"/>
              <w:left w:val="single" w:color="000000" w:sz="4" w:space="0"/>
              <w:bottom w:val="single" w:color="000000" w:sz="4" w:space="0"/>
              <w:right w:val="single" w:color="000000" w:sz="4" w:space="0"/>
            </w:tcBorders>
            <w:noWrap/>
            <w:vAlign w:val="center"/>
          </w:tcPr>
          <w:p w14:paraId="6AB1D0A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100%</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6FDE7F6A">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100</w:t>
            </w:r>
          </w:p>
        </w:tc>
        <w:tc>
          <w:tcPr>
            <w:tcW w:w="952" w:type="pct"/>
            <w:tcBorders>
              <w:top w:val="single" w:color="000000" w:sz="4" w:space="0"/>
              <w:left w:val="single" w:color="000000" w:sz="4" w:space="0"/>
              <w:bottom w:val="single" w:color="000000" w:sz="4" w:space="0"/>
              <w:right w:val="single" w:color="000000" w:sz="4" w:space="0"/>
            </w:tcBorders>
            <w:noWrap/>
            <w:vAlign w:val="center"/>
          </w:tcPr>
          <w:p w14:paraId="11E30056">
            <w:pPr>
              <w:keepNext w:val="0"/>
              <w:keepLines w:val="0"/>
              <w:widowControl/>
              <w:suppressLineNumbers w:val="0"/>
              <w:ind w:left="0" w:leftChars="0" w:right="0" w:rightChars="0" w:firstLine="0" w:firstLineChars="0"/>
              <w:jc w:val="center"/>
              <w:textAlignment w:val="center"/>
              <w:rPr>
                <w:rFonts w:hint="default"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i w:val="0"/>
                <w:iCs w:val="0"/>
                <w:color w:val="000000"/>
                <w:spacing w:val="0"/>
                <w:w w:val="100"/>
                <w:position w:val="0"/>
                <w:sz w:val="24"/>
                <w:szCs w:val="24"/>
                <w:u w:val="none"/>
                <w:shd w:val="clear" w:color="auto" w:fill="auto"/>
                <w:lang w:val="en-US" w:eastAsia="zh-CN" w:bidi="en-US"/>
              </w:rPr>
              <w:t>95.34</w:t>
            </w:r>
          </w:p>
        </w:tc>
        <w:tc>
          <w:tcPr>
            <w:tcW w:w="908" w:type="pct"/>
            <w:tcBorders>
              <w:top w:val="single" w:color="000000" w:sz="4" w:space="0"/>
              <w:left w:val="single" w:color="000000" w:sz="4" w:space="0"/>
              <w:bottom w:val="single" w:color="000000" w:sz="4" w:space="0"/>
              <w:right w:val="single" w:color="000000" w:sz="4" w:space="0"/>
            </w:tcBorders>
            <w:noWrap/>
            <w:vAlign w:val="center"/>
          </w:tcPr>
          <w:p w14:paraId="6AAF0A84">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en-US" w:bidi="en-US"/>
              </w:rPr>
            </w:pPr>
            <w:r>
              <w:rPr>
                <w:rFonts w:hint="eastAsia" w:ascii="仿宋" w:hAnsi="仿宋" w:eastAsia="仿宋" w:cs="仿宋"/>
                <w:i w:val="0"/>
                <w:iCs w:val="0"/>
                <w:color w:val="000000"/>
                <w:spacing w:val="0"/>
                <w:w w:val="100"/>
                <w:kern w:val="0"/>
                <w:position w:val="0"/>
                <w:sz w:val="24"/>
                <w:szCs w:val="24"/>
                <w:u w:val="none"/>
                <w:shd w:val="clear" w:color="auto" w:fill="auto"/>
                <w:lang w:val="en-US" w:eastAsia="zh-CN" w:bidi="ar"/>
              </w:rPr>
              <w:t>95.34%</w:t>
            </w:r>
          </w:p>
        </w:tc>
      </w:tr>
      <w:bookmarkEnd w:id="0"/>
    </w:tbl>
    <w:p w14:paraId="0C420494">
      <w:pPr>
        <w:pStyle w:val="5"/>
        <w:keepNext w:val="0"/>
        <w:keepLines w:val="0"/>
        <w:pageBreakBefore w:val="0"/>
        <w:widowControl w:val="0"/>
        <w:numPr>
          <w:ilvl w:val="0"/>
          <w:numId w:val="2"/>
        </w:numPr>
        <w:shd w:val="clear" w:color="auto" w:fill="auto"/>
        <w:tabs>
          <w:tab w:val="left" w:pos="1116"/>
        </w:tabs>
        <w:kinsoku/>
        <w:wordWrap/>
        <w:overflowPunct/>
        <w:topLinePunct w:val="0"/>
        <w:autoSpaceDE/>
        <w:autoSpaceDN/>
        <w:bidi w:val="0"/>
        <w:adjustRightInd/>
        <w:snapToGrid/>
        <w:spacing w:before="0" w:after="0" w:line="560" w:lineRule="exact"/>
        <w:ind w:left="1042" w:leftChars="0" w:right="0" w:rightChars="0" w:hanging="562" w:firstLineChars="0"/>
        <w:jc w:val="both"/>
        <w:rPr>
          <w:rFonts w:hint="eastAsia" w:ascii="楷体" w:hAnsi="楷体" w:eastAsia="楷体" w:cs="楷体"/>
          <w:color w:val="000000"/>
          <w:spacing w:val="0"/>
          <w:w w:val="100"/>
          <w:position w:val="0"/>
          <w:sz w:val="32"/>
          <w:szCs w:val="32"/>
        </w:rPr>
      </w:pPr>
      <w:r>
        <w:rPr>
          <w:rFonts w:hint="eastAsia" w:ascii="楷体" w:hAnsi="楷体" w:eastAsia="楷体" w:cs="楷体"/>
          <w:color w:val="000000"/>
          <w:spacing w:val="0"/>
          <w:w w:val="100"/>
          <w:position w:val="0"/>
          <w:sz w:val="32"/>
          <w:szCs w:val="32"/>
        </w:rPr>
        <w:t>部门整体绩效目标完成情况</w:t>
      </w:r>
    </w:p>
    <w:p w14:paraId="21CEFBAF">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color w:val="000000"/>
          <w:spacing w:val="0"/>
          <w:w w:val="100"/>
          <w:position w:val="0"/>
          <w:sz w:val="32"/>
          <w:szCs w:val="32"/>
          <w:lang w:val="en-US" w:eastAsia="zh-CN"/>
        </w:rPr>
      </w:pPr>
      <w:bookmarkStart w:id="1" w:name="bookmark71"/>
      <w:bookmarkEnd w:id="1"/>
      <w:r>
        <w:rPr>
          <w:rFonts w:hint="eastAsia" w:ascii="楷体" w:hAnsi="楷体" w:eastAsia="楷体" w:cs="楷体"/>
          <w:color w:val="000000"/>
          <w:spacing w:val="0"/>
          <w:w w:val="100"/>
          <w:position w:val="0"/>
          <w:sz w:val="32"/>
          <w:szCs w:val="32"/>
          <w:lang w:val="en-US" w:eastAsia="zh-CN"/>
        </w:rPr>
        <w:t>1.</w:t>
      </w:r>
      <w:r>
        <w:rPr>
          <w:rFonts w:hint="eastAsia" w:ascii="楷体" w:hAnsi="楷体" w:eastAsia="楷体" w:cs="楷体"/>
          <w:color w:val="000000"/>
          <w:spacing w:val="0"/>
          <w:w w:val="100"/>
          <w:position w:val="0"/>
          <w:sz w:val="32"/>
          <w:szCs w:val="32"/>
        </w:rPr>
        <w:t>执行率情况</w:t>
      </w:r>
    </w:p>
    <w:p w14:paraId="70F11BA9">
      <w:pPr>
        <w:snapToGrid w:val="0"/>
        <w:spacing w:line="560" w:lineRule="exact"/>
        <w:ind w:firstLine="640" w:firstLineChars="200"/>
        <w:jc w:val="both"/>
        <w:rPr>
          <w:rFonts w:hint="eastAsia" w:ascii="仿宋" w:hAnsi="仿宋" w:eastAsia="仿宋" w:cs="仿宋"/>
          <w:b/>
          <w:sz w:val="32"/>
          <w:szCs w:val="32"/>
        </w:rPr>
      </w:pPr>
      <w:r>
        <w:rPr>
          <w:rFonts w:hint="eastAsia" w:ascii="仿宋" w:hAnsi="仿宋" w:eastAsia="仿宋" w:cs="仿宋"/>
          <w:sz w:val="32"/>
          <w:szCs w:val="32"/>
          <w:lang w:val="en-US" w:eastAsia="zh-CN"/>
        </w:rPr>
        <w:t>武汉市东西湖区人民政府慈惠街道办事处</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以下简称慈惠</w:t>
      </w:r>
      <w:r>
        <w:rPr>
          <w:rFonts w:hint="eastAsia" w:ascii="仿宋" w:hAnsi="仿宋" w:eastAsia="仿宋" w:cs="仿宋"/>
          <w:sz w:val="32"/>
          <w:szCs w:val="32"/>
        </w:rPr>
        <w:t>街道办事处</w:t>
      </w:r>
      <w:r>
        <w:rPr>
          <w:rFonts w:hint="eastAsia" w:ascii="仿宋" w:hAnsi="仿宋" w:eastAsia="仿宋" w:cs="仿宋"/>
          <w:sz w:val="32"/>
          <w:szCs w:val="32"/>
          <w:lang w:eastAsia="zh-CN"/>
        </w:rPr>
        <w:t>）2025</w:t>
      </w:r>
      <w:r>
        <w:rPr>
          <w:rFonts w:hint="eastAsia" w:ascii="仿宋" w:hAnsi="仿宋" w:eastAsia="仿宋" w:cs="仿宋"/>
          <w:sz w:val="32"/>
          <w:szCs w:val="32"/>
        </w:rPr>
        <w:t>年年初预算</w:t>
      </w:r>
      <w:r>
        <w:rPr>
          <w:rFonts w:hint="eastAsia" w:ascii="仿宋" w:hAnsi="仿宋" w:eastAsia="仿宋" w:cs="仿宋"/>
          <w:sz w:val="32"/>
          <w:szCs w:val="32"/>
          <w:lang w:val="en-US" w:eastAsia="zh-CN"/>
        </w:rPr>
        <w:t>资金</w:t>
      </w:r>
      <w:r>
        <w:rPr>
          <w:rFonts w:hint="eastAsia" w:ascii="仿宋" w:hAnsi="仿宋" w:eastAsia="仿宋" w:cs="仿宋"/>
          <w:sz w:val="32"/>
          <w:szCs w:val="32"/>
          <w:lang w:eastAsia="zh-CN"/>
        </w:rPr>
        <w:t>8</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545.32</w:t>
      </w:r>
      <w:r>
        <w:rPr>
          <w:rFonts w:hint="eastAsia" w:ascii="仿宋" w:hAnsi="仿宋" w:eastAsia="仿宋" w:cs="仿宋"/>
          <w:sz w:val="32"/>
          <w:szCs w:val="32"/>
          <w:lang w:val="en-US" w:eastAsia="zh-CN"/>
        </w:rPr>
        <w:t>万元，年中追加</w:t>
      </w:r>
      <w:r>
        <w:rPr>
          <w:rFonts w:hint="eastAsia" w:ascii="仿宋" w:hAnsi="仿宋" w:eastAsia="仿宋" w:cs="仿宋"/>
          <w:sz w:val="32"/>
          <w:szCs w:val="32"/>
        </w:rPr>
        <w:t>预算资金</w:t>
      </w:r>
      <w:r>
        <w:rPr>
          <w:rFonts w:hint="eastAsia" w:ascii="仿宋" w:hAnsi="仿宋" w:eastAsia="仿宋" w:cs="仿宋"/>
          <w:sz w:val="32"/>
          <w:szCs w:val="32"/>
          <w:lang w:eastAsia="zh-CN"/>
        </w:rPr>
        <w:t>80</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206.69</w:t>
      </w:r>
      <w:r>
        <w:rPr>
          <w:rFonts w:hint="eastAsia" w:ascii="仿宋" w:hAnsi="仿宋" w:eastAsia="仿宋" w:cs="仿宋"/>
          <w:sz w:val="32"/>
          <w:szCs w:val="32"/>
          <w:lang w:val="en-US" w:eastAsia="zh-CN"/>
        </w:rPr>
        <w:t>万元，</w:t>
      </w:r>
      <w:r>
        <w:rPr>
          <w:rFonts w:hint="eastAsia" w:ascii="仿宋" w:hAnsi="仿宋" w:eastAsia="仿宋" w:cs="仿宋"/>
          <w:sz w:val="32"/>
          <w:szCs w:val="32"/>
        </w:rPr>
        <w:t>预算资金</w:t>
      </w:r>
      <w:r>
        <w:rPr>
          <w:rFonts w:hint="eastAsia" w:ascii="仿宋" w:hAnsi="仿宋" w:eastAsia="仿宋" w:cs="仿宋"/>
          <w:sz w:val="32"/>
          <w:szCs w:val="32"/>
          <w:lang w:val="en-US" w:eastAsia="zh-CN"/>
        </w:rPr>
        <w:t>合计88,752.01</w:t>
      </w:r>
      <w:r>
        <w:rPr>
          <w:rFonts w:hint="eastAsia" w:ascii="仿宋" w:hAnsi="仿宋" w:eastAsia="仿宋" w:cs="仿宋"/>
          <w:sz w:val="32"/>
          <w:szCs w:val="32"/>
        </w:rPr>
        <w:t>万元，实际支出执行数</w:t>
      </w:r>
      <w:r>
        <w:rPr>
          <w:rFonts w:hint="eastAsia" w:ascii="仿宋" w:hAnsi="仿宋" w:eastAsia="仿宋" w:cs="仿宋"/>
          <w:sz w:val="32"/>
          <w:szCs w:val="32"/>
          <w:lang w:eastAsia="zh-CN"/>
        </w:rPr>
        <w:t>87,411.62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其中：财政拨款</w:t>
      </w:r>
      <w:r>
        <w:rPr>
          <w:rFonts w:hint="eastAsia" w:ascii="仿宋" w:hAnsi="仿宋" w:eastAsia="仿宋" w:cs="仿宋"/>
          <w:sz w:val="32"/>
          <w:szCs w:val="32"/>
          <w:lang w:val="en-US" w:eastAsia="zh-CN"/>
        </w:rPr>
        <w:t>支出</w:t>
      </w:r>
      <w:r>
        <w:rPr>
          <w:rFonts w:hint="eastAsia" w:ascii="仿宋" w:hAnsi="仿宋" w:eastAsia="仿宋" w:cs="仿宋"/>
          <w:sz w:val="32"/>
          <w:szCs w:val="32"/>
          <w:lang w:eastAsia="zh-CN"/>
        </w:rPr>
        <w:t>31,548.09</w:t>
      </w:r>
      <w:r>
        <w:rPr>
          <w:rFonts w:hint="eastAsia" w:ascii="仿宋" w:hAnsi="仿宋" w:eastAsia="仿宋" w:cs="仿宋"/>
          <w:sz w:val="32"/>
          <w:szCs w:val="32"/>
        </w:rPr>
        <w:t>万元，往来资金</w:t>
      </w:r>
      <w:r>
        <w:rPr>
          <w:rFonts w:hint="eastAsia" w:ascii="仿宋" w:hAnsi="仿宋" w:eastAsia="仿宋" w:cs="仿宋"/>
          <w:sz w:val="32"/>
          <w:szCs w:val="32"/>
          <w:lang w:val="en-US" w:eastAsia="zh-CN"/>
        </w:rPr>
        <w:t>支出</w:t>
      </w:r>
      <w:r>
        <w:rPr>
          <w:rFonts w:hint="eastAsia" w:ascii="仿宋" w:hAnsi="仿宋" w:eastAsia="仿宋" w:cs="仿宋"/>
          <w:sz w:val="32"/>
          <w:szCs w:val="32"/>
        </w:rPr>
        <w:t>55,863.53万元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预算执行率为</w:t>
      </w:r>
      <w:r>
        <w:rPr>
          <w:rFonts w:hint="eastAsia" w:ascii="仿宋" w:hAnsi="仿宋" w:eastAsia="仿宋" w:cs="仿宋"/>
          <w:sz w:val="32"/>
          <w:szCs w:val="32"/>
          <w:lang w:eastAsia="zh-CN"/>
        </w:rPr>
        <w:t>98%</w:t>
      </w:r>
      <w:r>
        <w:rPr>
          <w:rFonts w:hint="eastAsia" w:ascii="仿宋" w:hAnsi="仿宋" w:eastAsia="仿宋" w:cs="仿宋"/>
          <w:sz w:val="32"/>
          <w:szCs w:val="32"/>
        </w:rPr>
        <w:t>。</w:t>
      </w:r>
    </w:p>
    <w:p w14:paraId="65A165D4">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color w:val="000000"/>
          <w:spacing w:val="0"/>
          <w:w w:val="100"/>
          <w:position w:val="0"/>
          <w:sz w:val="32"/>
          <w:szCs w:val="32"/>
          <w:lang w:val="en-US" w:eastAsia="zh-CN"/>
        </w:rPr>
      </w:pPr>
      <w:bookmarkStart w:id="2" w:name="bookmark72"/>
      <w:bookmarkEnd w:id="2"/>
      <w:r>
        <w:rPr>
          <w:rFonts w:hint="eastAsia" w:ascii="楷体" w:hAnsi="楷体" w:eastAsia="楷体" w:cs="楷体"/>
          <w:color w:val="000000"/>
          <w:spacing w:val="0"/>
          <w:w w:val="100"/>
          <w:position w:val="0"/>
          <w:sz w:val="32"/>
          <w:szCs w:val="32"/>
          <w:lang w:val="en-US" w:eastAsia="zh-CN"/>
        </w:rPr>
        <w:t>2.</w:t>
      </w:r>
      <w:r>
        <w:rPr>
          <w:rFonts w:hint="eastAsia" w:ascii="楷体" w:hAnsi="楷体" w:eastAsia="楷体" w:cs="楷体"/>
          <w:color w:val="000000"/>
          <w:spacing w:val="0"/>
          <w:w w:val="100"/>
          <w:position w:val="0"/>
          <w:sz w:val="32"/>
          <w:szCs w:val="32"/>
        </w:rPr>
        <w:t>完成的绩效</w:t>
      </w:r>
      <w:r>
        <w:rPr>
          <w:rFonts w:hint="eastAsia" w:ascii="楷体" w:hAnsi="楷体" w:eastAsia="楷体" w:cs="楷体"/>
          <w:color w:val="000000"/>
          <w:spacing w:val="0"/>
          <w:w w:val="100"/>
          <w:position w:val="0"/>
          <w:sz w:val="32"/>
          <w:szCs w:val="32"/>
          <w:lang w:val="en-US" w:eastAsia="zh-CN"/>
        </w:rPr>
        <w:t>目标</w:t>
      </w:r>
    </w:p>
    <w:p w14:paraId="052F62AC">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部门整体共设置31个绩效指标，完成绩效指标24个。</w:t>
      </w:r>
    </w:p>
    <w:p w14:paraId="76135D9A">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color w:val="000000"/>
          <w:spacing w:val="0"/>
          <w:w w:val="100"/>
          <w:position w:val="0"/>
          <w:sz w:val="32"/>
          <w:szCs w:val="32"/>
          <w:lang w:val="en-US" w:eastAsia="zh-CN"/>
        </w:rPr>
      </w:pPr>
      <w:bookmarkStart w:id="3" w:name="bookmark73"/>
      <w:bookmarkEnd w:id="3"/>
      <w:r>
        <w:rPr>
          <w:rFonts w:hint="eastAsia" w:ascii="楷体" w:hAnsi="楷体" w:eastAsia="楷体" w:cs="楷体"/>
          <w:color w:val="000000"/>
          <w:spacing w:val="0"/>
          <w:w w:val="100"/>
          <w:position w:val="0"/>
          <w:sz w:val="32"/>
          <w:szCs w:val="32"/>
          <w:lang w:val="en-US" w:eastAsia="zh-CN"/>
        </w:rPr>
        <w:t>3.未完成的绩效目标</w:t>
      </w:r>
    </w:p>
    <w:p w14:paraId="7AEA9FA9">
      <w:pPr>
        <w:pStyle w:val="5"/>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成本指标：“居民生活和工作成本”非量化指标，完成情况根据定性指标计分原则按照设定分值的90%计分。</w:t>
      </w:r>
    </w:p>
    <w:p w14:paraId="51EF271A">
      <w:pPr>
        <w:pStyle w:val="5"/>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cs="仿宋"/>
          <w:sz w:val="32"/>
          <w:szCs w:val="32"/>
          <w:lang w:val="en-US" w:eastAsia="zh-CN"/>
        </w:rPr>
      </w:pPr>
      <w:r>
        <w:rPr>
          <w:rFonts w:hint="eastAsia" w:ascii="仿宋" w:hAnsi="仿宋" w:eastAsia="仿宋" w:cs="仿宋"/>
          <w:sz w:val="32"/>
          <w:szCs w:val="32"/>
          <w:lang w:val="en-US" w:eastAsia="zh-CN"/>
        </w:rPr>
        <w:t>效益指标：“保障部门、农场及公司正常运转”、“保障工作人员凝聚力”、“改善居民居住环境”、“补贴人员生活提升度”、“维护社会稳定”、“维护河湖生态环境”六个指标为非量化指标，上述完成情况根据定性指标计分原则统一按照设定分值的90%计分</w:t>
      </w:r>
      <w:bookmarkStart w:id="11" w:name="_GoBack"/>
      <w:bookmarkEnd w:id="11"/>
      <w:r>
        <w:rPr>
          <w:rFonts w:hint="eastAsia" w:ascii="仿宋" w:hAnsi="仿宋" w:eastAsia="仿宋" w:cs="仿宋"/>
          <w:sz w:val="32"/>
          <w:szCs w:val="32"/>
          <w:lang w:val="en-US" w:eastAsia="zh-CN"/>
        </w:rPr>
        <w:t>。</w:t>
      </w:r>
    </w:p>
    <w:p w14:paraId="19A307CB">
      <w:pPr>
        <w:pStyle w:val="5"/>
        <w:keepNext w:val="0"/>
        <w:keepLines w:val="0"/>
        <w:pageBreakBefore w:val="0"/>
        <w:widowControl w:val="0"/>
        <w:numPr>
          <w:ilvl w:val="0"/>
          <w:numId w:val="2"/>
        </w:numPr>
        <w:shd w:val="clear" w:color="auto" w:fill="auto"/>
        <w:tabs>
          <w:tab w:val="left" w:pos="1116"/>
        </w:tabs>
        <w:kinsoku/>
        <w:wordWrap/>
        <w:overflowPunct/>
        <w:topLinePunct w:val="0"/>
        <w:autoSpaceDE/>
        <w:autoSpaceDN/>
        <w:bidi w:val="0"/>
        <w:adjustRightInd/>
        <w:snapToGrid/>
        <w:spacing w:before="0" w:after="0" w:line="560" w:lineRule="exact"/>
        <w:ind w:left="1042" w:leftChars="0" w:right="0" w:rightChars="0" w:hanging="562" w:firstLineChars="0"/>
        <w:jc w:val="both"/>
        <w:rPr>
          <w:rFonts w:hint="eastAsia" w:ascii="楷体" w:hAnsi="楷体" w:eastAsia="楷体" w:cs="楷体"/>
          <w:color w:val="000000"/>
          <w:spacing w:val="0"/>
          <w:w w:val="100"/>
          <w:kern w:val="2"/>
          <w:position w:val="0"/>
          <w:sz w:val="32"/>
          <w:szCs w:val="32"/>
          <w:u w:val="none"/>
          <w:shd w:val="clear" w:color="auto" w:fill="auto"/>
          <w:lang w:val="en-US" w:eastAsia="zh-CN" w:bidi="ar-SA"/>
        </w:rPr>
      </w:pPr>
      <w:r>
        <w:rPr>
          <w:rFonts w:hint="eastAsia" w:ascii="楷体" w:hAnsi="楷体" w:eastAsia="楷体" w:cs="楷体"/>
          <w:color w:val="000000"/>
          <w:spacing w:val="0"/>
          <w:w w:val="100"/>
          <w:kern w:val="2"/>
          <w:position w:val="0"/>
          <w:sz w:val="32"/>
          <w:szCs w:val="32"/>
          <w:u w:val="none"/>
          <w:shd w:val="clear" w:color="auto" w:fill="auto"/>
          <w:lang w:val="en-US" w:eastAsia="zh-CN" w:bidi="ar-SA"/>
        </w:rPr>
        <w:t>存在的问题及原因</w:t>
      </w:r>
    </w:p>
    <w:p w14:paraId="480C4B31">
      <w:pPr>
        <w:shd w:val="clear" w:color="auto" w:fill="auto"/>
        <w:snapToGrid w:val="0"/>
        <w:spacing w:line="600" w:lineRule="exact"/>
        <w:ind w:firstLine="640" w:firstLineChars="200"/>
        <w:rPr>
          <w:rFonts w:hint="eastAsia" w:ascii="楷体" w:hAnsi="楷体" w:eastAsia="楷体" w:cs="楷体"/>
          <w:sz w:val="32"/>
          <w:szCs w:val="32"/>
          <w:lang w:val="en-US" w:eastAsia="zh-CN"/>
        </w:rPr>
      </w:pPr>
      <w:bookmarkStart w:id="4" w:name="bookmark75"/>
      <w:r>
        <w:rPr>
          <w:rFonts w:hint="eastAsia" w:ascii="楷体" w:hAnsi="楷体" w:eastAsia="楷体" w:cs="楷体"/>
          <w:sz w:val="32"/>
          <w:szCs w:val="32"/>
          <w:lang w:val="en-US" w:eastAsia="zh-CN"/>
        </w:rPr>
        <w:t>1.上年度结果应用情况</w:t>
      </w:r>
    </w:p>
    <w:p w14:paraId="757952EA">
      <w:pPr>
        <w:snapToGrid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将上一年绩效自评结果作为以后年度预算编制的重要参考依据，按照要求将绩效自评结果向社会公开，自觉接受社会监督。</w:t>
      </w:r>
    </w:p>
    <w:p w14:paraId="10244A29">
      <w:pPr>
        <w:snapToGrid w:val="0"/>
        <w:spacing w:line="60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2.本年度预算绩效存在的问题和原因</w:t>
      </w:r>
    </w:p>
    <w:p w14:paraId="74274879">
      <w:pPr>
        <w:snapToGrid w:val="0"/>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lang w:eastAsia="zh-CN"/>
        </w:rPr>
        <w:t>）绩效目标值的科学性上有待提升</w:t>
      </w:r>
    </w:p>
    <w:p w14:paraId="73529DEB">
      <w:pPr>
        <w:pStyle w:val="5"/>
        <w:tabs>
          <w:tab w:val="left" w:pos="1418"/>
          <w:tab w:val="left" w:pos="7216"/>
          <w:tab w:val="left" w:pos="7302"/>
        </w:tabs>
        <w:snapToGrid/>
        <w:spacing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部分指标设立与部门重点工作不相匹配；部分绩效指标设定不够完善、全面，不利于绩效评价，例如：年度目标1中设置三级成本指标“居民生活和工作成本”目标值“降低”，目标值未量化，不便于评价。</w:t>
      </w:r>
    </w:p>
    <w:p w14:paraId="35EB7B30">
      <w:pPr>
        <w:pStyle w:val="5"/>
        <w:tabs>
          <w:tab w:val="left" w:pos="1418"/>
          <w:tab w:val="left" w:pos="7216"/>
          <w:tab w:val="left" w:pos="7302"/>
        </w:tabs>
        <w:snapToGrid/>
        <w:spacing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（2）绩效目标管理有待加强</w:t>
      </w:r>
    </w:p>
    <w:p w14:paraId="594F5AC4">
      <w:pPr>
        <w:pStyle w:val="5"/>
        <w:tabs>
          <w:tab w:val="left" w:pos="1418"/>
          <w:tab w:val="left" w:pos="7216"/>
          <w:tab w:val="left" w:pos="7302"/>
        </w:tabs>
        <w:snapToGrid/>
        <w:spacing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慈惠街制定了财政预算管理方面的相关制度，但更多是财务管理制度，而缺少绩效目标管理、运行监控、绩效自评等相关制度办法，绩效管理工作缺乏统一规范和制度保障，制度化、规范化、长效化管理水平有待进一步提升。</w:t>
      </w:r>
    </w:p>
    <w:p w14:paraId="41F62BAF">
      <w:pPr>
        <w:pStyle w:val="5"/>
        <w:keepNext w:val="0"/>
        <w:keepLines w:val="0"/>
        <w:pageBreakBefore w:val="0"/>
        <w:widowControl w:val="0"/>
        <w:numPr>
          <w:ilvl w:val="0"/>
          <w:numId w:val="2"/>
        </w:numPr>
        <w:shd w:val="clear" w:color="auto" w:fill="auto"/>
        <w:tabs>
          <w:tab w:val="left" w:pos="1116"/>
        </w:tabs>
        <w:kinsoku/>
        <w:wordWrap/>
        <w:overflowPunct/>
        <w:topLinePunct w:val="0"/>
        <w:autoSpaceDE/>
        <w:autoSpaceDN/>
        <w:bidi w:val="0"/>
        <w:adjustRightInd/>
        <w:snapToGrid/>
        <w:spacing w:before="0" w:after="0" w:line="560" w:lineRule="exact"/>
        <w:ind w:left="1042" w:leftChars="0" w:right="0" w:rightChars="0" w:hanging="562" w:firstLineChars="0"/>
        <w:jc w:val="both"/>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highlight w:val="none"/>
          <w:lang w:eastAsia="zh-CN"/>
        </w:rPr>
        <w:t>下一步</w:t>
      </w:r>
      <w:r>
        <w:rPr>
          <w:rFonts w:hint="eastAsia" w:ascii="楷体" w:hAnsi="楷体" w:eastAsia="楷体" w:cs="楷体"/>
          <w:color w:val="000000"/>
          <w:spacing w:val="0"/>
          <w:w w:val="100"/>
          <w:position w:val="0"/>
          <w:sz w:val="32"/>
          <w:szCs w:val="32"/>
          <w:highlight w:val="none"/>
        </w:rPr>
        <w:t>改进措施</w:t>
      </w:r>
      <w:bookmarkStart w:id="5" w:name="bookmark76"/>
      <w:bookmarkEnd w:id="5"/>
    </w:p>
    <w:p w14:paraId="5750B70E">
      <w:pPr>
        <w:pStyle w:val="5"/>
        <w:keepNext w:val="0"/>
        <w:keepLines w:val="0"/>
        <w:widowControl w:val="0"/>
        <w:numPr>
          <w:ilvl w:val="0"/>
          <w:numId w:val="0"/>
        </w:numPr>
        <w:shd w:val="clear" w:color="auto" w:fill="auto"/>
        <w:tabs>
          <w:tab w:val="left" w:pos="900"/>
        </w:tabs>
        <w:bidi w:val="0"/>
        <w:spacing w:before="0" w:after="0" w:line="526" w:lineRule="exact"/>
        <w:ind w:right="0" w:rightChars="0" w:firstLine="640" w:firstLineChars="200"/>
        <w:jc w:val="left"/>
        <w:rPr>
          <w:rFonts w:hint="eastAsia" w:ascii="仿宋" w:hAnsi="仿宋" w:eastAsia="仿宋" w:cs="仿宋"/>
          <w:color w:val="000000"/>
          <w:spacing w:val="0"/>
          <w:w w:val="100"/>
          <w:position w:val="0"/>
          <w:sz w:val="32"/>
          <w:szCs w:val="32"/>
          <w:lang w:val="zh-TW" w:eastAsia="zh-CN"/>
        </w:rPr>
      </w:pPr>
      <w:r>
        <w:rPr>
          <w:rFonts w:hint="eastAsia" w:ascii="仿宋" w:hAnsi="仿宋" w:eastAsia="仿宋" w:cs="仿宋"/>
          <w:color w:val="000000"/>
          <w:spacing w:val="0"/>
          <w:w w:val="100"/>
          <w:position w:val="0"/>
          <w:sz w:val="32"/>
          <w:szCs w:val="32"/>
          <w:lang w:val="zh-TW" w:eastAsia="zh-CN"/>
        </w:rPr>
        <w:t>（</w:t>
      </w:r>
      <w:r>
        <w:rPr>
          <w:rFonts w:hint="eastAsia" w:ascii="仿宋" w:hAnsi="仿宋" w:eastAsia="仿宋" w:cs="仿宋"/>
          <w:color w:val="000000"/>
          <w:spacing w:val="0"/>
          <w:w w:val="100"/>
          <w:position w:val="0"/>
          <w:sz w:val="32"/>
          <w:szCs w:val="32"/>
          <w:lang w:val="en-US" w:eastAsia="zh-CN"/>
        </w:rPr>
        <w:t>1</w:t>
      </w:r>
      <w:r>
        <w:rPr>
          <w:rFonts w:hint="eastAsia" w:ascii="仿宋" w:hAnsi="仿宋" w:eastAsia="仿宋" w:cs="仿宋"/>
          <w:color w:val="000000"/>
          <w:spacing w:val="0"/>
          <w:w w:val="100"/>
          <w:position w:val="0"/>
          <w:sz w:val="32"/>
          <w:szCs w:val="32"/>
          <w:lang w:val="zh-TW" w:eastAsia="zh-CN"/>
        </w:rPr>
        <w:t>）编制科学的绩效目标，完善考核指标</w:t>
      </w:r>
    </w:p>
    <w:p w14:paraId="78835EE3">
      <w:pPr>
        <w:pStyle w:val="5"/>
        <w:keepNext w:val="0"/>
        <w:keepLines w:val="0"/>
        <w:widowControl/>
        <w:numPr>
          <w:ilvl w:val="0"/>
          <w:numId w:val="0"/>
        </w:numPr>
        <w:shd w:val="clear" w:color="auto" w:fill="auto"/>
        <w:tabs>
          <w:tab w:val="left" w:pos="1418"/>
          <w:tab w:val="left" w:pos="7216"/>
          <w:tab w:val="left" w:pos="7302"/>
        </w:tabs>
        <w:bidi w:val="0"/>
        <w:spacing w:before="0" w:after="0" w:line="560" w:lineRule="exact"/>
        <w:ind w:right="0" w:rightChars="0" w:firstLine="640" w:firstLineChars="200"/>
        <w:jc w:val="both"/>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进一步完善部门整体支出年度目标设置，将预算绩效目标设置与工作目标设置相统筹、相衔接，切实做到绩效目标设置具有较强的可操作性和可实现性，从而提高预算编制的科学性、合理性、严谨性和可控性，使其充分反映部门年度实际工作情况。</w:t>
      </w:r>
    </w:p>
    <w:p w14:paraId="605B01D2">
      <w:pPr>
        <w:pStyle w:val="5"/>
        <w:keepNext w:val="0"/>
        <w:keepLines w:val="0"/>
        <w:widowControl w:val="0"/>
        <w:numPr>
          <w:ilvl w:val="0"/>
          <w:numId w:val="3"/>
        </w:numPr>
        <w:shd w:val="clear" w:color="auto" w:fill="auto"/>
        <w:tabs>
          <w:tab w:val="left" w:pos="900"/>
        </w:tabs>
        <w:bidi w:val="0"/>
        <w:spacing w:before="0" w:after="0" w:line="526" w:lineRule="exact"/>
        <w:ind w:right="0" w:rightChars="0"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进一步完善预算管理制度。</w:t>
      </w:r>
    </w:p>
    <w:p w14:paraId="04BA26C8">
      <w:pPr>
        <w:snapToGrid w:val="0"/>
        <w:spacing w:line="560" w:lineRule="exact"/>
        <w:ind w:firstLine="640" w:firstLineChars="200"/>
        <w:jc w:val="both"/>
        <w:rPr>
          <w:rFonts w:hint="eastAsia" w:ascii="仿宋" w:hAnsi="仿宋" w:eastAsia="仿宋" w:cs="宋体"/>
          <w:sz w:val="32"/>
          <w:szCs w:val="32"/>
          <w:lang w:eastAsia="zh-CN" w:bidi="zh-TW"/>
        </w:rPr>
      </w:pPr>
      <w:r>
        <w:rPr>
          <w:rFonts w:hint="eastAsia" w:ascii="仿宋" w:hAnsi="仿宋" w:eastAsia="仿宋" w:cs="宋体"/>
          <w:sz w:val="32"/>
          <w:szCs w:val="32"/>
          <w:lang w:eastAsia="zh-CN" w:bidi="zh-TW"/>
        </w:rPr>
        <w:t>加强预算编制管理，提升预算编制的科学性、真实性和完整性，遵循量入为出、收支平衡的原则。加强预算执行分析，完善预算执行监控，准确预测降低费用支出。</w:t>
      </w:r>
    </w:p>
    <w:p w14:paraId="3A680DD8">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color w:val="000000"/>
          <w:spacing w:val="0"/>
          <w:w w:val="100"/>
          <w:position w:val="0"/>
          <w:sz w:val="32"/>
          <w:szCs w:val="32"/>
          <w:lang w:val="en-US" w:eastAsia="zh-CN"/>
        </w:rPr>
      </w:pPr>
      <w:bookmarkStart w:id="6" w:name="bookmark77"/>
      <w:bookmarkEnd w:id="6"/>
      <w:r>
        <w:rPr>
          <w:rFonts w:hint="eastAsia" w:ascii="楷体" w:hAnsi="楷体" w:eastAsia="楷体" w:cs="楷体"/>
          <w:color w:val="000000"/>
          <w:spacing w:val="0"/>
          <w:w w:val="100"/>
          <w:position w:val="0"/>
          <w:sz w:val="32"/>
          <w:szCs w:val="32"/>
          <w:lang w:val="en-US" w:eastAsia="zh-CN"/>
        </w:rPr>
        <w:t>2.拟与预算安排相结合情况</w:t>
      </w:r>
    </w:p>
    <w:p w14:paraId="6B394841">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sz w:val="32"/>
          <w:szCs w:val="32"/>
          <w:lang w:val="en-US" w:eastAsia="zh-CN"/>
        </w:rPr>
        <w:t>加强预算绩效管理，严格把控绩效目标编制质量，切实做到绩效自评与预算安排相结合；增强单位的绩效自评主体责任意识，制定部门绩效管理办法及项目工作实施方案，建立健全长效机制，完善各项管理制度，促进单位规范使用项目资金，提高资金使用效率，深入推进重点项目绩效自评，做好绩效自评结果应用。</w:t>
      </w:r>
    </w:p>
    <w:p w14:paraId="5CA01307">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附件：2025年部门整体绩效自评表（详见附表）</w:t>
      </w:r>
    </w:p>
    <w:bookmarkEnd w:id="4"/>
    <w:p w14:paraId="4C99F082">
      <w:pPr>
        <w:pStyle w:val="5"/>
        <w:keepNext w:val="0"/>
        <w:keepLines w:val="0"/>
        <w:pageBreakBefore w:val="0"/>
        <w:widowControl w:val="0"/>
        <w:numPr>
          <w:ilvl w:val="0"/>
          <w:numId w:val="1"/>
        </w:numPr>
        <w:shd w:val="clear" w:color="auto" w:fill="auto"/>
        <w:tabs>
          <w:tab w:val="left" w:pos="1116"/>
        </w:tabs>
        <w:kinsoku/>
        <w:wordWrap/>
        <w:overflowPunct/>
        <w:topLinePunct w:val="0"/>
        <w:autoSpaceDE/>
        <w:autoSpaceDN/>
        <w:bidi w:val="0"/>
        <w:adjustRightInd/>
        <w:snapToGrid/>
        <w:spacing w:before="0" w:after="0" w:line="560" w:lineRule="exact"/>
        <w:ind w:left="300" w:leftChars="0" w:right="0" w:rightChars="0" w:firstLine="420" w:firstLineChars="0"/>
        <w:jc w:val="both"/>
        <w:rPr>
          <w:rFonts w:hint="eastAsia" w:ascii="黑体" w:hAnsi="黑体" w:eastAsia="黑体" w:cs="黑体"/>
          <w:b w:val="0"/>
          <w:bCs w:val="0"/>
          <w:sz w:val="32"/>
          <w:szCs w:val="32"/>
          <w:highlight w:val="none"/>
        </w:rPr>
      </w:pPr>
      <w:r>
        <w:rPr>
          <w:rFonts w:hint="eastAsia" w:ascii="黑体" w:hAnsi="黑体" w:eastAsia="黑体" w:cs="黑体"/>
          <w:b w:val="0"/>
          <w:bCs w:val="0"/>
          <w:color w:val="000000"/>
          <w:spacing w:val="0"/>
          <w:w w:val="100"/>
          <w:position w:val="0"/>
          <w:sz w:val="32"/>
          <w:szCs w:val="32"/>
          <w:highlight w:val="none"/>
        </w:rPr>
        <w:t>佐证材料</w:t>
      </w:r>
    </w:p>
    <w:p w14:paraId="2DCFD145">
      <w:pPr>
        <w:pStyle w:val="5"/>
        <w:keepNext w:val="0"/>
        <w:keepLines w:val="0"/>
        <w:pageBreakBefore w:val="0"/>
        <w:widowControl w:val="0"/>
        <w:numPr>
          <w:ilvl w:val="0"/>
          <w:numId w:val="4"/>
        </w:numPr>
        <w:shd w:val="clear" w:color="auto" w:fill="auto"/>
        <w:tabs>
          <w:tab w:val="left" w:pos="1116"/>
        </w:tabs>
        <w:kinsoku/>
        <w:wordWrap/>
        <w:overflowPunct/>
        <w:topLinePunct w:val="0"/>
        <w:autoSpaceDE/>
        <w:autoSpaceDN/>
        <w:bidi w:val="0"/>
        <w:adjustRightInd/>
        <w:snapToGrid/>
        <w:spacing w:before="0" w:after="0" w:line="560" w:lineRule="exact"/>
        <w:ind w:left="1042" w:leftChars="0" w:right="0" w:rightChars="0" w:hanging="562" w:firstLineChars="0"/>
        <w:jc w:val="both"/>
        <w:rPr>
          <w:rFonts w:hint="eastAsia" w:ascii="仿宋" w:hAnsi="仿宋" w:eastAsia="仿宋" w:cs="仿宋"/>
          <w:sz w:val="32"/>
          <w:szCs w:val="32"/>
          <w:highlight w:val="none"/>
        </w:rPr>
      </w:pPr>
      <w:r>
        <w:rPr>
          <w:rFonts w:hint="eastAsia" w:ascii="楷体" w:hAnsi="楷体" w:eastAsia="楷体" w:cs="楷体"/>
          <w:color w:val="000000"/>
          <w:spacing w:val="0"/>
          <w:w w:val="100"/>
          <w:position w:val="0"/>
          <w:sz w:val="32"/>
          <w:szCs w:val="32"/>
          <w:highlight w:val="none"/>
        </w:rPr>
        <w:t>基本情况</w:t>
      </w:r>
    </w:p>
    <w:p w14:paraId="2A662A7A">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sz w:val="32"/>
          <w:szCs w:val="32"/>
          <w:highlight w:val="none"/>
        </w:rPr>
      </w:pPr>
      <w:bookmarkStart w:id="7" w:name="bookmark79"/>
      <w:bookmarkEnd w:id="7"/>
      <w:r>
        <w:rPr>
          <w:rFonts w:hint="eastAsia" w:ascii="楷体" w:hAnsi="楷体" w:eastAsia="楷体" w:cs="楷体"/>
          <w:color w:val="000000"/>
          <w:spacing w:val="0"/>
          <w:w w:val="100"/>
          <w:position w:val="0"/>
          <w:sz w:val="32"/>
          <w:szCs w:val="32"/>
          <w:lang w:val="en-US" w:eastAsia="zh-CN"/>
        </w:rPr>
        <w:t>1.</w:t>
      </w:r>
      <w:r>
        <w:rPr>
          <w:rFonts w:hint="eastAsia" w:ascii="楷体" w:hAnsi="楷体" w:eastAsia="楷体" w:cs="楷体"/>
          <w:color w:val="000000"/>
          <w:spacing w:val="0"/>
          <w:w w:val="100"/>
          <w:position w:val="0"/>
          <w:sz w:val="32"/>
          <w:szCs w:val="32"/>
          <w:highlight w:val="none"/>
        </w:rPr>
        <w:t>部门</w:t>
      </w:r>
      <w:r>
        <w:rPr>
          <w:rFonts w:hint="eastAsia" w:ascii="楷体" w:hAnsi="楷体" w:eastAsia="楷体" w:cs="楷体"/>
          <w:color w:val="000000"/>
          <w:spacing w:val="0"/>
          <w:w w:val="100"/>
          <w:position w:val="0"/>
          <w:sz w:val="32"/>
          <w:szCs w:val="32"/>
          <w:highlight w:val="none"/>
          <w:lang w:eastAsia="zh-CN"/>
        </w:rPr>
        <w:t>支出</w:t>
      </w:r>
      <w:r>
        <w:rPr>
          <w:rFonts w:hint="eastAsia" w:ascii="楷体" w:hAnsi="楷体" w:eastAsia="楷体" w:cs="楷体"/>
          <w:color w:val="000000"/>
          <w:spacing w:val="0"/>
          <w:w w:val="100"/>
          <w:position w:val="0"/>
          <w:sz w:val="32"/>
          <w:szCs w:val="32"/>
          <w:highlight w:val="none"/>
        </w:rPr>
        <w:t>情况</w:t>
      </w:r>
    </w:p>
    <w:p w14:paraId="11DEB54A">
      <w:pPr>
        <w:pStyle w:val="5"/>
        <w:tabs>
          <w:tab w:val="left" w:pos="1418"/>
          <w:tab w:val="left" w:pos="7216"/>
          <w:tab w:val="left" w:pos="7302"/>
        </w:tabs>
        <w:snapToGrid/>
        <w:spacing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慈惠街道办事处2025年预算执行金额87,411.62万元（财政拨款资金支出31,548.09万元，往来资金55,863.53万元），其中：基本支出1,558.11万元，项目支出85,853.51万元。上年决算支出25,240.35万元，其中：基本支出1,616.09万元，项目支出23,624.26万元。基本支出减少57.89万元，项目支出增加62,229.25万元，变动主要原因为往来资金增加。</w:t>
      </w:r>
    </w:p>
    <w:p w14:paraId="0006FDA1">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lang w:val="en-US" w:eastAsia="zh-CN"/>
        </w:rPr>
        <w:t>2.</w:t>
      </w: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年度工作任务</w:t>
      </w:r>
    </w:p>
    <w:p w14:paraId="6DAFB2C6">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2025年慈惠街道办事处年度工作任务情况如下：</w:t>
      </w:r>
    </w:p>
    <w:p w14:paraId="23A8B700">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加快推进项目建设，形成新经济增长点.</w:t>
      </w:r>
    </w:p>
    <w:p w14:paraId="0CF5215F">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加强经济运行调度，分解落实目标进度</w:t>
      </w:r>
    </w:p>
    <w:p w14:paraId="186618AD">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创新招商引资理念，全力打造汉江新城。</w:t>
      </w:r>
    </w:p>
    <w:p w14:paraId="29AF0CA7">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 xml:space="preserve">加强党建引领，创新基层社会治理。                                              </w:t>
      </w:r>
    </w:p>
    <w:p w14:paraId="2A0D774A">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多元协同发展，推动城乡面貌更加美丽</w:t>
      </w:r>
    </w:p>
    <w:p w14:paraId="2F99A943">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继续保持查控违高压态势，铁腕拆违。</w:t>
      </w:r>
    </w:p>
    <w:p w14:paraId="338205B6">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加强全方位公共就业服务，强化民生兜底保障</w:t>
      </w:r>
    </w:p>
    <w:p w14:paraId="49BC2A10">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全力打好污染防治攻坚战。</w:t>
      </w:r>
    </w:p>
    <w:p w14:paraId="06C9868E">
      <w:pPr>
        <w:pStyle w:val="5"/>
        <w:keepNext w:val="0"/>
        <w:keepLines w:val="0"/>
        <w:pageBreakBefore w:val="0"/>
        <w:widowControl/>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0" w:right="0" w:rightChars="0" w:firstLine="640" w:firstLineChars="200"/>
        <w:jc w:val="both"/>
        <w:rPr>
          <w:rFonts w:hint="eastAsia" w:ascii="仿宋" w:hAnsi="仿宋" w:eastAsia="仿宋" w:cs="仿宋"/>
          <w:spacing w:val="0"/>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w:t>
      </w:r>
      <w:r>
        <w:rPr>
          <w:rFonts w:hint="eastAsia" w:ascii="仿宋" w:hAnsi="仿宋" w:eastAsia="仿宋" w:cs="仿宋"/>
          <w:spacing w:val="0"/>
          <w:sz w:val="32"/>
          <w:szCs w:val="32"/>
          <w:lang w:val="en-US" w:eastAsia="zh-CN"/>
        </w:rPr>
        <w:t>全面加强党的建设。</w:t>
      </w:r>
    </w:p>
    <w:p w14:paraId="41A483C2">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3.年度部门整体绩效目标</w:t>
      </w:r>
    </w:p>
    <w:p w14:paraId="3EF53270">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highlight w:val="none"/>
          <w:lang w:val="en-US" w:eastAsia="zh-CN"/>
        </w:rPr>
      </w:pPr>
      <w:bookmarkStart w:id="8" w:name="bookmark81"/>
      <w:r>
        <w:rPr>
          <w:rFonts w:hint="eastAsia" w:ascii="仿宋" w:hAnsi="仿宋" w:eastAsia="仿宋" w:cs="仿宋"/>
          <w:color w:val="000000"/>
          <w:spacing w:val="0"/>
          <w:w w:val="100"/>
          <w:position w:val="0"/>
          <w:sz w:val="32"/>
          <w:szCs w:val="32"/>
          <w:highlight w:val="none"/>
          <w:lang w:val="en-US" w:eastAsia="zh-CN"/>
        </w:rPr>
        <w:t>本项目年度绩效目标主要包括以下2个子目标：</w:t>
      </w:r>
    </w:p>
    <w:p w14:paraId="3E015208">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highlight w:val="none"/>
          <w:lang w:val="en-US" w:eastAsia="zh-CN"/>
        </w:rPr>
        <w:t>年度目标1：保障各部门正常运转，将经费拨付至8家单位，治理村湾数量不少于7个，经费拨付合规、及时，提升辖区居民生活质量，维护社会稳定；保质保量完成惠景九龙湾还建房供水工程尾款支付以及对还建房的审计工作，按时拨付项目尾款及审计费，改善居民居住环境，降低居民生活和工作成本，使群众满意度达90%及以上。</w:t>
      </w:r>
    </w:p>
    <w:p w14:paraId="552F04F2">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年度目标2：及时完成退地内退生活费等补贴以及人员经费的发放，不断提升补贴人员生活质量，保障补贴人员生活，使补贴人员满意度达90%以上；为落实辖区各政策活动，社区基层党组织党史专题学习次数达12次，河湖巡查次数达36次以上，及时完成群众接访工作和基础设施维修工作，维护社会稳定及河湖生态环境，居民群众满意度达95%以上；在年内及时购置1台公务车，确保验收合格率达100%，提高工作效率，保障用车需求，使车辆使用人员满意度达到85%以上。</w:t>
      </w:r>
    </w:p>
    <w:bookmarkEnd w:id="8"/>
    <w:p w14:paraId="2BC9D31D">
      <w:pPr>
        <w:pStyle w:val="5"/>
        <w:keepNext w:val="0"/>
        <w:keepLines w:val="0"/>
        <w:pageBreakBefore w:val="0"/>
        <w:widowControl w:val="0"/>
        <w:numPr>
          <w:ilvl w:val="0"/>
          <w:numId w:val="4"/>
        </w:numPr>
        <w:shd w:val="clear" w:color="auto" w:fill="auto"/>
        <w:tabs>
          <w:tab w:val="left" w:pos="1116"/>
        </w:tabs>
        <w:kinsoku/>
        <w:wordWrap/>
        <w:overflowPunct/>
        <w:topLinePunct w:val="0"/>
        <w:autoSpaceDE/>
        <w:autoSpaceDN/>
        <w:bidi w:val="0"/>
        <w:adjustRightInd/>
        <w:snapToGrid/>
        <w:spacing w:before="0" w:after="0" w:line="560" w:lineRule="exact"/>
        <w:ind w:left="1042" w:leftChars="0" w:right="0" w:rightChars="0" w:hanging="562" w:firstLineChars="0"/>
        <w:jc w:val="both"/>
        <w:rPr>
          <w:rFonts w:hint="eastAsia" w:ascii="楷体" w:hAnsi="楷体" w:eastAsia="楷体" w:cs="楷体"/>
          <w:sz w:val="32"/>
          <w:szCs w:val="32"/>
          <w:highlight w:val="none"/>
        </w:rPr>
      </w:pPr>
      <w:r>
        <w:rPr>
          <w:rFonts w:hint="eastAsia" w:ascii="楷体" w:hAnsi="楷体" w:eastAsia="楷体" w:cs="楷体"/>
          <w:color w:val="000000"/>
          <w:spacing w:val="0"/>
          <w:w w:val="100"/>
          <w:position w:val="0"/>
          <w:sz w:val="32"/>
          <w:szCs w:val="32"/>
          <w:highlight w:val="none"/>
        </w:rPr>
        <w:t>部门自评工作开展情况</w:t>
      </w:r>
    </w:p>
    <w:p w14:paraId="7FE2BF07">
      <w:pPr>
        <w:pStyle w:val="5"/>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1.前期准备阶段</w:t>
      </w:r>
    </w:p>
    <w:p w14:paraId="37EB196B">
      <w:pPr>
        <w:pStyle w:val="5"/>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2026年3月，武汉市东西湖区人民政府慈惠街道办事处依照区财政局《关于开展2025年度预算绩效自评及结果应用工作的通知》开展财政支出绩效自评工作的要求，确定2025年度项目支出的预算资金作为武汉市东西湖区人民政府慈惠街道办事处自评的对象，在组建武汉市东西湖区人民政府慈惠街道办事处2025年度绩效自评工作督导小组的基础上成立了本次项目的自评小组，自评小组通过进一步明确本次项目绩效自评工作的目标、任务、自评方法和资料收集方法，确定了项目绩效自评工作开展的方向和重点，形成了本次项目完整的绩效自评工作方案。</w:t>
      </w:r>
    </w:p>
    <w:p w14:paraId="0F27D5CD">
      <w:pPr>
        <w:pStyle w:val="5"/>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2.具体组织过程</w:t>
      </w:r>
    </w:p>
    <w:p w14:paraId="201C3EA2">
      <w:pPr>
        <w:pStyle w:val="5"/>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项目绩效自评工作方案，自评小组从2026年3月20日开始系统收集了本项目执行过程的资料。在系统收集项目相关资料的基础上，自评小组对所收到的项目基础资料一一进行了核实，同时通过人员访问和问卷调查收集满意度指标所需要的相关资料。对照预算文本中设置的各绩效指标年度指标值，结合具体完成情况对这些指标进行了逐一分析，根据湖北省财政厅项目支出绩效自评标准，合理分配各绩效指标的分值后建立项目支出绩效自评的自评体系，在此基础上完成了对本项目的综合分析自评，自评小组对初步确定的项目支出绩效自评结果进行逐级复核、汇总、分析，核查自评工作中是否存在重复和遗漏的情况；在此基础上，撰写部门项目支出绩效自评报告初稿。与项目支出负责部门充分交换意见，并作必要修改后，在规定的时间内提交正式绩效自评报告。</w:t>
      </w:r>
    </w:p>
    <w:p w14:paraId="2BD23CE0">
      <w:pPr>
        <w:pStyle w:val="5"/>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3.撰写项目绩效自评报告</w:t>
      </w:r>
    </w:p>
    <w:p w14:paraId="380E25A5">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根据整理分析基础上评分，形成综合自评结果。</w:t>
      </w:r>
    </w:p>
    <w:p w14:paraId="40DA40F6">
      <w:pPr>
        <w:pStyle w:val="5"/>
        <w:keepNext w:val="0"/>
        <w:keepLines w:val="0"/>
        <w:pageBreakBefore w:val="0"/>
        <w:widowControl w:val="0"/>
        <w:numPr>
          <w:ilvl w:val="0"/>
          <w:numId w:val="4"/>
        </w:numPr>
        <w:shd w:val="clear" w:color="auto" w:fill="auto"/>
        <w:tabs>
          <w:tab w:val="left" w:pos="1116"/>
        </w:tabs>
        <w:kinsoku/>
        <w:wordWrap/>
        <w:overflowPunct/>
        <w:topLinePunct w:val="0"/>
        <w:autoSpaceDE/>
        <w:autoSpaceDN/>
        <w:bidi w:val="0"/>
        <w:adjustRightInd/>
        <w:snapToGrid/>
        <w:spacing w:before="0" w:after="0" w:line="560" w:lineRule="exact"/>
        <w:ind w:left="1042" w:leftChars="0" w:right="0" w:rightChars="0" w:hanging="562" w:firstLineChars="0"/>
        <w:jc w:val="both"/>
        <w:rPr>
          <w:rFonts w:hint="eastAsia" w:ascii="仿宋" w:hAnsi="仿宋" w:eastAsia="仿宋" w:cs="仿宋"/>
          <w:sz w:val="32"/>
          <w:szCs w:val="32"/>
          <w:highlight w:val="none"/>
        </w:rPr>
      </w:pPr>
      <w:r>
        <w:rPr>
          <w:rFonts w:hint="eastAsia" w:ascii="楷体" w:hAnsi="楷体" w:eastAsia="楷体" w:cs="楷体"/>
          <w:color w:val="000000"/>
          <w:spacing w:val="0"/>
          <w:w w:val="100"/>
          <w:position w:val="0"/>
          <w:sz w:val="32"/>
          <w:szCs w:val="32"/>
          <w:highlight w:val="none"/>
        </w:rPr>
        <w:t>绩效目标完成情况分析</w:t>
      </w:r>
    </w:p>
    <w:p w14:paraId="2F8DAF0F">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color w:val="000000"/>
          <w:spacing w:val="0"/>
          <w:w w:val="100"/>
          <w:position w:val="0"/>
          <w:sz w:val="32"/>
          <w:szCs w:val="32"/>
          <w:highlight w:val="none"/>
          <w:u w:val="none"/>
          <w:shd w:val="clear" w:color="auto" w:fill="auto"/>
          <w:lang w:val="zh-TW" w:eastAsia="zh-TW" w:bidi="zh-TW"/>
        </w:rPr>
      </w:pPr>
      <w:bookmarkStart w:id="9" w:name="bookmark83"/>
      <w:bookmarkEnd w:id="9"/>
      <w:r>
        <w:rPr>
          <w:rFonts w:hint="eastAsia" w:ascii="楷体" w:hAnsi="楷体" w:eastAsia="楷体" w:cs="楷体"/>
          <w:color w:val="000000"/>
          <w:spacing w:val="0"/>
          <w:w w:val="100"/>
          <w:position w:val="0"/>
          <w:sz w:val="32"/>
          <w:szCs w:val="32"/>
          <w:lang w:val="en-US" w:eastAsia="zh-CN"/>
        </w:rPr>
        <w:t>1.</w:t>
      </w:r>
      <w:r>
        <w:rPr>
          <w:rFonts w:hint="eastAsia" w:ascii="楷体" w:hAnsi="楷体" w:eastAsia="楷体" w:cs="楷体"/>
          <w:color w:val="000000"/>
          <w:spacing w:val="0"/>
          <w:w w:val="100"/>
          <w:position w:val="0"/>
          <w:sz w:val="32"/>
          <w:szCs w:val="32"/>
          <w:highlight w:val="none"/>
        </w:rPr>
        <w:t>预算执行情况分析</w:t>
      </w:r>
    </w:p>
    <w:p w14:paraId="1ECC79C8">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spacing w:val="0"/>
          <w:w w:val="100"/>
          <w:position w:val="0"/>
          <w:sz w:val="32"/>
          <w:szCs w:val="32"/>
          <w:highlight w:val="none"/>
          <w:lang w:val="zh-TW" w:eastAsia="zh-CN"/>
        </w:rPr>
      </w:pPr>
      <w:r>
        <w:rPr>
          <w:rFonts w:hint="eastAsia" w:ascii="仿宋" w:hAnsi="仿宋" w:eastAsia="仿宋" w:cs="仿宋"/>
          <w:sz w:val="32"/>
          <w:szCs w:val="32"/>
          <w:highlight w:val="none"/>
          <w:lang w:eastAsia="zh-CN"/>
        </w:rPr>
        <w:t>2025年年初预算资金8545.32万元，年中追加预算资金80,206.69万元，预算资金合计88,752.01万元，实际支出执行数87,411.62万元（其中：财政拨款支出31,548.09万元，往来资金支出55,863.53万元），预算执行率为98%。</w:t>
      </w:r>
      <w:r>
        <w:rPr>
          <w:rFonts w:hint="eastAsia" w:ascii="仿宋" w:hAnsi="仿宋" w:eastAsia="仿宋" w:cs="仿宋"/>
          <w:sz w:val="32"/>
          <w:szCs w:val="32"/>
          <w:highlight w:val="none"/>
          <w:lang w:val="zh-TW" w:eastAsia="zh-CN"/>
        </w:rPr>
        <w:t>该指标设置分值为20分，</w:t>
      </w:r>
      <w:r>
        <w:rPr>
          <w:rFonts w:hint="eastAsia" w:ascii="仿宋" w:hAnsi="仿宋" w:eastAsia="仿宋" w:cs="仿宋"/>
          <w:sz w:val="32"/>
          <w:szCs w:val="32"/>
          <w:highlight w:val="none"/>
          <w:lang w:val="en-US" w:eastAsia="zh-CN"/>
        </w:rPr>
        <w:t>评价</w:t>
      </w:r>
      <w:r>
        <w:rPr>
          <w:rFonts w:hint="eastAsia" w:ascii="仿宋" w:hAnsi="仿宋" w:eastAsia="仿宋" w:cs="仿宋"/>
          <w:sz w:val="32"/>
          <w:szCs w:val="32"/>
          <w:highlight w:val="none"/>
          <w:lang w:val="zh-TW" w:eastAsia="zh-CN"/>
        </w:rPr>
        <w:t>得</w:t>
      </w:r>
      <w:r>
        <w:rPr>
          <w:rFonts w:hint="eastAsia" w:ascii="仿宋" w:hAnsi="仿宋" w:eastAsia="仿宋" w:cs="仿宋"/>
          <w:sz w:val="32"/>
          <w:szCs w:val="32"/>
          <w:highlight w:val="none"/>
          <w:lang w:eastAsia="zh-CN"/>
        </w:rPr>
        <w:t>19.70</w:t>
      </w:r>
      <w:r>
        <w:rPr>
          <w:rFonts w:hint="eastAsia" w:ascii="仿宋" w:hAnsi="仿宋" w:eastAsia="仿宋" w:cs="仿宋"/>
          <w:sz w:val="32"/>
          <w:szCs w:val="32"/>
          <w:highlight w:val="none"/>
          <w:lang w:val="zh-TW" w:eastAsia="zh-CN"/>
        </w:rPr>
        <w:t>分。</w:t>
      </w:r>
    </w:p>
    <w:p w14:paraId="03AE6BC3">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right="0" w:rightChars="0" w:firstLine="640" w:firstLineChars="200"/>
        <w:jc w:val="both"/>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bookmarkStart w:id="10" w:name="bookmark84"/>
      <w:bookmarkEnd w:id="10"/>
      <w:r>
        <w:rPr>
          <w:rFonts w:hint="eastAsia" w:ascii="楷体" w:hAnsi="楷体" w:eastAsia="楷体" w:cs="楷体"/>
          <w:color w:val="000000"/>
          <w:spacing w:val="0"/>
          <w:w w:val="100"/>
          <w:position w:val="0"/>
          <w:sz w:val="32"/>
          <w:szCs w:val="32"/>
          <w:lang w:val="en-US" w:eastAsia="zh-CN"/>
        </w:rPr>
        <w:t>2.</w:t>
      </w:r>
      <w:r>
        <w:rPr>
          <w:rFonts w:hint="eastAsia" w:ascii="楷体" w:hAnsi="楷体" w:eastAsia="楷体" w:cs="楷体"/>
          <w:color w:val="000000"/>
          <w:spacing w:val="0"/>
          <w:w w:val="100"/>
          <w:position w:val="0"/>
          <w:sz w:val="32"/>
          <w:szCs w:val="32"/>
          <w:highlight w:val="none"/>
        </w:rPr>
        <w:t>绩效</w:t>
      </w:r>
      <w:r>
        <w:rPr>
          <w:rFonts w:hint="eastAsia" w:ascii="楷体" w:hAnsi="楷体" w:eastAsia="楷体" w:cs="楷体"/>
          <w:color w:val="000000"/>
          <w:spacing w:val="0"/>
          <w:w w:val="100"/>
          <w:position w:val="0"/>
          <w:sz w:val="32"/>
          <w:szCs w:val="32"/>
          <w:highlight w:val="none"/>
          <w:u w:val="none"/>
          <w:shd w:val="clear" w:color="auto" w:fill="auto"/>
          <w:lang w:val="zh-TW" w:eastAsia="zh-TW" w:bidi="zh-TW"/>
        </w:rPr>
        <w:t>目标完成情况分析</w:t>
      </w:r>
    </w:p>
    <w:p w14:paraId="05A3E761">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eastAsia" w:ascii="楷体" w:hAnsi="楷体" w:eastAsia="楷体" w:cs="楷体"/>
          <w:color w:val="000000"/>
          <w:spacing w:val="0"/>
          <w:w w:val="100"/>
          <w:kern w:val="0"/>
          <w:position w:val="0"/>
          <w:sz w:val="32"/>
          <w:szCs w:val="32"/>
          <w:highlight w:val="none"/>
          <w:shd w:val="clear" w:color="auto" w:fill="auto"/>
          <w:lang w:val="zh-TW" w:eastAsia="zh-TW" w:bidi="ar-SA"/>
        </w:rPr>
      </w:pPr>
      <w:r>
        <w:rPr>
          <w:rFonts w:hint="eastAsia" w:ascii="楷体" w:hAnsi="楷体" w:eastAsia="楷体" w:cs="楷体"/>
          <w:color w:val="000000"/>
          <w:spacing w:val="0"/>
          <w:w w:val="100"/>
          <w:kern w:val="0"/>
          <w:position w:val="0"/>
          <w:sz w:val="32"/>
          <w:szCs w:val="32"/>
          <w:highlight w:val="none"/>
          <w:shd w:val="clear" w:color="auto" w:fill="auto"/>
          <w:lang w:val="zh-TW" w:eastAsia="zh-CN" w:bidi="ar-SA"/>
        </w:rPr>
        <w:t>（</w:t>
      </w:r>
      <w:r>
        <w:rPr>
          <w:rFonts w:hint="eastAsia" w:ascii="楷体" w:hAnsi="楷体" w:eastAsia="楷体" w:cs="楷体"/>
          <w:color w:val="000000"/>
          <w:spacing w:val="0"/>
          <w:w w:val="100"/>
          <w:kern w:val="0"/>
          <w:position w:val="0"/>
          <w:sz w:val="32"/>
          <w:szCs w:val="32"/>
          <w:highlight w:val="none"/>
          <w:shd w:val="clear" w:color="auto" w:fill="auto"/>
          <w:lang w:val="en-US" w:eastAsia="zh-CN" w:bidi="ar-SA"/>
        </w:rPr>
        <w:t>1</w:t>
      </w:r>
      <w:r>
        <w:rPr>
          <w:rFonts w:hint="eastAsia" w:ascii="楷体" w:hAnsi="楷体" w:eastAsia="楷体" w:cs="楷体"/>
          <w:color w:val="000000"/>
          <w:spacing w:val="0"/>
          <w:w w:val="100"/>
          <w:kern w:val="0"/>
          <w:position w:val="0"/>
          <w:sz w:val="32"/>
          <w:szCs w:val="32"/>
          <w:highlight w:val="none"/>
          <w:shd w:val="clear" w:color="auto" w:fill="auto"/>
          <w:lang w:val="zh-TW" w:eastAsia="zh-CN" w:bidi="ar-SA"/>
        </w:rPr>
        <w:t>）年度</w:t>
      </w:r>
      <w:r>
        <w:rPr>
          <w:rFonts w:hint="eastAsia" w:ascii="楷体" w:hAnsi="楷体" w:eastAsia="楷体" w:cs="楷体"/>
          <w:color w:val="000000"/>
          <w:spacing w:val="0"/>
          <w:w w:val="100"/>
          <w:kern w:val="0"/>
          <w:position w:val="0"/>
          <w:sz w:val="32"/>
          <w:szCs w:val="32"/>
          <w:highlight w:val="none"/>
          <w:shd w:val="clear" w:color="auto" w:fill="auto"/>
          <w:lang w:val="zh-TW" w:eastAsia="zh-TW" w:bidi="ar-SA"/>
        </w:rPr>
        <w:t>绩效目标</w:t>
      </w:r>
      <w:r>
        <w:rPr>
          <w:rFonts w:hint="eastAsia" w:ascii="楷体" w:hAnsi="楷体" w:eastAsia="楷体" w:cs="楷体"/>
          <w:color w:val="000000"/>
          <w:spacing w:val="0"/>
          <w:w w:val="100"/>
          <w:kern w:val="0"/>
          <w:position w:val="0"/>
          <w:sz w:val="32"/>
          <w:szCs w:val="32"/>
          <w:highlight w:val="none"/>
          <w:shd w:val="clear" w:color="auto" w:fill="auto"/>
          <w:lang w:val="en-US" w:eastAsia="zh-CN" w:bidi="ar-SA"/>
        </w:rPr>
        <w:t>1</w:t>
      </w:r>
      <w:r>
        <w:rPr>
          <w:rFonts w:hint="eastAsia" w:ascii="楷体" w:hAnsi="楷体" w:eastAsia="楷体" w:cs="楷体"/>
          <w:color w:val="000000"/>
          <w:spacing w:val="0"/>
          <w:w w:val="100"/>
          <w:kern w:val="0"/>
          <w:position w:val="0"/>
          <w:sz w:val="32"/>
          <w:szCs w:val="32"/>
          <w:highlight w:val="none"/>
          <w:shd w:val="clear" w:color="auto" w:fill="auto"/>
          <w:lang w:val="zh-TW" w:eastAsia="zh-TW" w:bidi="ar-SA"/>
        </w:rPr>
        <w:t>完成情况分析</w:t>
      </w:r>
    </w:p>
    <w:p w14:paraId="4389E6EF">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年度绩效目标1：保障各部门正常运转，将经费拨付至8家单位，治理村湾数量不少于7个，经费拨付合规、及时，提升辖区居民生活质量，维护社会稳定；保质保量完成惠景九龙湾还建房供水工程尾款支付以及对还建房的审计工作，按时拨付项目尾款及审计费，改善居民居住环境，降低居民生活和工作成本，使群众满意度达90%及以上。</w:t>
      </w:r>
    </w:p>
    <w:tbl>
      <w:tblPr>
        <w:tblStyle w:val="3"/>
        <w:tblW w:w="900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3"/>
        <w:gridCol w:w="989"/>
        <w:gridCol w:w="2072"/>
        <w:gridCol w:w="989"/>
        <w:gridCol w:w="1139"/>
        <w:gridCol w:w="940"/>
        <w:gridCol w:w="849"/>
        <w:gridCol w:w="1129"/>
      </w:tblGrid>
      <w:tr w14:paraId="0478A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94" w:type="dxa"/>
            <w:tcBorders>
              <w:top w:val="single" w:color="000000" w:sz="4" w:space="0"/>
              <w:left w:val="single" w:color="000000" w:sz="4" w:space="0"/>
              <w:bottom w:val="single" w:color="000000" w:sz="4" w:space="0"/>
              <w:right w:val="single" w:color="000000" w:sz="4" w:space="0"/>
            </w:tcBorders>
            <w:noWrap w:val="0"/>
            <w:vAlign w:val="center"/>
          </w:tcPr>
          <w:p w14:paraId="6B6F18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一级指标</w:t>
            </w:r>
          </w:p>
        </w:tc>
        <w:tc>
          <w:tcPr>
            <w:tcW w:w="990" w:type="dxa"/>
            <w:tcBorders>
              <w:top w:val="single" w:color="000000" w:sz="4" w:space="0"/>
              <w:left w:val="nil"/>
              <w:bottom w:val="single" w:color="000000" w:sz="4" w:space="0"/>
              <w:right w:val="single" w:color="000000" w:sz="4" w:space="0"/>
            </w:tcBorders>
            <w:noWrap w:val="0"/>
            <w:vAlign w:val="center"/>
          </w:tcPr>
          <w:p w14:paraId="2DCB94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二级指标</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2EA1C7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三级指标</w:t>
            </w:r>
          </w:p>
        </w:tc>
        <w:tc>
          <w:tcPr>
            <w:tcW w:w="990" w:type="dxa"/>
            <w:tcBorders>
              <w:top w:val="single" w:color="000000" w:sz="4" w:space="0"/>
              <w:left w:val="single" w:color="000000" w:sz="4" w:space="0"/>
              <w:bottom w:val="nil"/>
              <w:right w:val="single" w:color="000000" w:sz="4" w:space="0"/>
            </w:tcBorders>
            <w:noWrap w:val="0"/>
            <w:vAlign w:val="center"/>
          </w:tcPr>
          <w:p w14:paraId="794A8D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年初目标值（A）</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AB09F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年中追加数+/调减数-（B）</w:t>
            </w:r>
          </w:p>
        </w:tc>
        <w:tc>
          <w:tcPr>
            <w:tcW w:w="940" w:type="dxa"/>
            <w:tcBorders>
              <w:top w:val="single" w:color="000000" w:sz="4" w:space="0"/>
              <w:left w:val="single" w:color="000000" w:sz="4" w:space="0"/>
              <w:bottom w:val="nil"/>
              <w:right w:val="single" w:color="000000" w:sz="4" w:space="0"/>
            </w:tcBorders>
            <w:noWrap w:val="0"/>
            <w:vAlign w:val="center"/>
          </w:tcPr>
          <w:p w14:paraId="1E08DC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小计（C）</w:t>
            </w:r>
          </w:p>
        </w:tc>
        <w:tc>
          <w:tcPr>
            <w:tcW w:w="850" w:type="dxa"/>
            <w:tcBorders>
              <w:top w:val="single" w:color="000000" w:sz="4" w:space="0"/>
              <w:left w:val="single" w:color="000000" w:sz="4" w:space="0"/>
              <w:bottom w:val="nil"/>
              <w:right w:val="single" w:color="000000" w:sz="4" w:space="0"/>
            </w:tcBorders>
            <w:noWrap w:val="0"/>
            <w:vAlign w:val="center"/>
          </w:tcPr>
          <w:p w14:paraId="344C7C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实际完成(D)</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025020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得分</w:t>
            </w:r>
          </w:p>
        </w:tc>
      </w:tr>
      <w:tr w14:paraId="6E15E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94" w:type="dxa"/>
            <w:vMerge w:val="restart"/>
            <w:tcBorders>
              <w:top w:val="single" w:color="000000" w:sz="4" w:space="0"/>
              <w:left w:val="single" w:color="000000" w:sz="4" w:space="0"/>
              <w:bottom w:val="single" w:color="000000" w:sz="4" w:space="0"/>
              <w:right w:val="single" w:color="000000" w:sz="4" w:space="0"/>
            </w:tcBorders>
            <w:noWrap w:val="0"/>
            <w:vAlign w:val="center"/>
          </w:tcPr>
          <w:p w14:paraId="117DB3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成本指标（10分）</w:t>
            </w:r>
          </w:p>
        </w:tc>
        <w:tc>
          <w:tcPr>
            <w:tcW w:w="990" w:type="dxa"/>
            <w:tcBorders>
              <w:top w:val="single" w:color="000000" w:sz="4" w:space="0"/>
              <w:left w:val="nil"/>
              <w:bottom w:val="single" w:color="000000" w:sz="4" w:space="0"/>
              <w:right w:val="single" w:color="000000" w:sz="4" w:space="0"/>
            </w:tcBorders>
            <w:noWrap w:val="0"/>
            <w:vAlign w:val="center"/>
          </w:tcPr>
          <w:p w14:paraId="5D8AE8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经济成本指标（</w:t>
            </w:r>
            <w:r>
              <w:rPr>
                <w:rFonts w:ascii="Calibri" w:hAnsi="Calibri" w:eastAsia="宋体" w:cs="Calibri"/>
                <w:i w:val="0"/>
                <w:iCs w:val="0"/>
                <w:color w:val="000000"/>
                <w:spacing w:val="0"/>
                <w:w w:val="100"/>
                <w:kern w:val="0"/>
                <w:position w:val="0"/>
                <w:sz w:val="21"/>
                <w:szCs w:val="21"/>
                <w:u w:val="none"/>
                <w:shd w:val="clear" w:color="auto" w:fill="auto"/>
                <w:lang w:val="en-US" w:eastAsia="zh-CN" w:bidi="ar"/>
              </w:rPr>
              <w:t>5</w:t>
            </w: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分）</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4078CD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经费拨付标准（5分）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71965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不超应付标准</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5C6D548F">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BD748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不超应付标准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CAAAB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不超应付标准</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1A23E0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5</w:t>
            </w:r>
          </w:p>
        </w:tc>
      </w:tr>
      <w:tr w14:paraId="53BB4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8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89F65">
            <w:pPr>
              <w:jc w:val="center"/>
              <w:rPr>
                <w:rFonts w:hint="eastAsia" w:ascii="宋体" w:hAnsi="宋体" w:eastAsia="宋体" w:cs="宋体"/>
                <w:i w:val="0"/>
                <w:iCs w:val="0"/>
                <w:color w:val="000000"/>
                <w:sz w:val="21"/>
                <w:szCs w:val="21"/>
                <w:u w:val="none"/>
              </w:rPr>
            </w:pPr>
          </w:p>
        </w:tc>
        <w:tc>
          <w:tcPr>
            <w:tcW w:w="990" w:type="dxa"/>
            <w:tcBorders>
              <w:top w:val="single" w:color="000000" w:sz="4" w:space="0"/>
              <w:left w:val="nil"/>
              <w:bottom w:val="single" w:color="000000" w:sz="4" w:space="0"/>
              <w:right w:val="single" w:color="000000" w:sz="4" w:space="0"/>
            </w:tcBorders>
            <w:noWrap w:val="0"/>
            <w:vAlign w:val="center"/>
          </w:tcPr>
          <w:p w14:paraId="15246A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社会成本指标（5分）</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1E7134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居民生活和工作成本（5分）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2FD94F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降低</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A139B52">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7EA2E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降低</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9C186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降低</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E4AA8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4</w:t>
            </w:r>
          </w:p>
        </w:tc>
      </w:tr>
      <w:tr w14:paraId="5CAE0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restart"/>
            <w:tcBorders>
              <w:top w:val="single" w:color="000000" w:sz="4" w:space="0"/>
              <w:left w:val="single" w:color="000000" w:sz="4" w:space="0"/>
              <w:bottom w:val="nil"/>
              <w:right w:val="single" w:color="000000" w:sz="4" w:space="0"/>
            </w:tcBorders>
            <w:noWrap w:val="0"/>
            <w:vAlign w:val="center"/>
          </w:tcPr>
          <w:p w14:paraId="453EF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产出指标（10分）</w:t>
            </w:r>
          </w:p>
        </w:tc>
        <w:tc>
          <w:tcPr>
            <w:tcW w:w="990" w:type="dxa"/>
            <w:vMerge w:val="restart"/>
            <w:tcBorders>
              <w:top w:val="single" w:color="000000" w:sz="4" w:space="0"/>
              <w:left w:val="single" w:color="000000" w:sz="4" w:space="0"/>
              <w:bottom w:val="nil"/>
              <w:right w:val="single" w:color="000000" w:sz="4" w:space="0"/>
            </w:tcBorders>
            <w:noWrap w:val="0"/>
            <w:vAlign w:val="center"/>
          </w:tcPr>
          <w:p w14:paraId="5BF216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数量指标(4分)</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39B2BA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经费拨付数量（1分）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208BC4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≥7家</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328B991">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395BB7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≥7家</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A7E0F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8家</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7941D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w:t>
            </w:r>
          </w:p>
        </w:tc>
      </w:tr>
      <w:tr w14:paraId="167AA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nil"/>
              <w:right w:val="single" w:color="000000" w:sz="4" w:space="0"/>
            </w:tcBorders>
            <w:noWrap w:val="0"/>
            <w:vAlign w:val="center"/>
          </w:tcPr>
          <w:p w14:paraId="168ECBCC">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nil"/>
              <w:right w:val="single" w:color="000000" w:sz="4" w:space="0"/>
            </w:tcBorders>
            <w:noWrap w:val="0"/>
            <w:vAlign w:val="center"/>
          </w:tcPr>
          <w:p w14:paraId="5C68CC23">
            <w:pPr>
              <w:jc w:val="center"/>
              <w:rPr>
                <w:rFonts w:hint="eastAsia" w:ascii="宋体" w:hAnsi="宋体" w:eastAsia="宋体" w:cs="宋体"/>
                <w:i w:val="0"/>
                <w:iCs w:val="0"/>
                <w:color w:val="000000"/>
                <w:sz w:val="20"/>
                <w:szCs w:val="20"/>
                <w:u w:val="none"/>
              </w:rPr>
            </w:pP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1E67CA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村湾环境治理数量（1分）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619BB6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≥7个</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2966653C">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63634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≥7个</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63FC0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17</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137B0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w:t>
            </w:r>
          </w:p>
        </w:tc>
      </w:tr>
      <w:tr w14:paraId="3C5B4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nil"/>
              <w:right w:val="single" w:color="000000" w:sz="4" w:space="0"/>
            </w:tcBorders>
            <w:noWrap w:val="0"/>
            <w:vAlign w:val="center"/>
          </w:tcPr>
          <w:p w14:paraId="0B35ADDD">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nil"/>
              <w:right w:val="single" w:color="000000" w:sz="4" w:space="0"/>
            </w:tcBorders>
            <w:noWrap w:val="0"/>
            <w:vAlign w:val="center"/>
          </w:tcPr>
          <w:p w14:paraId="72B723D3">
            <w:pPr>
              <w:jc w:val="center"/>
              <w:rPr>
                <w:rFonts w:hint="eastAsia" w:ascii="宋体" w:hAnsi="宋体" w:eastAsia="宋体" w:cs="宋体"/>
                <w:i w:val="0"/>
                <w:iCs w:val="0"/>
                <w:color w:val="000000"/>
                <w:sz w:val="20"/>
                <w:szCs w:val="20"/>
                <w:u w:val="none"/>
              </w:rPr>
            </w:pP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5226AC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解决资金缺口完成率（1分）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D6BF8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15DC6D0">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1BF328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06A10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008CE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w:t>
            </w:r>
          </w:p>
        </w:tc>
      </w:tr>
      <w:tr w14:paraId="524CF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nil"/>
              <w:right w:val="single" w:color="000000" w:sz="4" w:space="0"/>
            </w:tcBorders>
            <w:noWrap w:val="0"/>
            <w:vAlign w:val="center"/>
          </w:tcPr>
          <w:p w14:paraId="0045573F">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nil"/>
              <w:right w:val="single" w:color="000000" w:sz="4" w:space="0"/>
            </w:tcBorders>
            <w:noWrap w:val="0"/>
            <w:vAlign w:val="center"/>
          </w:tcPr>
          <w:p w14:paraId="3E6A48BA">
            <w:pPr>
              <w:jc w:val="center"/>
              <w:rPr>
                <w:rFonts w:hint="eastAsia" w:ascii="宋体" w:hAnsi="宋体" w:eastAsia="宋体" w:cs="宋体"/>
                <w:i w:val="0"/>
                <w:iCs w:val="0"/>
                <w:color w:val="000000"/>
                <w:sz w:val="20"/>
                <w:szCs w:val="20"/>
                <w:u w:val="none"/>
              </w:rPr>
            </w:pP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7B1326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审计工作完成率（1分）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30F267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E2FE022">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5DE718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05368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D9195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w:t>
            </w:r>
          </w:p>
        </w:tc>
      </w:tr>
      <w:tr w14:paraId="232B5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nil"/>
              <w:right w:val="single" w:color="000000" w:sz="4" w:space="0"/>
            </w:tcBorders>
            <w:noWrap w:val="0"/>
            <w:vAlign w:val="center"/>
          </w:tcPr>
          <w:p w14:paraId="004CB691">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nil"/>
              <w:right w:val="single" w:color="000000" w:sz="4" w:space="0"/>
            </w:tcBorders>
            <w:noWrap w:val="0"/>
            <w:vAlign w:val="center"/>
          </w:tcPr>
          <w:p w14:paraId="182D9E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质量指标（3分）</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040F3A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经费拨付合规率（1.5分）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45040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DAF2F71">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488EC8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4FAC0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11976E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1.5</w:t>
            </w:r>
          </w:p>
        </w:tc>
      </w:tr>
      <w:tr w14:paraId="5987B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nil"/>
              <w:right w:val="single" w:color="000000" w:sz="4" w:space="0"/>
            </w:tcBorders>
            <w:noWrap w:val="0"/>
            <w:vAlign w:val="center"/>
          </w:tcPr>
          <w:p w14:paraId="1A27F92E">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nil"/>
              <w:right w:val="single" w:color="000000" w:sz="4" w:space="0"/>
            </w:tcBorders>
            <w:noWrap w:val="0"/>
            <w:vAlign w:val="center"/>
          </w:tcPr>
          <w:p w14:paraId="6C37CEB4">
            <w:pPr>
              <w:jc w:val="center"/>
              <w:rPr>
                <w:rFonts w:hint="eastAsia" w:ascii="宋体" w:hAnsi="宋体" w:eastAsia="宋体" w:cs="宋体"/>
                <w:i w:val="0"/>
                <w:iCs w:val="0"/>
                <w:color w:val="000000"/>
                <w:sz w:val="20"/>
                <w:szCs w:val="20"/>
                <w:u w:val="none"/>
              </w:rPr>
            </w:pP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423CFD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供水工程验收合规性（1.5分）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6601BE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合格</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7E2090D">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1C462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合格</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F17E8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合格</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C6782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1.5</w:t>
            </w:r>
          </w:p>
        </w:tc>
      </w:tr>
      <w:tr w14:paraId="59BA4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nil"/>
              <w:right w:val="single" w:color="000000" w:sz="4" w:space="0"/>
            </w:tcBorders>
            <w:noWrap w:val="0"/>
            <w:vAlign w:val="center"/>
          </w:tcPr>
          <w:p w14:paraId="51E15AE3">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nil"/>
              <w:right w:val="single" w:color="000000" w:sz="4" w:space="0"/>
            </w:tcBorders>
            <w:noWrap w:val="0"/>
            <w:vAlign w:val="center"/>
          </w:tcPr>
          <w:p w14:paraId="7F661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时效指标（3分）</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4F48B7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经费拨付及时性（1.5分）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100E4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及时</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28CDBF0">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6C2B5E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及时</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2C81B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及时</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EAB0C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1.5</w:t>
            </w:r>
          </w:p>
        </w:tc>
      </w:tr>
      <w:tr w14:paraId="0674C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nil"/>
              <w:right w:val="single" w:color="000000" w:sz="4" w:space="0"/>
            </w:tcBorders>
            <w:noWrap w:val="0"/>
            <w:vAlign w:val="center"/>
          </w:tcPr>
          <w:p w14:paraId="57332B2B">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nil"/>
              <w:right w:val="single" w:color="000000" w:sz="4" w:space="0"/>
            </w:tcBorders>
            <w:noWrap w:val="0"/>
            <w:vAlign w:val="center"/>
          </w:tcPr>
          <w:p w14:paraId="1BF928B7">
            <w:pPr>
              <w:jc w:val="center"/>
              <w:rPr>
                <w:rFonts w:hint="eastAsia" w:ascii="宋体" w:hAnsi="宋体" w:eastAsia="宋体" w:cs="宋体"/>
                <w:i w:val="0"/>
                <w:iCs w:val="0"/>
                <w:color w:val="000000"/>
                <w:sz w:val="20"/>
                <w:szCs w:val="20"/>
                <w:u w:val="none"/>
              </w:rPr>
            </w:pP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22D1EE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供水工程项目尾款支付及时率（1.5分）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9DD22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5FF8B8A">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2360EB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8336A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B9D04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1.5</w:t>
            </w:r>
          </w:p>
        </w:tc>
      </w:tr>
      <w:tr w14:paraId="43CB1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restart"/>
            <w:tcBorders>
              <w:top w:val="single" w:color="000000" w:sz="4" w:space="0"/>
              <w:left w:val="single" w:color="000000" w:sz="4" w:space="0"/>
              <w:bottom w:val="single" w:color="000000" w:sz="4" w:space="0"/>
              <w:right w:val="single" w:color="000000" w:sz="4" w:space="0"/>
            </w:tcBorders>
            <w:noWrap w:val="0"/>
            <w:vAlign w:val="center"/>
          </w:tcPr>
          <w:p w14:paraId="79F67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效益指标（15分）</w:t>
            </w:r>
          </w:p>
        </w:tc>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14:paraId="2FF82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社会效益指标（15分）</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0B95AE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保障部门、农场及公司正常运转（5分）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C4E4E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保障</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1C41BB0">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727403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保障</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79626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保障</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1E895B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4.5</w:t>
            </w:r>
          </w:p>
        </w:tc>
      </w:tr>
      <w:tr w14:paraId="1EE7F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2A3328">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5C4425">
            <w:pPr>
              <w:jc w:val="center"/>
              <w:rPr>
                <w:rFonts w:hint="eastAsia" w:ascii="宋体" w:hAnsi="宋体" w:eastAsia="宋体" w:cs="宋体"/>
                <w:i w:val="0"/>
                <w:iCs w:val="0"/>
                <w:color w:val="000000"/>
                <w:sz w:val="20"/>
                <w:szCs w:val="20"/>
                <w:u w:val="none"/>
              </w:rPr>
            </w:pP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335876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保障工作人员凝聚力（5分）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90106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保障</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637E3AC">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FF4F2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保障</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9B348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保障</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F2B68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4.5</w:t>
            </w:r>
          </w:p>
        </w:tc>
      </w:tr>
      <w:tr w14:paraId="746B5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4" w:type="dxa"/>
            <w:vMerge w:val="continue"/>
            <w:tcBorders>
              <w:top w:val="single" w:color="000000" w:sz="4" w:space="0"/>
              <w:left w:val="single" w:color="000000" w:sz="4" w:space="0"/>
              <w:bottom w:val="single" w:color="auto" w:sz="4" w:space="0"/>
              <w:right w:val="single" w:color="000000" w:sz="4" w:space="0"/>
            </w:tcBorders>
            <w:noWrap w:val="0"/>
            <w:vAlign w:val="center"/>
          </w:tcPr>
          <w:p w14:paraId="6D81767D">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auto" w:sz="4" w:space="0"/>
              <w:right w:val="single" w:color="000000" w:sz="4" w:space="0"/>
            </w:tcBorders>
            <w:noWrap w:val="0"/>
            <w:vAlign w:val="center"/>
          </w:tcPr>
          <w:p w14:paraId="5E91ADE8">
            <w:pPr>
              <w:jc w:val="center"/>
              <w:rPr>
                <w:rFonts w:hint="eastAsia" w:ascii="宋体" w:hAnsi="宋体" w:eastAsia="宋体" w:cs="宋体"/>
                <w:i w:val="0"/>
                <w:iCs w:val="0"/>
                <w:color w:val="000000"/>
                <w:sz w:val="20"/>
                <w:szCs w:val="20"/>
                <w:u w:val="none"/>
              </w:rPr>
            </w:pPr>
          </w:p>
        </w:tc>
        <w:tc>
          <w:tcPr>
            <w:tcW w:w="2075" w:type="dxa"/>
            <w:tcBorders>
              <w:top w:val="single" w:color="000000" w:sz="4" w:space="0"/>
              <w:left w:val="single" w:color="000000" w:sz="4" w:space="0"/>
              <w:bottom w:val="single" w:color="000000" w:sz="4" w:space="0"/>
              <w:right w:val="single" w:color="000000" w:sz="4" w:space="0"/>
            </w:tcBorders>
            <w:noWrap w:val="0"/>
            <w:vAlign w:val="center"/>
          </w:tcPr>
          <w:p w14:paraId="6D69C9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改善居民居住环境（5分）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62E654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改善</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7006694B">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2B2B10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改善</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7427A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改善</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675E7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4.5</w:t>
            </w:r>
          </w:p>
        </w:tc>
      </w:tr>
      <w:tr w14:paraId="0A8DE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94" w:type="dxa"/>
            <w:tcBorders>
              <w:top w:val="single" w:color="auto" w:sz="4" w:space="0"/>
              <w:left w:val="single" w:color="auto" w:sz="4" w:space="0"/>
              <w:bottom w:val="single" w:color="auto" w:sz="4" w:space="0"/>
              <w:right w:val="single" w:color="auto" w:sz="4" w:space="0"/>
            </w:tcBorders>
            <w:noWrap w:val="0"/>
            <w:vAlign w:val="center"/>
          </w:tcPr>
          <w:p w14:paraId="643147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满意度</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指标（5分）</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6A210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服务对象满意度指标（5分）</w:t>
            </w:r>
          </w:p>
        </w:tc>
        <w:tc>
          <w:tcPr>
            <w:tcW w:w="2075" w:type="dxa"/>
            <w:tcBorders>
              <w:top w:val="single" w:color="000000" w:sz="4" w:space="0"/>
              <w:left w:val="single" w:color="auto" w:sz="4" w:space="0"/>
              <w:bottom w:val="single" w:color="000000" w:sz="4" w:space="0"/>
              <w:right w:val="single" w:color="000000" w:sz="4" w:space="0"/>
            </w:tcBorders>
            <w:noWrap w:val="0"/>
            <w:vAlign w:val="center"/>
          </w:tcPr>
          <w:p w14:paraId="21AECC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部门满意度（5分）</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728806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≥95%</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1683120">
            <w:pPr>
              <w:jc w:val="center"/>
              <w:rPr>
                <w:rFonts w:hint="eastAsia" w:ascii="宋体" w:hAnsi="宋体" w:eastAsia="宋体" w:cs="宋体"/>
                <w:i w:val="0"/>
                <w:iCs w:val="0"/>
                <w:color w:val="000000"/>
                <w:sz w:val="21"/>
                <w:szCs w:val="21"/>
                <w:u w:val="none"/>
              </w:rPr>
            </w:pP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E62BD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≥95%</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17A05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≥95%</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C2432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pacing w:val="0"/>
                <w:w w:val="100"/>
                <w:kern w:val="0"/>
                <w:position w:val="0"/>
                <w:sz w:val="21"/>
                <w:szCs w:val="21"/>
                <w:u w:val="none"/>
                <w:shd w:val="clear" w:color="auto" w:fill="auto"/>
                <w:lang w:val="en-US" w:eastAsia="zh-CN" w:bidi="ar"/>
              </w:rPr>
              <w:t>5</w:t>
            </w:r>
          </w:p>
        </w:tc>
      </w:tr>
    </w:tbl>
    <w:p w14:paraId="7146077A">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经济成本指标：“经费拨付标准”年度目标值“不超应付标准”，实际完成值“不超应付标准”，该指标设定分值5分，评价得5分。</w:t>
      </w:r>
    </w:p>
    <w:p w14:paraId="37FF0C28">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社会成本指标：“居民生活和工作成本”年度目标值“降低”，实际完成值“降低”，</w:t>
      </w:r>
      <w:r>
        <w:rPr>
          <w:rFonts w:hint="eastAsia" w:ascii="仿宋" w:hAnsi="仿宋" w:eastAsia="仿宋" w:cs="仿宋"/>
          <w:sz w:val="32"/>
          <w:szCs w:val="32"/>
          <w:lang w:val="en-US" w:eastAsia="zh-CN"/>
        </w:rPr>
        <w:t>该指标设定分值5分，</w:t>
      </w:r>
      <w:r>
        <w:rPr>
          <w:rFonts w:hint="eastAsia" w:ascii="仿宋" w:hAnsi="仿宋" w:eastAsia="仿宋" w:cs="仿宋"/>
          <w:color w:val="000000"/>
          <w:spacing w:val="0"/>
          <w:w w:val="100"/>
          <w:position w:val="0"/>
          <w:sz w:val="32"/>
          <w:szCs w:val="32"/>
          <w:lang w:val="en-US" w:eastAsia="zh-CN"/>
        </w:rPr>
        <w:t>该指标无相关佐证材料，按照设定分值的80%计分，</w:t>
      </w:r>
      <w:r>
        <w:rPr>
          <w:rFonts w:hint="eastAsia" w:ascii="仿宋" w:hAnsi="仿宋" w:eastAsia="仿宋" w:cs="仿宋"/>
          <w:sz w:val="32"/>
          <w:szCs w:val="32"/>
          <w:lang w:val="en-US" w:eastAsia="zh-CN"/>
        </w:rPr>
        <w:t>评价得4分。</w:t>
      </w:r>
    </w:p>
    <w:p w14:paraId="1CF6E999">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000000"/>
          <w:spacing w:val="0"/>
          <w:w w:val="100"/>
          <w:position w:val="0"/>
          <w:sz w:val="32"/>
          <w:szCs w:val="32"/>
          <w:lang w:val="en-US" w:eastAsia="zh-CN"/>
        </w:rPr>
        <w:t>数量指标：</w:t>
      </w:r>
      <w:r>
        <w:rPr>
          <w:rFonts w:hint="eastAsia" w:ascii="仿宋" w:hAnsi="仿宋" w:eastAsia="仿宋" w:cs="仿宋"/>
          <w:sz w:val="32"/>
          <w:szCs w:val="32"/>
          <w:lang w:val="en-US" w:eastAsia="zh-CN"/>
        </w:rPr>
        <w:t>“经费拨付数量”年度目标值“≥7家”，实际完成值“8家”，该指标设定分值1分，评价得1分。“村湾环境治理数量”年度目标值“≥7个”，实际完成值“17个”，该指标设定分值1分，评价得1分。“解决资金缺口完成率”年度目标值“100%”，实际完成值“100%”，该指标设定分值1分，评价得1分。“审计工作完成率”年度目标值“100%”，实际完成值“100%”，该指标设定分值为1分，评价得1分。</w:t>
      </w:r>
    </w:p>
    <w:p w14:paraId="798F8EED">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质量指标：“发经费拨付合规率”年度目标值“100%”，实际完成值“100%”，该指标设定分值1.5分，评价得1.5分。“供水工程验收合规性”年度目标值“合格”，实际完成值“合格”，该指标设定分值1.5分，评价得1.5分。</w:t>
      </w:r>
    </w:p>
    <w:p w14:paraId="22442A8E">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时效指标。“经费拨付及时性”年度目标值“及时”，实际完成值“及时”，该指标设定分值1.5分，评价得1.5分。“供水工程项目尾款支付及时率”年度目标值“100%”，实际完成值“100%”，该指标设定分值1.5分，评价得1.5分。</w:t>
      </w:r>
    </w:p>
    <w:p w14:paraId="7BB0B839">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效益指标。“保障部门、农场及公司正常运转”年度目标值“保障”，实际完成值“保障”，该指标设定分值5分，因该指标为非量化指标，无相关佐证材料，按照设定分值的90%计分，评价得4.5分。“保障工作人员凝聚力”年度目标值“保障”，实际完成值“保障”，该指标设定分值5分，因该指标为非量化指标，无相关佐证材料，按照设定分值的90%计分，评价得4.5分。“改善居民居住环境”年度目标值“改善”，实际完成值“改善”，该指标设定分值5分，因该指标为非量化指标，无相关佐证材料，按照设定分值的90%计分，评价得4.5分。</w:t>
      </w:r>
    </w:p>
    <w:p w14:paraId="54905697">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满意度指标。“部门满意度”年度目标值“≥95%”，实际完成值“≥95%”，该指标设定分值5分，评价得5分。</w:t>
      </w:r>
    </w:p>
    <w:p w14:paraId="5ABCD3ED">
      <w:pPr>
        <w:pStyle w:val="5"/>
        <w:keepNext w:val="0"/>
        <w:keepLines w:val="0"/>
        <w:pageBreakBefore w:val="0"/>
        <w:widowControl w:val="0"/>
        <w:numPr>
          <w:ilvl w:val="0"/>
          <w:numId w:val="0"/>
        </w:numPr>
        <w:shd w:val="clear" w:color="auto" w:fill="auto"/>
        <w:tabs>
          <w:tab w:val="left" w:pos="1116"/>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eastAsia" w:ascii="楷体" w:hAnsi="楷体" w:eastAsia="楷体" w:cs="楷体"/>
          <w:color w:val="000000"/>
          <w:spacing w:val="0"/>
          <w:w w:val="100"/>
          <w:kern w:val="0"/>
          <w:position w:val="0"/>
          <w:sz w:val="32"/>
          <w:szCs w:val="32"/>
          <w:highlight w:val="none"/>
          <w:shd w:val="clear" w:color="auto" w:fill="auto"/>
          <w:lang w:eastAsia="zh-TW" w:bidi="ar-SA"/>
        </w:rPr>
      </w:pPr>
      <w:r>
        <w:rPr>
          <w:rFonts w:hint="eastAsia" w:ascii="楷体" w:hAnsi="楷体" w:eastAsia="楷体" w:cs="楷体"/>
          <w:color w:val="000000"/>
          <w:spacing w:val="0"/>
          <w:w w:val="100"/>
          <w:kern w:val="0"/>
          <w:position w:val="0"/>
          <w:sz w:val="32"/>
          <w:szCs w:val="32"/>
          <w:highlight w:val="none"/>
          <w:shd w:val="clear" w:color="auto" w:fill="auto"/>
          <w:lang w:val="zh-TW" w:eastAsia="zh-CN" w:bidi="ar-SA"/>
        </w:rPr>
        <w:t>（</w:t>
      </w:r>
      <w:r>
        <w:rPr>
          <w:rFonts w:hint="eastAsia" w:ascii="楷体" w:hAnsi="楷体" w:eastAsia="楷体" w:cs="楷体"/>
          <w:color w:val="000000"/>
          <w:spacing w:val="0"/>
          <w:w w:val="100"/>
          <w:kern w:val="0"/>
          <w:position w:val="0"/>
          <w:sz w:val="32"/>
          <w:szCs w:val="32"/>
          <w:highlight w:val="none"/>
          <w:shd w:val="clear" w:color="auto" w:fill="auto"/>
          <w:lang w:val="en-US" w:eastAsia="zh-CN" w:bidi="ar-SA"/>
        </w:rPr>
        <w:t>2</w:t>
      </w:r>
      <w:r>
        <w:rPr>
          <w:rFonts w:hint="eastAsia" w:ascii="楷体" w:hAnsi="楷体" w:eastAsia="楷体" w:cs="楷体"/>
          <w:color w:val="000000"/>
          <w:spacing w:val="0"/>
          <w:w w:val="100"/>
          <w:kern w:val="0"/>
          <w:position w:val="0"/>
          <w:sz w:val="32"/>
          <w:szCs w:val="32"/>
          <w:highlight w:val="none"/>
          <w:shd w:val="clear" w:color="auto" w:fill="auto"/>
          <w:lang w:val="zh-TW" w:eastAsia="zh-CN" w:bidi="ar-SA"/>
        </w:rPr>
        <w:t>）</w:t>
      </w:r>
      <w:r>
        <w:rPr>
          <w:rFonts w:hint="eastAsia" w:ascii="楷体" w:hAnsi="楷体" w:eastAsia="楷体" w:cs="楷体"/>
          <w:color w:val="000000"/>
          <w:spacing w:val="0"/>
          <w:w w:val="100"/>
          <w:kern w:val="0"/>
          <w:position w:val="0"/>
          <w:sz w:val="32"/>
          <w:szCs w:val="32"/>
          <w:highlight w:val="none"/>
          <w:shd w:val="clear" w:color="auto" w:fill="auto"/>
          <w:lang w:val="zh-TW" w:eastAsia="zh-TW" w:bidi="ar-SA"/>
        </w:rPr>
        <w:t>年度</w:t>
      </w:r>
      <w:r>
        <w:rPr>
          <w:rFonts w:hint="eastAsia" w:ascii="楷体" w:hAnsi="楷体" w:eastAsia="楷体" w:cs="楷体"/>
          <w:color w:val="000000"/>
          <w:spacing w:val="0"/>
          <w:w w:val="100"/>
          <w:kern w:val="0"/>
          <w:position w:val="0"/>
          <w:sz w:val="32"/>
          <w:szCs w:val="32"/>
          <w:highlight w:val="none"/>
          <w:shd w:val="clear" w:color="auto" w:fill="auto"/>
          <w:lang w:eastAsia="zh-TW" w:bidi="ar-SA"/>
        </w:rPr>
        <w:t>绩效目标</w:t>
      </w:r>
      <w:r>
        <w:rPr>
          <w:rFonts w:hint="eastAsia" w:ascii="楷体" w:hAnsi="楷体" w:eastAsia="楷体" w:cs="楷体"/>
          <w:color w:val="000000"/>
          <w:spacing w:val="0"/>
          <w:w w:val="100"/>
          <w:kern w:val="0"/>
          <w:position w:val="0"/>
          <w:sz w:val="32"/>
          <w:szCs w:val="32"/>
          <w:highlight w:val="none"/>
          <w:shd w:val="clear" w:color="auto" w:fill="auto"/>
          <w:lang w:val="zh-TW" w:eastAsia="zh-TW" w:bidi="ar-SA"/>
        </w:rPr>
        <w:t>2</w:t>
      </w:r>
      <w:r>
        <w:rPr>
          <w:rFonts w:hint="eastAsia" w:ascii="楷体" w:hAnsi="楷体" w:eastAsia="楷体" w:cs="楷体"/>
          <w:color w:val="000000"/>
          <w:spacing w:val="0"/>
          <w:w w:val="100"/>
          <w:kern w:val="0"/>
          <w:position w:val="0"/>
          <w:sz w:val="32"/>
          <w:szCs w:val="32"/>
          <w:highlight w:val="none"/>
          <w:shd w:val="clear" w:color="auto" w:fill="auto"/>
          <w:lang w:eastAsia="zh-TW" w:bidi="ar-SA"/>
        </w:rPr>
        <w:t>完成情况分析</w:t>
      </w:r>
    </w:p>
    <w:p w14:paraId="24F39797">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年度绩效目标2：及时完成退地内退生活费等补贴以及人员经费的发放，不断提升补贴人员生活质量，保障补贴人员生活，使补贴人员满意度达90%以上；为落实辖区各政策活动，社区基层党组织党史专题学习次数达12次，河湖巡查次数达36次以上，及时完成群众接访工作和基础设施维修工作，维护社会稳定及河湖生态环境，居民群众满意度达95%以上；在年内及时购置1台公务车，确保验收合格率达100%，提高工作效率，保障用车需求，使车辆使用人员满意度达到85%以上。</w:t>
      </w:r>
    </w:p>
    <w:p w14:paraId="131D7B8B">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000000"/>
          <w:spacing w:val="0"/>
          <w:w w:val="100"/>
          <w:position w:val="0"/>
          <w:sz w:val="32"/>
          <w:szCs w:val="32"/>
          <w:lang w:val="en-US" w:eastAsia="zh-CN"/>
        </w:rPr>
        <w:t>经济成本指标：“内退及退地人员生活费标准”年度目标值“不超应发标准”，实际完成值“不超应发标准”，</w:t>
      </w:r>
      <w:r>
        <w:rPr>
          <w:rFonts w:hint="eastAsia" w:ascii="仿宋" w:hAnsi="仿宋" w:eastAsia="仿宋" w:cs="仿宋"/>
          <w:sz w:val="32"/>
          <w:szCs w:val="32"/>
          <w:lang w:val="en-US" w:eastAsia="zh-CN"/>
        </w:rPr>
        <w:t>该指标设定分值2.5分，评价得2.5分。</w:t>
      </w:r>
      <w:r>
        <w:rPr>
          <w:rFonts w:hint="eastAsia" w:ascii="仿宋" w:hAnsi="仿宋" w:eastAsia="仿宋" w:cs="仿宋"/>
          <w:color w:val="000000"/>
          <w:spacing w:val="0"/>
          <w:w w:val="100"/>
          <w:position w:val="0"/>
          <w:sz w:val="32"/>
          <w:szCs w:val="32"/>
          <w:lang w:val="en-US" w:eastAsia="zh-CN"/>
        </w:rPr>
        <w:t>“社保缴纳标准”年度目标值“不超缴费人员应缴标准”，实际完成值“不超缴费人员应缴标准”，</w:t>
      </w:r>
      <w:r>
        <w:rPr>
          <w:rFonts w:hint="eastAsia" w:ascii="仿宋" w:hAnsi="仿宋" w:eastAsia="仿宋" w:cs="仿宋"/>
          <w:sz w:val="32"/>
          <w:szCs w:val="32"/>
          <w:lang w:val="en-US" w:eastAsia="zh-CN"/>
        </w:rPr>
        <w:t>该指标设定分值2.5分，评价得2.5分。</w:t>
      </w:r>
    </w:p>
    <w:p w14:paraId="54573576">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社会成本指标：“补贴福利支出数”年度目标值“不超当年预算”，实际完成值“不超当年预算”，该指标设定分值5分，评价得5分。</w:t>
      </w:r>
    </w:p>
    <w:p w14:paraId="6FC0CB3F">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lang w:val="en-US" w:eastAsia="zh-CN"/>
        </w:rPr>
        <w:t>数量指标：</w:t>
      </w:r>
      <w:r>
        <w:rPr>
          <w:rFonts w:hint="eastAsia" w:ascii="仿宋" w:hAnsi="仿宋" w:eastAsia="仿宋" w:cs="仿宋"/>
          <w:sz w:val="32"/>
          <w:szCs w:val="32"/>
          <w:lang w:val="en-US" w:eastAsia="zh-CN"/>
        </w:rPr>
        <w:t>“社区基层党组织党史专题学习次数”设定</w:t>
      </w:r>
      <w:r>
        <w:rPr>
          <w:rFonts w:hint="eastAsia" w:ascii="仿宋" w:hAnsi="仿宋" w:eastAsia="仿宋" w:cs="仿宋"/>
          <w:color w:val="000000"/>
          <w:spacing w:val="0"/>
          <w:w w:val="100"/>
          <w:position w:val="0"/>
          <w:sz w:val="32"/>
          <w:szCs w:val="32"/>
          <w:lang w:val="en-US" w:eastAsia="zh-CN"/>
        </w:rPr>
        <w:t>年度目标值“≥12次”</w:t>
      </w:r>
      <w:r>
        <w:rPr>
          <w:rFonts w:hint="eastAsia" w:ascii="仿宋" w:hAnsi="仿宋" w:eastAsia="仿宋" w:cs="仿宋"/>
          <w:sz w:val="32"/>
          <w:szCs w:val="32"/>
          <w:lang w:val="en-US" w:eastAsia="zh-CN"/>
        </w:rPr>
        <w:t>，实际完成值“≥12次”，该指标设定分值1分，评价得1分。“人员经费发放数量”</w:t>
      </w:r>
      <w:r>
        <w:rPr>
          <w:rFonts w:hint="eastAsia" w:ascii="仿宋" w:hAnsi="仿宋" w:eastAsia="仿宋" w:cs="仿宋"/>
          <w:color w:val="000000"/>
          <w:spacing w:val="0"/>
          <w:w w:val="100"/>
          <w:position w:val="0"/>
          <w:sz w:val="32"/>
          <w:szCs w:val="32"/>
          <w:lang w:val="en-US" w:eastAsia="zh-CN"/>
        </w:rPr>
        <w:t>年度目标值“≧180人”,</w:t>
      </w:r>
      <w:r>
        <w:rPr>
          <w:rFonts w:hint="eastAsia" w:ascii="仿宋" w:hAnsi="仿宋" w:eastAsia="仿宋" w:cs="仿宋"/>
          <w:sz w:val="32"/>
          <w:szCs w:val="32"/>
          <w:lang w:val="en-US" w:eastAsia="zh-CN"/>
        </w:rPr>
        <w:t>实际完成值“115人”，该指标设定分值1分，评价得0.64分。“河湖巡查次数”</w:t>
      </w:r>
      <w:r>
        <w:rPr>
          <w:rFonts w:hint="eastAsia" w:ascii="仿宋" w:hAnsi="仿宋" w:eastAsia="仿宋" w:cs="仿宋"/>
          <w:color w:val="000000"/>
          <w:spacing w:val="0"/>
          <w:w w:val="100"/>
          <w:position w:val="0"/>
          <w:sz w:val="32"/>
          <w:szCs w:val="32"/>
          <w:lang w:val="en-US" w:eastAsia="zh-CN"/>
        </w:rPr>
        <w:t>年度目标值“≥36次”,</w:t>
      </w:r>
      <w:r>
        <w:rPr>
          <w:rFonts w:hint="eastAsia" w:ascii="仿宋" w:hAnsi="仿宋" w:eastAsia="仿宋" w:cs="仿宋"/>
          <w:sz w:val="32"/>
          <w:szCs w:val="32"/>
          <w:lang w:val="en-US" w:eastAsia="zh-CN"/>
        </w:rPr>
        <w:t>实际完成值“≥36次”，该指标设定分值1分，评价得1分。“安全生产业务知识培训完成次数”</w:t>
      </w:r>
      <w:r>
        <w:rPr>
          <w:rFonts w:hint="eastAsia" w:ascii="仿宋" w:hAnsi="仿宋" w:eastAsia="仿宋" w:cs="仿宋"/>
          <w:color w:val="000000"/>
          <w:spacing w:val="0"/>
          <w:w w:val="100"/>
          <w:position w:val="0"/>
          <w:sz w:val="32"/>
          <w:szCs w:val="32"/>
          <w:lang w:val="en-US" w:eastAsia="zh-CN"/>
        </w:rPr>
        <w:t>年度目标值“≥1次”</w:t>
      </w:r>
      <w:r>
        <w:rPr>
          <w:rFonts w:hint="eastAsia" w:ascii="仿宋" w:hAnsi="仿宋" w:eastAsia="仿宋" w:cs="仿宋"/>
          <w:sz w:val="32"/>
          <w:szCs w:val="32"/>
          <w:lang w:val="en-US" w:eastAsia="zh-CN"/>
        </w:rPr>
        <w:t>，实际完成值“≥1次”，该指标设定分值1分，评价得1分。</w:t>
      </w:r>
    </w:p>
    <w:p w14:paraId="17D67295">
      <w:pPr>
        <w:pStyle w:val="5"/>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质量指标。</w:t>
      </w:r>
      <w:r>
        <w:rPr>
          <w:rFonts w:hint="eastAsia" w:ascii="仿宋" w:hAnsi="仿宋" w:eastAsia="仿宋" w:cs="仿宋"/>
          <w:sz w:val="32"/>
          <w:szCs w:val="32"/>
          <w:lang w:val="en-US" w:eastAsia="zh-CN"/>
        </w:rPr>
        <w:t>“补助发放合规性”</w:t>
      </w:r>
      <w:r>
        <w:rPr>
          <w:rFonts w:hint="eastAsia" w:ascii="仿宋" w:hAnsi="仿宋" w:eastAsia="仿宋" w:cs="仿宋"/>
          <w:color w:val="000000"/>
          <w:spacing w:val="0"/>
          <w:w w:val="100"/>
          <w:position w:val="0"/>
          <w:sz w:val="32"/>
          <w:szCs w:val="32"/>
          <w:lang w:val="en-US" w:eastAsia="zh-CN"/>
        </w:rPr>
        <w:t>年度目标值“合规”</w:t>
      </w:r>
      <w:r>
        <w:rPr>
          <w:rFonts w:hint="eastAsia" w:ascii="仿宋" w:hAnsi="仿宋" w:eastAsia="仿宋" w:cs="仿宋"/>
          <w:sz w:val="32"/>
          <w:szCs w:val="32"/>
          <w:lang w:val="en-US" w:eastAsia="zh-CN"/>
        </w:rPr>
        <w:t>，实际完成值“合规”，该指标设定分值1.5分，评价得1.5分。“公务车验收合格率”</w:t>
      </w:r>
      <w:r>
        <w:rPr>
          <w:rFonts w:hint="eastAsia" w:ascii="仿宋" w:hAnsi="仿宋" w:eastAsia="仿宋" w:cs="仿宋"/>
          <w:color w:val="000000"/>
          <w:spacing w:val="0"/>
          <w:w w:val="100"/>
          <w:position w:val="0"/>
          <w:sz w:val="32"/>
          <w:szCs w:val="32"/>
          <w:lang w:val="en-US" w:eastAsia="zh-CN"/>
        </w:rPr>
        <w:t>年度目标值“100%”</w:t>
      </w:r>
      <w:r>
        <w:rPr>
          <w:rFonts w:hint="eastAsia" w:ascii="仿宋" w:hAnsi="仿宋" w:eastAsia="仿宋" w:cs="仿宋"/>
          <w:sz w:val="32"/>
          <w:szCs w:val="32"/>
          <w:lang w:val="en-US" w:eastAsia="zh-CN"/>
        </w:rPr>
        <w:t>，实际完成值“100%”，该指标设定分值1.5分，评价得1.5分。</w:t>
      </w:r>
    </w:p>
    <w:p w14:paraId="62E40A37">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时效指标。</w:t>
      </w:r>
      <w:r>
        <w:rPr>
          <w:rFonts w:hint="eastAsia" w:ascii="仿宋" w:hAnsi="仿宋" w:eastAsia="仿宋" w:cs="仿宋"/>
          <w:sz w:val="32"/>
          <w:szCs w:val="32"/>
          <w:lang w:val="en-US" w:eastAsia="zh-CN"/>
        </w:rPr>
        <w:t>“群众接访工作及时性”设定</w:t>
      </w:r>
      <w:r>
        <w:rPr>
          <w:rFonts w:hint="eastAsia" w:ascii="仿宋" w:hAnsi="仿宋" w:eastAsia="仿宋" w:cs="仿宋"/>
          <w:color w:val="000000"/>
          <w:spacing w:val="0"/>
          <w:w w:val="100"/>
          <w:position w:val="0"/>
          <w:sz w:val="32"/>
          <w:szCs w:val="32"/>
          <w:lang w:val="en-US" w:eastAsia="zh-CN"/>
        </w:rPr>
        <w:t>年度目标值“及时”</w:t>
      </w:r>
      <w:r>
        <w:rPr>
          <w:rFonts w:hint="eastAsia" w:ascii="仿宋" w:hAnsi="仿宋" w:eastAsia="仿宋" w:cs="仿宋"/>
          <w:sz w:val="32"/>
          <w:szCs w:val="32"/>
          <w:lang w:val="en-US" w:eastAsia="zh-CN"/>
        </w:rPr>
        <w:t>，实际完成值“及时”，该指标设定分值1分，评价得1分。“基础设施维修及时性”</w:t>
      </w:r>
      <w:r>
        <w:rPr>
          <w:rFonts w:hint="eastAsia" w:ascii="仿宋" w:hAnsi="仿宋" w:eastAsia="仿宋" w:cs="仿宋"/>
          <w:color w:val="000000"/>
          <w:spacing w:val="0"/>
          <w:w w:val="100"/>
          <w:position w:val="0"/>
          <w:sz w:val="32"/>
          <w:szCs w:val="32"/>
          <w:lang w:val="en-US" w:eastAsia="zh-CN"/>
        </w:rPr>
        <w:t>年度目标值“</w:t>
      </w:r>
      <w:r>
        <w:rPr>
          <w:rFonts w:hint="eastAsia" w:ascii="仿宋" w:hAnsi="仿宋" w:eastAsia="仿宋" w:cs="仿宋"/>
          <w:sz w:val="32"/>
          <w:szCs w:val="32"/>
          <w:lang w:val="en-US" w:eastAsia="zh-CN"/>
        </w:rPr>
        <w:t>及时</w:t>
      </w:r>
      <w:r>
        <w:rPr>
          <w:rFonts w:hint="eastAsia" w:ascii="仿宋" w:hAnsi="仿宋" w:eastAsia="仿宋" w:cs="仿宋"/>
          <w:color w:val="000000"/>
          <w:spacing w:val="0"/>
          <w:w w:val="100"/>
          <w:position w:val="0"/>
          <w:sz w:val="32"/>
          <w:szCs w:val="32"/>
          <w:lang w:val="en-US" w:eastAsia="zh-CN"/>
        </w:rPr>
        <w:t>”</w:t>
      </w:r>
      <w:r>
        <w:rPr>
          <w:rFonts w:hint="eastAsia" w:ascii="仿宋" w:hAnsi="仿宋" w:eastAsia="仿宋" w:cs="仿宋"/>
          <w:sz w:val="32"/>
          <w:szCs w:val="32"/>
          <w:lang w:val="en-US" w:eastAsia="zh-CN"/>
        </w:rPr>
        <w:t>，实际完成值“及时”，该指标设定分值1分，评价得1分。“补助发放及时性”</w:t>
      </w:r>
      <w:r>
        <w:rPr>
          <w:rFonts w:hint="eastAsia" w:ascii="仿宋" w:hAnsi="仿宋" w:eastAsia="仿宋" w:cs="仿宋"/>
          <w:color w:val="000000"/>
          <w:spacing w:val="0"/>
          <w:w w:val="100"/>
          <w:position w:val="0"/>
          <w:sz w:val="32"/>
          <w:szCs w:val="32"/>
          <w:lang w:val="en-US" w:eastAsia="zh-CN"/>
        </w:rPr>
        <w:t>年度目标值“</w:t>
      </w:r>
      <w:r>
        <w:rPr>
          <w:rFonts w:hint="eastAsia" w:ascii="仿宋" w:hAnsi="仿宋" w:eastAsia="仿宋" w:cs="仿宋"/>
          <w:sz w:val="32"/>
          <w:szCs w:val="32"/>
          <w:lang w:val="en-US" w:eastAsia="zh-CN"/>
        </w:rPr>
        <w:t>及时</w:t>
      </w:r>
      <w:r>
        <w:rPr>
          <w:rFonts w:hint="eastAsia" w:ascii="仿宋" w:hAnsi="仿宋" w:eastAsia="仿宋" w:cs="仿宋"/>
          <w:color w:val="000000"/>
          <w:spacing w:val="0"/>
          <w:w w:val="100"/>
          <w:position w:val="0"/>
          <w:sz w:val="32"/>
          <w:szCs w:val="32"/>
          <w:lang w:val="en-US" w:eastAsia="zh-CN"/>
        </w:rPr>
        <w:t>”</w:t>
      </w:r>
      <w:r>
        <w:rPr>
          <w:rFonts w:hint="eastAsia" w:ascii="仿宋" w:hAnsi="仿宋" w:eastAsia="仿宋" w:cs="仿宋"/>
          <w:sz w:val="32"/>
          <w:szCs w:val="32"/>
          <w:lang w:val="en-US" w:eastAsia="zh-CN"/>
        </w:rPr>
        <w:t>，实际完成值“及时”，该指标设定分值1分，评价得1分。</w:t>
      </w:r>
    </w:p>
    <w:p w14:paraId="219333A3">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000000"/>
          <w:spacing w:val="0"/>
          <w:w w:val="100"/>
          <w:position w:val="0"/>
          <w:sz w:val="32"/>
          <w:szCs w:val="32"/>
          <w:highlight w:val="none"/>
          <w:lang w:val="en-US" w:eastAsia="zh-CN"/>
        </w:rPr>
        <w:t>社会效益指标。</w:t>
      </w:r>
      <w:r>
        <w:rPr>
          <w:rFonts w:hint="eastAsia" w:ascii="仿宋" w:hAnsi="仿宋" w:eastAsia="仿宋" w:cs="仿宋"/>
          <w:sz w:val="32"/>
          <w:szCs w:val="32"/>
          <w:lang w:val="en-US" w:eastAsia="zh-CN"/>
        </w:rPr>
        <w:t>“补贴人员生活提升度”</w:t>
      </w:r>
      <w:r>
        <w:rPr>
          <w:rFonts w:hint="eastAsia" w:ascii="仿宋" w:hAnsi="仿宋" w:eastAsia="仿宋" w:cs="仿宋"/>
          <w:color w:val="000000"/>
          <w:spacing w:val="0"/>
          <w:w w:val="100"/>
          <w:position w:val="0"/>
          <w:sz w:val="32"/>
          <w:szCs w:val="32"/>
          <w:lang w:val="en-US" w:eastAsia="zh-CN"/>
        </w:rPr>
        <w:t>年度目标值“</w:t>
      </w:r>
      <w:r>
        <w:rPr>
          <w:rFonts w:hint="eastAsia" w:ascii="仿宋" w:hAnsi="仿宋" w:eastAsia="仿宋" w:cs="仿宋"/>
          <w:sz w:val="32"/>
          <w:szCs w:val="32"/>
          <w:lang w:val="en-US" w:eastAsia="zh-CN"/>
        </w:rPr>
        <w:t>提升</w:t>
      </w:r>
      <w:r>
        <w:rPr>
          <w:rFonts w:hint="eastAsia" w:ascii="仿宋" w:hAnsi="仿宋" w:eastAsia="仿宋" w:cs="仿宋"/>
          <w:color w:val="000000"/>
          <w:spacing w:val="0"/>
          <w:w w:val="100"/>
          <w:position w:val="0"/>
          <w:sz w:val="32"/>
          <w:szCs w:val="32"/>
          <w:lang w:val="en-US" w:eastAsia="zh-CN"/>
        </w:rPr>
        <w:t>”</w:t>
      </w:r>
      <w:r>
        <w:rPr>
          <w:rFonts w:hint="eastAsia" w:ascii="仿宋" w:hAnsi="仿宋" w:eastAsia="仿宋" w:cs="仿宋"/>
          <w:sz w:val="32"/>
          <w:szCs w:val="32"/>
          <w:lang w:val="en-US" w:eastAsia="zh-CN"/>
        </w:rPr>
        <w:t>，实际完成值“提升”，该指标设定分值5分，因该指标为非量化指标，无相关佐证材料，按照设定分值的90%计分，评价得4.5分。“维护社会稳定”</w:t>
      </w:r>
      <w:r>
        <w:rPr>
          <w:rFonts w:hint="eastAsia" w:ascii="仿宋" w:hAnsi="仿宋" w:eastAsia="仿宋" w:cs="仿宋"/>
          <w:color w:val="000000"/>
          <w:spacing w:val="0"/>
          <w:w w:val="100"/>
          <w:position w:val="0"/>
          <w:sz w:val="32"/>
          <w:szCs w:val="32"/>
          <w:lang w:val="en-US" w:eastAsia="zh-CN"/>
        </w:rPr>
        <w:t>年度目标值“稳定”</w:t>
      </w:r>
      <w:r>
        <w:rPr>
          <w:rFonts w:hint="eastAsia" w:ascii="仿宋" w:hAnsi="仿宋" w:eastAsia="仿宋" w:cs="仿宋"/>
          <w:sz w:val="32"/>
          <w:szCs w:val="32"/>
          <w:lang w:val="en-US" w:eastAsia="zh-CN"/>
        </w:rPr>
        <w:t>，实际完成值“稳定”，该指标设定分值5分因该指标为非量化指标，无相关佐证材料，按照设定分值的90%计分，评价得4.5分。</w:t>
      </w:r>
    </w:p>
    <w:p w14:paraId="63557786">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生态效益指标：“维护河湖生态环境”</w:t>
      </w:r>
      <w:r>
        <w:rPr>
          <w:rFonts w:hint="eastAsia" w:ascii="仿宋" w:hAnsi="仿宋" w:eastAsia="仿宋" w:cs="仿宋"/>
          <w:color w:val="000000"/>
          <w:spacing w:val="0"/>
          <w:w w:val="100"/>
          <w:position w:val="0"/>
          <w:sz w:val="32"/>
          <w:szCs w:val="32"/>
          <w:lang w:val="en-US" w:eastAsia="zh-CN"/>
        </w:rPr>
        <w:t>年度目标值“良好”</w:t>
      </w:r>
      <w:r>
        <w:rPr>
          <w:rFonts w:hint="eastAsia" w:ascii="仿宋" w:hAnsi="仿宋" w:eastAsia="仿宋" w:cs="仿宋"/>
          <w:sz w:val="32"/>
          <w:szCs w:val="32"/>
          <w:lang w:val="en-US" w:eastAsia="zh-CN"/>
        </w:rPr>
        <w:t>，实际完成值“</w:t>
      </w:r>
      <w:r>
        <w:rPr>
          <w:rFonts w:hint="eastAsia" w:ascii="仿宋" w:hAnsi="仿宋" w:eastAsia="仿宋" w:cs="仿宋"/>
          <w:color w:val="000000"/>
          <w:spacing w:val="0"/>
          <w:w w:val="100"/>
          <w:position w:val="0"/>
          <w:sz w:val="32"/>
          <w:szCs w:val="32"/>
          <w:lang w:val="en-US" w:eastAsia="zh-CN"/>
        </w:rPr>
        <w:t>良好</w:t>
      </w:r>
      <w:r>
        <w:rPr>
          <w:rFonts w:hint="eastAsia" w:ascii="仿宋" w:hAnsi="仿宋" w:eastAsia="仿宋" w:cs="仿宋"/>
          <w:sz w:val="32"/>
          <w:szCs w:val="32"/>
          <w:lang w:val="en-US" w:eastAsia="zh-CN"/>
        </w:rPr>
        <w:t>”，该指标设定分值5分因该指标为非量化指标，无相关佐证材料，按照设定分值的90%计分，评价得4.5分。</w:t>
      </w:r>
    </w:p>
    <w:p w14:paraId="0CF2AE38">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000000"/>
          <w:spacing w:val="0"/>
          <w:w w:val="100"/>
          <w:position w:val="0"/>
          <w:sz w:val="32"/>
          <w:szCs w:val="32"/>
          <w:highlight w:val="none"/>
          <w:lang w:val="en-US" w:eastAsia="zh-CN"/>
        </w:rPr>
        <w:t>满意度指标。</w:t>
      </w:r>
      <w:r>
        <w:rPr>
          <w:rFonts w:hint="eastAsia" w:ascii="仿宋" w:hAnsi="仿宋" w:eastAsia="仿宋" w:cs="仿宋"/>
          <w:sz w:val="32"/>
          <w:szCs w:val="32"/>
          <w:lang w:val="en-US" w:eastAsia="zh-CN"/>
        </w:rPr>
        <w:t>“</w:t>
      </w:r>
      <w:r>
        <w:rPr>
          <w:rFonts w:hint="eastAsia" w:ascii="仿宋" w:hAnsi="仿宋" w:eastAsia="仿宋" w:cs="仿宋"/>
          <w:color w:val="000000"/>
          <w:spacing w:val="0"/>
          <w:w w:val="100"/>
          <w:position w:val="0"/>
          <w:sz w:val="32"/>
          <w:szCs w:val="32"/>
          <w:highlight w:val="none"/>
          <w:lang w:val="en-US" w:eastAsia="zh-CN"/>
        </w:rPr>
        <w:t>补贴人员满意度</w:t>
      </w:r>
      <w:r>
        <w:rPr>
          <w:rFonts w:hint="eastAsia" w:ascii="仿宋" w:hAnsi="仿宋" w:eastAsia="仿宋" w:cs="仿宋"/>
          <w:sz w:val="32"/>
          <w:szCs w:val="32"/>
          <w:lang w:val="en-US" w:eastAsia="zh-CN"/>
        </w:rPr>
        <w:t>”</w:t>
      </w:r>
      <w:r>
        <w:rPr>
          <w:rFonts w:hint="eastAsia" w:ascii="仿宋" w:hAnsi="仿宋" w:eastAsia="仿宋" w:cs="仿宋"/>
          <w:color w:val="000000"/>
          <w:spacing w:val="0"/>
          <w:w w:val="100"/>
          <w:position w:val="0"/>
          <w:sz w:val="32"/>
          <w:szCs w:val="32"/>
          <w:lang w:val="en-US" w:eastAsia="zh-CN"/>
        </w:rPr>
        <w:t>年度目标值“≥90%”</w:t>
      </w:r>
      <w:r>
        <w:rPr>
          <w:rFonts w:hint="eastAsia" w:ascii="仿宋" w:hAnsi="仿宋" w:eastAsia="仿宋" w:cs="仿宋"/>
          <w:sz w:val="32"/>
          <w:szCs w:val="32"/>
          <w:lang w:val="en-US" w:eastAsia="zh-CN"/>
        </w:rPr>
        <w:t>，实际完成值“≥90%”，该指标设定分值2.5分，评价得2.5分。“居民群众满意度”</w:t>
      </w:r>
      <w:r>
        <w:rPr>
          <w:rFonts w:hint="eastAsia" w:ascii="仿宋" w:hAnsi="仿宋" w:eastAsia="仿宋" w:cs="仿宋"/>
          <w:color w:val="000000"/>
          <w:spacing w:val="0"/>
          <w:w w:val="100"/>
          <w:position w:val="0"/>
          <w:sz w:val="32"/>
          <w:szCs w:val="32"/>
          <w:lang w:val="en-US" w:eastAsia="zh-CN"/>
        </w:rPr>
        <w:t>年度目标值“≥95%”</w:t>
      </w:r>
      <w:r>
        <w:rPr>
          <w:rFonts w:hint="eastAsia" w:ascii="仿宋" w:hAnsi="仿宋" w:eastAsia="仿宋" w:cs="仿宋"/>
          <w:sz w:val="32"/>
          <w:szCs w:val="32"/>
          <w:lang w:val="en-US" w:eastAsia="zh-CN"/>
        </w:rPr>
        <w:t>，实际完成值“≥95%”，该指标设定分值2.5分，评价得2.5分。</w:t>
      </w:r>
    </w:p>
    <w:p w14:paraId="274E105E">
      <w:pPr>
        <w:pStyle w:val="5"/>
        <w:keepNext w:val="0"/>
        <w:keepLines w:val="0"/>
        <w:pageBreakBefore w:val="0"/>
        <w:widowControl w:val="0"/>
        <w:numPr>
          <w:ilvl w:val="0"/>
          <w:numId w:val="4"/>
        </w:numPr>
        <w:shd w:val="clear" w:color="auto" w:fill="auto"/>
        <w:tabs>
          <w:tab w:val="left" w:pos="1116"/>
        </w:tabs>
        <w:kinsoku/>
        <w:wordWrap/>
        <w:overflowPunct/>
        <w:topLinePunct w:val="0"/>
        <w:autoSpaceDE/>
        <w:autoSpaceDN/>
        <w:bidi w:val="0"/>
        <w:adjustRightInd/>
        <w:snapToGrid/>
        <w:spacing w:before="0" w:after="0" w:line="560" w:lineRule="exact"/>
        <w:ind w:left="1042" w:leftChars="0" w:right="0" w:rightChars="0" w:hanging="562" w:firstLineChars="0"/>
        <w:jc w:val="both"/>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u w:val="none"/>
          <w:shd w:val="clear" w:color="auto" w:fill="auto"/>
          <w:lang w:val="en-US" w:eastAsia="zh-CN" w:bidi="zh-TW"/>
        </w:rPr>
        <w:t>上年度部门自评结果应用情况</w:t>
      </w:r>
    </w:p>
    <w:p w14:paraId="0FC131FB">
      <w:pPr>
        <w:pStyle w:val="5"/>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慈惠街在上一年度自评结果的基础上，总结工作经验和存在的问题，切实加强项目整改落实。一是在本年的预算编制中进一步改进，科学合理地编制绩效预算，增强预算的执行效率；二是进一步完善绩效指标的设计，考虑指标数据来源的可获得性，科学合理编制绩效指标，保证指标编制的完整性、全面性；三是提高项目绩效与资金的匹配度，编制更为详细的用款计划；四是提高单位人员对预算资金使用效益的认识，精细测算支出额度，把需求核准核实，充分发挥项目资金的效益；五是对相关人员加强培训，规范部门预算收支核算，切实提高部门预算收支管理水平。</w:t>
      </w:r>
    </w:p>
    <w:p w14:paraId="4B11739A">
      <w:pPr>
        <w:pStyle w:val="5"/>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right"/>
        <w:textAlignment w:val="auto"/>
        <w:rPr>
          <w:rFonts w:hint="eastAsia" w:ascii="仿宋" w:hAnsi="仿宋" w:eastAsia="仿宋" w:cs="仿宋"/>
          <w:color w:val="000000"/>
          <w:spacing w:val="0"/>
          <w:w w:val="100"/>
          <w:position w:val="0"/>
          <w:sz w:val="32"/>
          <w:szCs w:val="32"/>
          <w:highlight w:val="none"/>
          <w:lang w:val="en-US" w:eastAsia="zh-CN"/>
        </w:rPr>
      </w:pPr>
    </w:p>
    <w:p w14:paraId="5511A0F9">
      <w:pPr>
        <w:shd w:val="solid" w:color="FFFFFF" w:fill="auto"/>
        <w:autoSpaceDN w:val="0"/>
        <w:spacing w:line="580" w:lineRule="atLeast"/>
        <w:jc w:val="left"/>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p>
    <w:p w14:paraId="0ED61C34">
      <w:pPr>
        <w:pStyle w:val="2"/>
        <w:jc w:val="right"/>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 xml:space="preserve">             武汉市东西湖区人民政府慈惠街道办事处</w:t>
      </w:r>
    </w:p>
    <w:p w14:paraId="3CCCB77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68E87"/>
    <w:multiLevelType w:val="singleLevel"/>
    <w:tmpl w:val="B5968E87"/>
    <w:lvl w:ilvl="0" w:tentative="0">
      <w:start w:val="1"/>
      <w:numFmt w:val="chineseCounting"/>
      <w:suff w:val="nothing"/>
      <w:lvlText w:val="%1、"/>
      <w:lvlJc w:val="left"/>
      <w:pPr>
        <w:ind w:left="300" w:firstLine="420"/>
      </w:pPr>
      <w:rPr>
        <w:rFonts w:hint="eastAsia" w:ascii="黑体" w:hAnsi="黑体" w:eastAsia="黑体" w:cs="黑体"/>
        <w:b w:val="0"/>
        <w:bCs w:val="0"/>
      </w:rPr>
    </w:lvl>
  </w:abstractNum>
  <w:abstractNum w:abstractNumId="1">
    <w:nsid w:val="FFA64F8F"/>
    <w:multiLevelType w:val="singleLevel"/>
    <w:tmpl w:val="FFA64F8F"/>
    <w:lvl w:ilvl="0" w:tentative="0">
      <w:start w:val="2"/>
      <w:numFmt w:val="decimal"/>
      <w:suff w:val="nothing"/>
      <w:lvlText w:val="（%1）"/>
      <w:lvlJc w:val="left"/>
    </w:lvl>
  </w:abstractNum>
  <w:abstractNum w:abstractNumId="2">
    <w:nsid w:val="6174CCBB"/>
    <w:multiLevelType w:val="singleLevel"/>
    <w:tmpl w:val="6174CCBB"/>
    <w:lvl w:ilvl="0" w:tentative="0">
      <w:start w:val="1"/>
      <w:numFmt w:val="chineseCounting"/>
      <w:suff w:val="nothing"/>
      <w:lvlText w:val="（%1）"/>
      <w:lvlJc w:val="left"/>
      <w:pPr>
        <w:ind w:left="-480" w:firstLine="420"/>
      </w:pPr>
      <w:rPr>
        <w:rFonts w:hint="eastAsia"/>
      </w:rPr>
    </w:lvl>
  </w:abstractNum>
  <w:abstractNum w:abstractNumId="3">
    <w:nsid w:val="794CE6B7"/>
    <w:multiLevelType w:val="singleLevel"/>
    <w:tmpl w:val="794CE6B7"/>
    <w:lvl w:ilvl="0" w:tentative="0">
      <w:start w:val="1"/>
      <w:numFmt w:val="chineseCounting"/>
      <w:suff w:val="nothing"/>
      <w:lvlText w:val="（%1）"/>
      <w:lvlJc w:val="left"/>
      <w:pPr>
        <w:ind w:left="-480" w:firstLine="420"/>
      </w:pPr>
      <w:rPr>
        <w:rFonts w:hint="eastAsia" w:ascii="楷体" w:hAnsi="楷体" w:eastAsia="楷体" w:cs="楷体"/>
        <w:b w:val="0"/>
        <w:bCs w:val="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27325"/>
    <w:rsid w:val="08D27325"/>
    <w:rsid w:val="163320D1"/>
    <w:rsid w:val="174B4075"/>
    <w:rsid w:val="39A05E7E"/>
    <w:rsid w:val="3FF62F17"/>
    <w:rsid w:val="4C1F739C"/>
    <w:rsid w:val="676A13C4"/>
    <w:rsid w:val="7627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Body text|1"/>
    <w:basedOn w:val="1"/>
    <w:qFormat/>
    <w:uiPriority w:val="0"/>
    <w:pPr>
      <w:widowControl w:val="0"/>
      <w:shd w:val="clear" w:color="auto" w:fill="auto"/>
      <w:spacing w:line="420" w:lineRule="auto"/>
      <w:ind w:firstLine="400"/>
    </w:pPr>
    <w:rPr>
      <w:rFonts w:ascii="宋体" w:hAnsi="宋体" w:eastAsia="宋体" w:cs="宋体"/>
      <w:sz w:val="28"/>
      <w:szCs w:val="28"/>
      <w:u w:val="none"/>
      <w:shd w:val="clear" w:color="auto" w:fill="auto"/>
      <w:lang w:val="zh-TW" w:eastAsia="zh-TW" w:bidi="zh-TW"/>
    </w:rPr>
  </w:style>
  <w:style w:type="paragraph" w:customStyle="1" w:styleId="6">
    <w:name w:val="Body text|2"/>
    <w:basedOn w:val="1"/>
    <w:qFormat/>
    <w:uiPriority w:val="0"/>
    <w:pPr>
      <w:widowControl w:val="0"/>
      <w:shd w:val="clear" w:color="auto" w:fill="auto"/>
      <w:spacing w:line="312" w:lineRule="exact"/>
      <w:ind w:firstLine="460"/>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5488</Words>
  <Characters>5996</Characters>
  <Lines>0</Lines>
  <Paragraphs>0</Paragraphs>
  <TotalTime>1</TotalTime>
  <ScaleCrop>false</ScaleCrop>
  <LinksUpToDate>false</LinksUpToDate>
  <CharactersWithSpaces>6057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2026-04-22T07:36:00Z</dcterms:created>
  <dc:creator>肖蓉成</dc:creator>
  <cp:lastModifiedBy>肖蓉成</cp:lastModifiedBy>
  <dcterms:modified xsi:type="dcterms:W3CDTF">2026-04-30T04:50:57Z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A1F740204FB3498AB1995402FEDAF724_11</vt:lpwstr>
  </property>
  <property fmtid="{D5CDD505-2E9C-101B-9397-08002B2CF9AE}" pid="4" name="KSOTemplateDocerSaveRecord">
    <vt:lpwstr>eyJoZGlkIjoiZDM3OWVlZDFlNWVkZTZmYjI4ODNmNzJkNTZlY2IzOWEiLCJ1c2VySWQiOiIxMDM1MjEyMTk1In0=</vt:lpwstr>
  </property>
</Properties>
</file>