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D5" w:rsidRDefault="00174D9D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武汉市东西湖区人民政府慈惠街道办事处</w:t>
      </w:r>
    </w:p>
    <w:p w:rsidR="006F7CD5" w:rsidRDefault="00174D9D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2025</w:t>
      </w: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年度街办各类税费缴款项目绩效自评结果</w:t>
      </w:r>
    </w:p>
    <w:p w:rsidR="006F7CD5" w:rsidRDefault="00174D9D">
      <w:pPr>
        <w:pStyle w:val="Bodytext1"/>
        <w:spacing w:after="700" w:line="240" w:lineRule="auto"/>
        <w:ind w:firstLine="0"/>
        <w:jc w:val="center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（缩略版）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1.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自评结论</w:t>
      </w:r>
    </w:p>
    <w:bookmarkEnd w:id="0"/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1.1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自评</w:t>
      </w:r>
      <w:r>
        <w:rPr>
          <w:rFonts w:ascii="楷体" w:eastAsia="楷体" w:hAnsi="楷体" w:cs="楷体" w:hint="eastAsia"/>
          <w:sz w:val="32"/>
          <w:szCs w:val="32"/>
        </w:rPr>
        <w:t>得分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根据项目绩效自评标准和对项目绩效目标完成情况的分析，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年度街办各类税费缴款项目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（以下简称“项目”）</w:t>
      </w:r>
      <w:r>
        <w:rPr>
          <w:rFonts w:ascii="仿宋" w:eastAsia="仿宋" w:hAnsi="仿宋" w:cs="仿宋" w:hint="eastAsia"/>
          <w:sz w:val="32"/>
          <w:szCs w:val="32"/>
        </w:rPr>
        <w:t>绩效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</w:t>
      </w:r>
      <w:r>
        <w:rPr>
          <w:rFonts w:ascii="仿宋" w:eastAsia="仿宋" w:hAnsi="仿宋" w:cs="仿宋" w:hint="eastAsia"/>
          <w:sz w:val="32"/>
          <w:szCs w:val="32"/>
        </w:rPr>
        <w:t>综</w:t>
      </w:r>
      <w:r>
        <w:rPr>
          <w:rFonts w:ascii="仿宋" w:eastAsia="仿宋" w:hAnsi="仿宋" w:cs="仿宋" w:hint="eastAsia"/>
          <w:sz w:val="32"/>
          <w:szCs w:val="32"/>
        </w:rPr>
        <w:t>合评分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90.32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绩效自评等级划分为“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优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”。</w:t>
      </w:r>
    </w:p>
    <w:tbl>
      <w:tblPr>
        <w:tblW w:w="4800" w:type="pct"/>
        <w:tblInd w:w="92" w:type="dxa"/>
        <w:tblLook w:val="04A0" w:firstRow="1" w:lastRow="0" w:firstColumn="1" w:lastColumn="0" w:noHBand="0" w:noVBand="1"/>
      </w:tblPr>
      <w:tblGrid>
        <w:gridCol w:w="2080"/>
        <w:gridCol w:w="1654"/>
        <w:gridCol w:w="1654"/>
        <w:gridCol w:w="1654"/>
        <w:gridCol w:w="1657"/>
      </w:tblGrid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得分率</w:t>
            </w:r>
          </w:p>
        </w:tc>
      </w:tr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 xml:space="preserve">18.32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91.59%</w:t>
            </w:r>
          </w:p>
        </w:tc>
      </w:tr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6F7CD5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</w:t>
            </w:r>
            <w:r>
              <w:rPr>
                <w:rFonts w:ascii="仿宋" w:eastAsia="仿宋" w:hAnsi="仿宋" w:cs="仿宋" w:hint="eastAsia"/>
                <w:lang w:eastAsia="zh-CN"/>
              </w:rPr>
              <w:t>0%</w:t>
            </w:r>
          </w:p>
        </w:tc>
      </w:tr>
      <w:tr w:rsidR="006F7CD5">
        <w:trPr>
          <w:trHeight w:val="40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 xml:space="preserve">90.32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7CD5" w:rsidRDefault="00174D9D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90.32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</w:tbl>
    <w:bookmarkEnd w:id="1"/>
    <w:p w:rsidR="006F7CD5" w:rsidRDefault="00174D9D">
      <w:pPr>
        <w:pStyle w:val="Bodytext1"/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 </w:t>
      </w:r>
      <w:r>
        <w:rPr>
          <w:rFonts w:ascii="楷体" w:eastAsia="楷体" w:hAnsi="楷体" w:cs="楷体" w:hint="eastAsia"/>
          <w:sz w:val="32"/>
          <w:szCs w:val="32"/>
        </w:rPr>
        <w:t>绩效目标完成情况</w:t>
      </w:r>
    </w:p>
    <w:p w:rsidR="006F7CD5" w:rsidRDefault="00174D9D">
      <w:pPr>
        <w:pStyle w:val="Bodytext1"/>
        <w:tabs>
          <w:tab w:val="left" w:pos="819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1.2.1 </w:t>
      </w:r>
      <w:r>
        <w:rPr>
          <w:rFonts w:ascii="楷体" w:eastAsia="楷体" w:hAnsi="楷体" w:cs="楷体" w:hint="eastAsia"/>
          <w:sz w:val="32"/>
          <w:szCs w:val="32"/>
        </w:rPr>
        <w:t>执行率情况</w:t>
      </w:r>
    </w:p>
    <w:p w:rsidR="006F7CD5" w:rsidRDefault="00174D9D">
      <w:pPr>
        <w:pStyle w:val="Bodytext1"/>
        <w:spacing w:line="560" w:lineRule="exact"/>
        <w:ind w:firstLine="500"/>
        <w:jc w:val="both"/>
        <w:rPr>
          <w:rFonts w:ascii="仿宋" w:eastAsia="仿宋" w:hAnsi="仿宋" w:cs="仿宋"/>
          <w:sz w:val="32"/>
          <w:szCs w:val="32"/>
          <w:lang w:val="en-US"/>
        </w:rPr>
      </w:pPr>
      <w:r>
        <w:rPr>
          <w:rFonts w:ascii="仿宋" w:eastAsia="仿宋" w:hAnsi="仿宋" w:cs="仿宋" w:hint="eastAsia"/>
          <w:sz w:val="32"/>
          <w:szCs w:val="32"/>
        </w:rPr>
        <w:t>该项目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资金主要用于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街办各类税费缴款项目，如：还建房商铺有偿转让税费，还建房商铺房产税、土地使用税、滞纳金等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度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项目申报预算资金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实际到位资金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lastRenderedPageBreak/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实际支出执行数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2,708.14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91.59%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6F7CD5" w:rsidRDefault="00174D9D">
      <w:pPr>
        <w:pStyle w:val="Bodytext1"/>
        <w:tabs>
          <w:tab w:val="left" w:pos="863"/>
        </w:tabs>
        <w:spacing w:line="560" w:lineRule="exact"/>
        <w:ind w:firstLineChars="200" w:firstLine="640"/>
        <w:jc w:val="both"/>
        <w:rPr>
          <w:rFonts w:ascii="楷体" w:eastAsia="PMingLiU" w:hAnsi="楷体" w:cs="楷体"/>
          <w:sz w:val="32"/>
          <w:szCs w:val="32"/>
        </w:rPr>
      </w:pPr>
      <w:bookmarkStart w:id="2" w:name="bookmark6"/>
      <w:bookmarkEnd w:id="2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1.2.2 </w:t>
      </w:r>
      <w:r>
        <w:rPr>
          <w:rFonts w:ascii="楷体" w:eastAsia="楷体" w:hAnsi="楷体" w:cs="楷体" w:hint="eastAsia"/>
          <w:sz w:val="32"/>
          <w:szCs w:val="32"/>
        </w:rPr>
        <w:t>完成的绩效目标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项目共设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个绩效指标，完成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个。</w:t>
      </w:r>
    </w:p>
    <w:p w:rsidR="006F7CD5" w:rsidRDefault="00174D9D">
      <w:pPr>
        <w:pStyle w:val="Bodytext1"/>
        <w:tabs>
          <w:tab w:val="left" w:pos="863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未完成的绩效目标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社会效益指标：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“盘活还建房商铺”年初目标值设定“盘活”，该指标非量化指标，完成情况根据定性指标计分原则按照设定分值的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80%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计分。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服务对象满意度指标：</w:t>
      </w:r>
    </w:p>
    <w:p w:rsidR="006F7CD5" w:rsidRDefault="00174D9D">
      <w:pPr>
        <w:pStyle w:val="a4"/>
        <w:ind w:firstLineChars="200" w:firstLine="640"/>
        <w:rPr>
          <w:highlight w:val="yellow"/>
          <w:lang w:val="en-US"/>
        </w:rPr>
      </w:pPr>
      <w:r>
        <w:rPr>
          <w:rFonts w:hint="eastAsia"/>
          <w:lang w:val="en-US"/>
        </w:rPr>
        <w:t>“过户单位对街道服务满意度”年初目标值设定“≥</w:t>
      </w:r>
      <w:r>
        <w:rPr>
          <w:rFonts w:hint="eastAsia"/>
          <w:lang w:val="en-US"/>
        </w:rPr>
        <w:t>90%</w:t>
      </w:r>
      <w:r>
        <w:rPr>
          <w:rFonts w:hint="eastAsia"/>
          <w:lang w:val="en-US"/>
        </w:rPr>
        <w:t>”</w:t>
      </w:r>
      <w:r>
        <w:rPr>
          <w:rFonts w:hint="eastAsia"/>
          <w:lang w:val="en-US"/>
        </w:rPr>
        <w:t>，完成情况根据定性指标计分原则按照设定分值的</w:t>
      </w:r>
      <w:r>
        <w:rPr>
          <w:rFonts w:hint="eastAsia"/>
          <w:lang w:val="en-US"/>
        </w:rPr>
        <w:t>80%</w:t>
      </w:r>
      <w:r>
        <w:rPr>
          <w:rFonts w:hint="eastAsia"/>
          <w:lang w:val="en-US"/>
        </w:rPr>
        <w:t>计分</w:t>
      </w:r>
      <w:r>
        <w:rPr>
          <w:rFonts w:hint="eastAsia"/>
          <w:lang w:val="en-US"/>
        </w:rPr>
        <w:t>。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  <w:lang w:val="zh-TW" w:eastAsia="zh-TW" w:bidi="zh-TW"/>
        </w:rPr>
      </w:pPr>
      <w:r>
        <w:rPr>
          <w:rFonts w:ascii="楷体" w:eastAsia="楷体" w:hAnsi="楷体" w:cs="楷体" w:hint="eastAsia"/>
          <w:sz w:val="32"/>
          <w:szCs w:val="32"/>
          <w:lang w:eastAsia="zh-CN" w:bidi="zh-TW"/>
        </w:rPr>
        <w:t xml:space="preserve">1.3 </w:t>
      </w:r>
      <w:r>
        <w:rPr>
          <w:rFonts w:ascii="楷体" w:eastAsia="楷体" w:hAnsi="楷体" w:cs="楷体" w:hint="eastAsia"/>
          <w:sz w:val="32"/>
          <w:szCs w:val="32"/>
          <w:lang w:val="zh-TW" w:eastAsia="zh-TW" w:bidi="zh-TW"/>
        </w:rPr>
        <w:t>存在的问题和原因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上年度绩效自评结果应用情况</w:t>
      </w:r>
    </w:p>
    <w:p w:rsidR="006F7CD5" w:rsidRDefault="00174D9D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eastAsia="zh-CN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  <w:lang w:val="en-US" w:eastAsia="zh-CN"/>
        </w:rPr>
        <w:t>本项目为新增项目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。</w:t>
      </w:r>
    </w:p>
    <w:p w:rsidR="006F7CD5" w:rsidRDefault="00174D9D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本年度绩效存在的问题和原因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_GB2312" w:eastAsia="楷体_GB2312"/>
          <w:color w:val="000000" w:themeColor="text1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</w:t>
      </w:r>
      <w:r>
        <w:rPr>
          <w:rFonts w:ascii="楷体_GB2312" w:eastAsia="楷体_GB2312" w:hint="eastAsia"/>
          <w:color w:val="000000" w:themeColor="text1"/>
          <w:sz w:val="32"/>
          <w:szCs w:val="32"/>
          <w:lang w:val="en-US" w:eastAsia="zh-CN"/>
        </w:rPr>
        <w:t>目标值</w:t>
      </w:r>
      <w:r>
        <w:rPr>
          <w:rFonts w:ascii="楷体_GB2312" w:eastAsia="楷体_GB2312" w:hint="eastAsia"/>
          <w:color w:val="000000" w:themeColor="text1"/>
          <w:sz w:val="32"/>
          <w:szCs w:val="32"/>
          <w:lang w:eastAsia="zh-CN"/>
        </w:rPr>
        <w:t>的科学性上有待提升</w:t>
      </w:r>
    </w:p>
    <w:p w:rsidR="006F7CD5" w:rsidRDefault="00174D9D">
      <w:pPr>
        <w:pStyle w:val="a4"/>
        <w:ind w:firstLineChars="200" w:firstLine="640"/>
        <w:rPr>
          <w:rFonts w:cs="Arial"/>
          <w:bCs/>
          <w:caps/>
          <w:color w:val="000000" w:themeColor="text1"/>
        </w:rPr>
      </w:pPr>
      <w:r>
        <w:rPr>
          <w:rFonts w:cs="Arial" w:hint="eastAsia"/>
          <w:bCs/>
          <w:caps/>
          <w:color w:val="000000" w:themeColor="text1"/>
          <w:lang w:val="en-US"/>
        </w:rPr>
        <w:t>本</w:t>
      </w:r>
      <w:r>
        <w:rPr>
          <w:rFonts w:cs="Arial" w:hint="eastAsia"/>
          <w:bCs/>
          <w:caps/>
          <w:color w:val="000000" w:themeColor="text1"/>
        </w:rPr>
        <w:t>项目制定了年度目标，并进一步细化绩效指标，具体设有项目产出指标、效益指标及满意度指标，但</w:t>
      </w:r>
      <w:r>
        <w:rPr>
          <w:rFonts w:cs="Arial" w:hint="eastAsia"/>
          <w:bCs/>
          <w:caps/>
          <w:color w:val="000000" w:themeColor="text1"/>
          <w:lang w:val="en-US"/>
        </w:rPr>
        <w:t>整体三级指标设置较少，建议设置税费合规率、税费及时率、涉税资料完整率、税费滞纳金发生次数等指标，效益指标建议设置经济效益指标</w:t>
      </w:r>
      <w:r>
        <w:rPr>
          <w:rFonts w:cs="Arial" w:hint="eastAsia"/>
          <w:bCs/>
          <w:caps/>
          <w:color w:val="000000" w:themeColor="text1"/>
          <w:lang w:val="en-US"/>
        </w:rPr>
        <w:t>-</w:t>
      </w:r>
      <w:r>
        <w:rPr>
          <w:rFonts w:cs="Arial" w:hint="eastAsia"/>
          <w:bCs/>
          <w:caps/>
          <w:color w:val="000000" w:themeColor="text1"/>
          <w:lang w:val="en-US"/>
        </w:rPr>
        <w:t>涉税</w:t>
      </w:r>
      <w:r>
        <w:rPr>
          <w:rFonts w:cs="Arial" w:hint="eastAsia"/>
          <w:bCs/>
          <w:caps/>
          <w:color w:val="000000" w:themeColor="text1"/>
          <w:lang w:val="en-US"/>
        </w:rPr>
        <w:lastRenderedPageBreak/>
        <w:t>风险损失降低率、税费优惠政策利用率等，且</w:t>
      </w:r>
      <w:r>
        <w:rPr>
          <w:rFonts w:cs="Arial" w:hint="eastAsia"/>
          <w:bCs/>
          <w:caps/>
          <w:color w:val="000000" w:themeColor="text1"/>
        </w:rPr>
        <w:t>社会效益指标“盘活还建房商铺”设定后无完整的自评考核资料支撑，未体现项目</w:t>
      </w:r>
      <w:r>
        <w:rPr>
          <w:rFonts w:cs="Arial" w:hint="eastAsia"/>
          <w:bCs/>
          <w:caps/>
          <w:color w:val="000000" w:themeColor="text1"/>
          <w:lang w:val="en-US"/>
        </w:rPr>
        <w:t>效益</w:t>
      </w:r>
      <w:r>
        <w:rPr>
          <w:rFonts w:cs="Arial" w:hint="eastAsia"/>
          <w:bCs/>
          <w:caps/>
          <w:color w:val="000000" w:themeColor="text1"/>
        </w:rPr>
        <w:t>情况。</w:t>
      </w:r>
    </w:p>
    <w:p w:rsidR="006F7CD5" w:rsidRDefault="00174D9D">
      <w:pPr>
        <w:pStyle w:val="a4"/>
        <w:ind w:firstLineChars="200" w:firstLine="640"/>
        <w:rPr>
          <w:rFonts w:ascii="楷体" w:eastAsia="楷体" w:hAnsi="楷体" w:cs="楷体"/>
          <w:lang w:val="en-US" w:bidi="zh-TW"/>
        </w:rPr>
      </w:pPr>
      <w:r>
        <w:rPr>
          <w:rFonts w:ascii="楷体" w:eastAsia="楷体" w:hAnsi="楷体" w:cs="楷体" w:hint="eastAsia"/>
          <w:lang w:val="en-US" w:bidi="zh-TW"/>
        </w:rPr>
        <w:t xml:space="preserve">1.3.2.2 </w:t>
      </w:r>
      <w:r>
        <w:rPr>
          <w:rFonts w:ascii="楷体" w:eastAsia="楷体" w:hAnsi="楷体" w:cs="楷体" w:hint="eastAsia"/>
          <w:lang w:val="en-US" w:bidi="zh-TW"/>
        </w:rPr>
        <w:t>绩效目标管理有待加强</w:t>
      </w:r>
    </w:p>
    <w:p w:rsidR="006F7CD5" w:rsidRDefault="00174D9D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highlight w:val="yellow"/>
          <w:lang w:val="en-US" w:eastAsia="zh-CN"/>
        </w:rPr>
      </w:pPr>
      <w:r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val="en-US" w:eastAsia="zh-CN" w:bidi="en-US"/>
        </w:rPr>
        <w:t>慈惠街制定了财政预算管理方面的相关制度，但更多是财务管理制度，而缺少绩效目标管理、运行监控、绩效自评等相关制度办法，绩效管理工作缺乏统一规范和制度保障，制度化、规范化、长效化管理水平有待进一步提升。</w:t>
      </w:r>
    </w:p>
    <w:p w:rsidR="006F7CD5" w:rsidRDefault="00174D9D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 </w:t>
      </w:r>
      <w:r>
        <w:rPr>
          <w:rFonts w:ascii="楷体" w:eastAsia="楷体" w:hAnsi="楷体" w:cs="楷体" w:hint="eastAsia"/>
          <w:sz w:val="32"/>
          <w:szCs w:val="32"/>
        </w:rPr>
        <w:t>下一步拟改进措施</w:t>
      </w:r>
    </w:p>
    <w:p w:rsidR="006F7CD5" w:rsidRDefault="00174D9D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下一步拟改进措施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1.4.1.1</w:t>
      </w:r>
      <w:r>
        <w:rPr>
          <w:rFonts w:ascii="楷体_GB2312" w:eastAsia="楷体_GB2312" w:hint="eastAsia"/>
          <w:sz w:val="32"/>
          <w:szCs w:val="32"/>
          <w:lang w:eastAsia="zh-CN"/>
        </w:rPr>
        <w:t>优化事前管理，进一步提高决策的规范性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建立健全绩效指标体系，加强绩效管理意识，提高预算编制水平。每年根据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项目特点及项目变化情况，合理编制项目涉及</w:t>
      </w:r>
      <w:bookmarkStart w:id="3" w:name="_GoBack"/>
      <w:bookmarkEnd w:id="3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的绩效目标值。同时把绩效评价结果作为本年度预算调整和下年度资金安排、预算编制的重要依据，细化预算指标，科学合理编制部门预算，推进预算编制科学化、准确化。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1.4.1.2</w:t>
      </w:r>
      <w:r>
        <w:rPr>
          <w:rFonts w:ascii="楷体_GB2312" w:eastAsia="楷体_GB2312" w:hint="eastAsia"/>
          <w:sz w:val="32"/>
          <w:szCs w:val="32"/>
          <w:lang w:eastAsia="zh-CN"/>
        </w:rPr>
        <w:t>加强事中监管，进一步提高产出质量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 w:bidi="zh-TW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年度预算执行中，根据实际情况，定期做好预算执行分析，掌握预算执行进度，及时找出预算实际执行情况与预算目标之间存在的差距，纠正偏差。</w:t>
      </w:r>
    </w:p>
    <w:p w:rsidR="006F7CD5" w:rsidRDefault="00174D9D">
      <w:pPr>
        <w:pStyle w:val="a4"/>
        <w:ind w:firstLineChars="200" w:firstLine="640"/>
        <w:rPr>
          <w:rFonts w:ascii="楷体" w:eastAsia="楷体" w:hAnsi="楷体" w:cs="楷体"/>
          <w:lang w:val="en-US"/>
        </w:rPr>
      </w:pPr>
      <w:r>
        <w:rPr>
          <w:rFonts w:ascii="楷体" w:eastAsia="楷体" w:hAnsi="楷体" w:cs="楷体" w:hint="eastAsia"/>
          <w:lang w:val="en-US"/>
        </w:rPr>
        <w:t xml:space="preserve">1.4.1.3 </w:t>
      </w:r>
      <w:r>
        <w:rPr>
          <w:rFonts w:ascii="楷体" w:eastAsia="楷体" w:hAnsi="楷体" w:cs="楷体" w:hint="eastAsia"/>
          <w:lang w:val="en-US"/>
        </w:rPr>
        <w:t>健全制度管理体系，进一步提升资金和项目管控水</w:t>
      </w:r>
      <w:r>
        <w:rPr>
          <w:rFonts w:ascii="楷体" w:eastAsia="楷体" w:hAnsi="楷体" w:cs="楷体" w:hint="eastAsia"/>
          <w:lang w:val="en-US"/>
        </w:rPr>
        <w:lastRenderedPageBreak/>
        <w:t>平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 w:bidi="en-US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 w:bidi="en-US"/>
        </w:rPr>
        <w:t>不仅要有财务管理制度，而且还要制定针对项目的业务管理制度、管理流程等，细化管理，明确管理职责，为专项资金的规范管理提供更进一步健全、科学的制度保障。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拟与预算安排相结合情况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val="en-US" w:eastAsia="zh-CN" w:bidi="en-US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 w:bidi="en-US"/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:rsidR="006F7CD5" w:rsidRDefault="00174D9D" w:rsidP="00DB0953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100" w:firstLine="32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附件：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年度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街办各类税费缴款项目自评表</w:t>
      </w:r>
    </w:p>
    <w:p w:rsidR="006F7CD5" w:rsidRDefault="00174D9D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2.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佐证材料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 xml:space="preserve">2.1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基本情况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2.1.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1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项目立项目的和年度绩效目标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  <w:highlight w:val="yellow"/>
          <w:lang w:eastAsia="zh-CN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07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08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日，市人民政府发布《市人民政府关于推进自然资源节约集约高效利用的意见》（武政规〔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〕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10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号）文件。落实省委、省政府关于节约集约高效利用自然资源的决策部署，按照“总量锁定、增量递减、流量增效、存量优化、质量提高”五量管控目标要求，加快实施全市自然资源总量管理，严格控制建设用地规模，逐年减少新增建设用地，大力促进存量建设用地盘活利用，提升自然资源配置效率，提高自然资源利用质量，推动我市经济高质量发展。力争用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至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5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年时间，实现自然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lastRenderedPageBreak/>
        <w:t>资源节约集约高效利用政策机制、管理能力、主要指标与经济发展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水平和市场需求相适应。到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2025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年，全市新增加建设用地量与“十三五”时期相比下降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20%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，单位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GDP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地耗较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2019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年下降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30%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（规模降至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200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亩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/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亿元以下），开发区综合容积率达到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1.35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以上。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慈惠街道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根据《市人民政府关于推进自然资源节约集约高效利用的意见》（武政规〔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〕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10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号）文件中的相关规定以及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2024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年第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58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次区政府常务会议精神，拟将还建房商铺协议出让给区国有投资平台公司。</w:t>
      </w:r>
    </w:p>
    <w:p w:rsidR="006F7CD5" w:rsidRDefault="00174D9D">
      <w:pPr>
        <w:spacing w:line="560" w:lineRule="exact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项目年度绩效目标是：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为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促进存量建设用地盘活利用，提升自然资源配置效率，提高自然资源利用质量，推动我市经济高质量发展，过户商铺数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量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112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套，过户税费不超预算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2956.83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万元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，过户完成率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100%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，盘活还建房商铺，过户单位对街道服务满意度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河达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9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0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%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以上。</w:t>
      </w:r>
    </w:p>
    <w:p w:rsidR="006F7CD5" w:rsidRDefault="00174D9D">
      <w:pPr>
        <w:widowControl/>
        <w:adjustRightInd w:val="0"/>
        <w:snapToGrid w:val="0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 xml:space="preserve">2.1.2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项目资金情况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  <w:lang w:val="en-US" w:eastAsia="zh-CN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2025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年度项目申报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预算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万元，实际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到位资金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万元，项目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支出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2,708.14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万元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，项目资金来源为财政拨款，项目资金执行率为</w:t>
      </w:r>
      <w:r>
        <w:rPr>
          <w:rFonts w:ascii="仿宋" w:eastAsia="仿宋" w:hAnsi="仿宋" w:hint="eastAsia"/>
          <w:color w:val="000000" w:themeColor="text1"/>
          <w:sz w:val="32"/>
          <w:szCs w:val="32"/>
          <w:lang w:val="en-US" w:eastAsia="zh-CN"/>
        </w:rPr>
        <w:t>91.59%</w:t>
      </w:r>
      <w:r>
        <w:rPr>
          <w:rFonts w:ascii="仿宋" w:eastAsia="仿宋" w:hAnsi="仿宋" w:hint="eastAsia"/>
          <w:color w:val="000000" w:themeColor="text1"/>
          <w:sz w:val="32"/>
          <w:szCs w:val="32"/>
          <w:lang w:val="en-US" w:eastAsia="zh-CN"/>
        </w:rPr>
        <w:t>。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未发现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:rsidR="006F7CD5" w:rsidRDefault="00174D9D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"/>
          <w:sz w:val="32"/>
          <w:szCs w:val="32"/>
          <w:lang w:eastAsia="zh-CN"/>
        </w:rPr>
      </w:pPr>
      <w:r>
        <w:rPr>
          <w:rFonts w:eastAsia="仿宋" w:hint="eastAsia"/>
          <w:sz w:val="32"/>
          <w:szCs w:val="32"/>
          <w:lang w:eastAsia="zh-CN"/>
        </w:rPr>
        <w:lastRenderedPageBreak/>
        <w:t>项目资金主要用于街办各类税费缴款项目，如：还建房商铺有偿转让税费，还建房商铺房产税、土地使用税、滞纳金等。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部门自评工作开展情况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前期准备阶段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月，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武汉市东西湖区人民政府慈惠街道办事处依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照区财政局《关于开展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年度预算绩效自评及结果应用工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作的通知》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开展财政支出绩效自评工作的要求，确定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年度项目支出的预算资金作为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自评的对象，在组建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项目完整的绩效自评工作方案。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具体组织过程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根据项目绩效自评工作方案，自评小组从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3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月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日开始系统收集了本项目执行过程的资料。在系统收集项目相关资料的基础上，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自评小组对所收到的项目基础资料一一进行了核实，同时通过人员访问和问卷调查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收集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满意度指标所需要的相关资料。对照预算文本中设置的各绩效指标年度指标值，结合具体完成情况对这些指标进行了逐一分析，根据湖北省财政厅项目支出绩效自评标准，合理分配各绩效指标的分值后建立项目支出绩效自评的自评体系，在此基础上完成了对本项目的综合分析自评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自评小组对初步确定的项目支出绩效自评结果进行逐级复核、汇总、分析，核查自评工作中是否存在重复和遗漏的情况；在此基础上，撰写部门项目支出绩效自评报告初稿。与项目支出负责部门充分交换意见，并作必要修改后，在规定的时间内提交正式绩效自评报告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2.2.3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撰写项目绩效自评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报告</w:t>
      </w: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根据整理分析基础上评分，形成综合自评结果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绩效目标完成情况分析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预算执行情况分析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度项目申报预算金额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万元，实际到位资金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项目支出执行数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2,708.14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资金</w:t>
      </w:r>
      <w:r>
        <w:rPr>
          <w:rFonts w:ascii="仿宋" w:eastAsia="仿宋" w:hAnsi="仿宋" w:cs="仿宋" w:hint="eastAsia"/>
          <w:sz w:val="32"/>
          <w:szCs w:val="32"/>
        </w:rPr>
        <w:t>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91.59%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该</w:t>
      </w:r>
      <w:r>
        <w:rPr>
          <w:rFonts w:ascii="仿宋" w:eastAsia="仿宋" w:hAnsi="仿宋" w:cs="仿宋" w:hint="eastAsia"/>
          <w:sz w:val="32"/>
          <w:szCs w:val="32"/>
        </w:rPr>
        <w:t>指标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设置分值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</w:t>
      </w:r>
      <w:r>
        <w:rPr>
          <w:rFonts w:ascii="仿宋" w:eastAsia="仿宋" w:hAnsi="仿宋" w:cs="仿宋" w:hint="eastAsia"/>
          <w:sz w:val="32"/>
          <w:szCs w:val="32"/>
        </w:rPr>
        <w:t>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18.32</w:t>
      </w:r>
      <w:r>
        <w:rPr>
          <w:rFonts w:ascii="仿宋" w:eastAsia="仿宋" w:hAnsi="仿宋" w:cs="仿宋" w:hint="eastAsia"/>
          <w:sz w:val="32"/>
          <w:szCs w:val="32"/>
        </w:rPr>
        <w:t>分。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绩效目标完成情况分析。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成本指标完成情况分析</w:t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1808"/>
        <w:gridCol w:w="2171"/>
        <w:gridCol w:w="1485"/>
        <w:gridCol w:w="1485"/>
        <w:gridCol w:w="883"/>
      </w:tblGrid>
      <w:tr w:rsidR="006F7CD5">
        <w:trPr>
          <w:trHeight w:val="567"/>
          <w:jc w:val="center"/>
        </w:trPr>
        <w:tc>
          <w:tcPr>
            <w:tcW w:w="1651" w:type="dxa"/>
            <w:vAlign w:val="center"/>
          </w:tcPr>
          <w:p w:rsidR="006F7CD5" w:rsidRDefault="00174D9D">
            <w:pPr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一级指标</w:t>
            </w:r>
          </w:p>
        </w:tc>
        <w:tc>
          <w:tcPr>
            <w:tcW w:w="1808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二级指标</w:t>
            </w:r>
          </w:p>
        </w:tc>
        <w:tc>
          <w:tcPr>
            <w:tcW w:w="2171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三级指标</w:t>
            </w:r>
          </w:p>
        </w:tc>
        <w:tc>
          <w:tcPr>
            <w:tcW w:w="148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年度</w:t>
            </w:r>
            <w:r>
              <w:rPr>
                <w:rFonts w:ascii="仿宋" w:eastAsia="仿宋" w:hAnsi="仿宋" w:cs="仿宋" w:hint="eastAsia"/>
              </w:rPr>
              <w:t>目标值（</w:t>
            </w:r>
            <w:r>
              <w:rPr>
                <w:rFonts w:ascii="仿宋" w:eastAsia="仿宋" w:hAnsi="仿宋" w:cs="仿宋" w:hint="eastAsia"/>
              </w:rPr>
              <w:t>A</w:t>
            </w:r>
            <w:r>
              <w:rPr>
                <w:rFonts w:ascii="仿宋" w:eastAsia="仿宋" w:hAnsi="仿宋" w:cs="仿宋" w:hint="eastAsia"/>
              </w:rPr>
              <w:t>）</w:t>
            </w:r>
          </w:p>
        </w:tc>
        <w:tc>
          <w:tcPr>
            <w:tcW w:w="148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实际完成值（</w:t>
            </w:r>
            <w:r>
              <w:rPr>
                <w:rFonts w:ascii="仿宋" w:eastAsia="仿宋" w:hAnsi="仿宋" w:cs="仿宋" w:hint="eastAsia"/>
              </w:rPr>
              <w:t>B</w:t>
            </w:r>
            <w:r>
              <w:rPr>
                <w:rFonts w:ascii="仿宋" w:eastAsia="仿宋" w:hAnsi="仿宋" w:cs="仿宋" w:hint="eastAsia"/>
              </w:rPr>
              <w:t>）</w:t>
            </w:r>
          </w:p>
        </w:tc>
        <w:tc>
          <w:tcPr>
            <w:tcW w:w="883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得分</w:t>
            </w:r>
          </w:p>
        </w:tc>
      </w:tr>
      <w:tr w:rsidR="006F7CD5">
        <w:trPr>
          <w:trHeight w:val="1083"/>
          <w:jc w:val="center"/>
        </w:trPr>
        <w:tc>
          <w:tcPr>
            <w:tcW w:w="1651" w:type="dxa"/>
            <w:vAlign w:val="center"/>
          </w:tcPr>
          <w:p w:rsidR="006F7CD5" w:rsidRDefault="00174D9D">
            <w:pPr>
              <w:snapToGrid w:val="0"/>
              <w:ind w:firstLineChars="100" w:firstLine="24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成本指标</w:t>
            </w:r>
          </w:p>
          <w:p w:rsidR="006F7CD5" w:rsidRDefault="00174D9D">
            <w:pPr>
              <w:snapToGrid w:val="0"/>
              <w:ind w:firstLineChars="100" w:firstLine="240"/>
            </w:pPr>
            <w:r>
              <w:rPr>
                <w:rFonts w:ascii="仿宋" w:eastAsia="仿宋" w:hAnsi="仿宋" w:cs="仿宋" w:hint="eastAsia"/>
              </w:rPr>
              <w:t>（</w:t>
            </w:r>
            <w:r>
              <w:rPr>
                <w:rFonts w:ascii="仿宋" w:eastAsia="仿宋" w:hAnsi="仿宋" w:cs="仿宋" w:hint="eastAsia"/>
              </w:rPr>
              <w:t>20</w:t>
            </w:r>
            <w:r>
              <w:rPr>
                <w:rFonts w:ascii="仿宋" w:eastAsia="仿宋" w:hAnsi="仿宋" w:cs="仿宋" w:hint="eastAsia"/>
              </w:rPr>
              <w:t>分）</w:t>
            </w:r>
          </w:p>
        </w:tc>
        <w:tc>
          <w:tcPr>
            <w:tcW w:w="1808" w:type="dxa"/>
            <w:vAlign w:val="center"/>
          </w:tcPr>
          <w:p w:rsidR="006F7CD5" w:rsidRDefault="00174D9D">
            <w:pPr>
              <w:widowControl/>
              <w:snapToGrid w:val="0"/>
              <w:ind w:left="240" w:hangingChars="100" w:hanging="240"/>
              <w:jc w:val="both"/>
            </w:pPr>
            <w:r>
              <w:rPr>
                <w:rFonts w:ascii="仿宋" w:eastAsia="仿宋" w:hAnsi="仿宋" w:cs="仿宋" w:hint="eastAsia"/>
              </w:rPr>
              <w:t>经济成本指标</w:t>
            </w:r>
            <w:r>
              <w:rPr>
                <w:rFonts w:ascii="仿宋" w:eastAsia="仿宋" w:hAnsi="仿宋" w:cs="仿宋" w:hint="eastAsia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  <w:r>
              <w:rPr>
                <w:rFonts w:ascii="仿宋" w:eastAsia="仿宋" w:hAnsi="仿宋" w:cs="仿宋" w:hint="eastAsia"/>
                <w:lang w:eastAsia="zh-CN"/>
              </w:rPr>
              <w:t>分</w:t>
            </w:r>
            <w:r>
              <w:rPr>
                <w:rFonts w:ascii="仿宋" w:eastAsia="仿宋" w:hAnsi="仿宋" w:cs="仿宋" w:hint="eastAsia"/>
                <w:lang w:eastAsia="zh-CN"/>
              </w:rPr>
              <w:t>）</w:t>
            </w:r>
          </w:p>
        </w:tc>
        <w:tc>
          <w:tcPr>
            <w:tcW w:w="2171" w:type="dxa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过户税费不超预算</w:t>
            </w:r>
            <w:r>
              <w:rPr>
                <w:rFonts w:ascii="仿宋" w:eastAsia="仿宋" w:hAnsi="仿宋" w:cs="仿宋" w:hint="eastAsia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  <w:r>
              <w:rPr>
                <w:rFonts w:ascii="仿宋" w:eastAsia="仿宋" w:hAnsi="仿宋" w:cs="仿宋" w:hint="eastAsia"/>
                <w:lang w:eastAsia="zh-CN"/>
              </w:rPr>
              <w:t>分</w:t>
            </w:r>
            <w:r>
              <w:rPr>
                <w:rFonts w:ascii="仿宋" w:eastAsia="仿宋" w:hAnsi="仿宋" w:cs="仿宋" w:hint="eastAsia"/>
                <w:lang w:eastAsia="zh-CN"/>
              </w:rPr>
              <w:t>）</w:t>
            </w:r>
          </w:p>
        </w:tc>
        <w:tc>
          <w:tcPr>
            <w:tcW w:w="1485" w:type="dxa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2956.83</w:t>
            </w:r>
          </w:p>
        </w:tc>
        <w:tc>
          <w:tcPr>
            <w:tcW w:w="1485" w:type="dxa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2708.14</w:t>
            </w:r>
          </w:p>
        </w:tc>
        <w:tc>
          <w:tcPr>
            <w:tcW w:w="883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</w:tr>
    </w:tbl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经济成本指标：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“过户税费不超预算”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2956.83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”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，实际完成值为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2708.14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万元。该指标设置分值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2.3.2.2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产出指标完成情况分析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45"/>
        <w:gridCol w:w="3401"/>
        <w:gridCol w:w="1440"/>
        <w:gridCol w:w="1425"/>
        <w:gridCol w:w="769"/>
      </w:tblGrid>
      <w:tr w:rsidR="006F7CD5">
        <w:trPr>
          <w:trHeight w:val="567"/>
          <w:jc w:val="center"/>
        </w:trPr>
        <w:tc>
          <w:tcPr>
            <w:tcW w:w="1246" w:type="dxa"/>
            <w:vAlign w:val="center"/>
          </w:tcPr>
          <w:p w:rsidR="006F7CD5" w:rsidRDefault="00174D9D">
            <w:pPr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一级指标</w:t>
            </w:r>
          </w:p>
        </w:tc>
        <w:tc>
          <w:tcPr>
            <w:tcW w:w="124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二级指标</w:t>
            </w:r>
          </w:p>
        </w:tc>
        <w:tc>
          <w:tcPr>
            <w:tcW w:w="3401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三级指标</w:t>
            </w:r>
          </w:p>
        </w:tc>
        <w:tc>
          <w:tcPr>
            <w:tcW w:w="1440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年初目标值（</w:t>
            </w:r>
            <w:r>
              <w:rPr>
                <w:rFonts w:ascii="仿宋" w:eastAsia="仿宋" w:hAnsi="仿宋" w:cs="仿宋" w:hint="eastAsia"/>
              </w:rPr>
              <w:t>A</w:t>
            </w:r>
            <w:r>
              <w:rPr>
                <w:rFonts w:ascii="仿宋" w:eastAsia="仿宋" w:hAnsi="仿宋" w:cs="仿宋" w:hint="eastAsia"/>
              </w:rPr>
              <w:t>）</w:t>
            </w:r>
          </w:p>
        </w:tc>
        <w:tc>
          <w:tcPr>
            <w:tcW w:w="142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实际完成值（</w:t>
            </w:r>
            <w:r>
              <w:rPr>
                <w:rFonts w:ascii="仿宋" w:eastAsia="仿宋" w:hAnsi="仿宋" w:cs="仿宋" w:hint="eastAsia"/>
              </w:rPr>
              <w:t>B</w:t>
            </w:r>
            <w:r>
              <w:rPr>
                <w:rFonts w:ascii="仿宋" w:eastAsia="仿宋" w:hAnsi="仿宋" w:cs="仿宋" w:hint="eastAsia"/>
              </w:rPr>
              <w:t>）</w:t>
            </w:r>
          </w:p>
        </w:tc>
        <w:tc>
          <w:tcPr>
            <w:tcW w:w="769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得分</w:t>
            </w:r>
          </w:p>
        </w:tc>
      </w:tr>
      <w:tr w:rsidR="006F7CD5">
        <w:trPr>
          <w:trHeight w:val="482"/>
          <w:jc w:val="center"/>
        </w:trPr>
        <w:tc>
          <w:tcPr>
            <w:tcW w:w="1246" w:type="dxa"/>
            <w:vMerge w:val="restart"/>
            <w:vAlign w:val="center"/>
          </w:tcPr>
          <w:p w:rsidR="006F7CD5" w:rsidRDefault="00174D9D">
            <w:pPr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产出指标</w:t>
            </w:r>
          </w:p>
          <w:p w:rsidR="006F7CD5" w:rsidRDefault="00174D9D">
            <w:pPr>
              <w:snapToGrid w:val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</w:t>
            </w:r>
            <w:r>
              <w:rPr>
                <w:rFonts w:ascii="仿宋" w:eastAsia="仿宋" w:hAnsi="仿宋" w:cs="仿宋" w:hint="eastAsia"/>
              </w:rPr>
              <w:t>20</w:t>
            </w:r>
            <w:r>
              <w:rPr>
                <w:rFonts w:ascii="仿宋" w:eastAsia="仿宋" w:hAnsi="仿宋" w:cs="仿宋" w:hint="eastAsia"/>
              </w:rPr>
              <w:t>分）</w:t>
            </w:r>
          </w:p>
          <w:p w:rsidR="006F7CD5" w:rsidRDefault="006F7CD5">
            <w:pPr>
              <w:snapToGrid w:val="0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4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数量指标（</w:t>
            </w: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  <w:r>
              <w:rPr>
                <w:rFonts w:ascii="仿宋" w:eastAsia="仿宋" w:hAnsi="仿宋" w:cs="仿宋" w:hint="eastAsia"/>
              </w:rPr>
              <w:t>分）</w:t>
            </w:r>
          </w:p>
        </w:tc>
        <w:tc>
          <w:tcPr>
            <w:tcW w:w="3401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过户商铺数量</w:t>
            </w:r>
            <w:r>
              <w:rPr>
                <w:rFonts w:ascii="仿宋" w:eastAsia="仿宋" w:hAnsi="仿宋" w:cs="仿宋" w:hint="eastAsia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  <w:r>
              <w:rPr>
                <w:rFonts w:ascii="仿宋" w:eastAsia="仿宋" w:hAnsi="仿宋" w:cs="仿宋" w:hint="eastAsia"/>
                <w:lang w:eastAsia="zh-CN"/>
              </w:rPr>
              <w:t>分</w:t>
            </w:r>
            <w:r>
              <w:rPr>
                <w:rFonts w:ascii="仿宋" w:eastAsia="仿宋" w:hAnsi="仿宋" w:cs="仿宋" w:hint="eastAsia"/>
                <w:lang w:eastAsia="zh-CN"/>
              </w:rPr>
              <w:t>）</w:t>
            </w:r>
          </w:p>
        </w:tc>
        <w:tc>
          <w:tcPr>
            <w:tcW w:w="1440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112</w:t>
            </w:r>
            <w:r>
              <w:rPr>
                <w:rFonts w:ascii="仿宋" w:eastAsia="仿宋" w:hAnsi="仿宋" w:cs="仿宋" w:hint="eastAsia"/>
              </w:rPr>
              <w:t>套</w:t>
            </w:r>
          </w:p>
        </w:tc>
        <w:tc>
          <w:tcPr>
            <w:tcW w:w="142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112</w:t>
            </w:r>
            <w:r>
              <w:rPr>
                <w:rFonts w:ascii="仿宋" w:eastAsia="仿宋" w:hAnsi="仿宋" w:cs="仿宋" w:hint="eastAsia"/>
              </w:rPr>
              <w:t>套</w:t>
            </w:r>
          </w:p>
        </w:tc>
        <w:tc>
          <w:tcPr>
            <w:tcW w:w="769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</w:p>
        </w:tc>
      </w:tr>
      <w:tr w:rsidR="006F7CD5">
        <w:trPr>
          <w:trHeight w:val="467"/>
          <w:jc w:val="center"/>
        </w:trPr>
        <w:tc>
          <w:tcPr>
            <w:tcW w:w="1246" w:type="dxa"/>
            <w:vMerge/>
            <w:vAlign w:val="center"/>
          </w:tcPr>
          <w:p w:rsidR="006F7CD5" w:rsidRDefault="006F7CD5">
            <w:pPr>
              <w:snapToGrid w:val="0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4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质量指标（</w:t>
            </w: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  <w:r>
              <w:rPr>
                <w:rFonts w:ascii="仿宋" w:eastAsia="仿宋" w:hAnsi="仿宋" w:cs="仿宋" w:hint="eastAsia"/>
              </w:rPr>
              <w:t>分）</w:t>
            </w:r>
          </w:p>
        </w:tc>
        <w:tc>
          <w:tcPr>
            <w:tcW w:w="3401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过户完成率（</w:t>
            </w:r>
            <w:r>
              <w:rPr>
                <w:rFonts w:ascii="仿宋" w:eastAsia="仿宋" w:hAnsi="仿宋" w:cs="仿宋" w:hint="eastAsia"/>
              </w:rPr>
              <w:t>7</w:t>
            </w:r>
            <w:r>
              <w:rPr>
                <w:rFonts w:ascii="仿宋" w:eastAsia="仿宋" w:hAnsi="仿宋" w:cs="仿宋" w:hint="eastAsia"/>
              </w:rPr>
              <w:t>分）</w:t>
            </w:r>
          </w:p>
        </w:tc>
        <w:tc>
          <w:tcPr>
            <w:tcW w:w="1440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=100%</w:t>
            </w:r>
          </w:p>
        </w:tc>
        <w:tc>
          <w:tcPr>
            <w:tcW w:w="142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=100%</w:t>
            </w:r>
          </w:p>
        </w:tc>
        <w:tc>
          <w:tcPr>
            <w:tcW w:w="769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</w:p>
        </w:tc>
      </w:tr>
      <w:tr w:rsidR="006F7CD5">
        <w:trPr>
          <w:trHeight w:val="487"/>
          <w:jc w:val="center"/>
        </w:trPr>
        <w:tc>
          <w:tcPr>
            <w:tcW w:w="1246" w:type="dxa"/>
            <w:vMerge/>
            <w:vAlign w:val="center"/>
          </w:tcPr>
          <w:p w:rsidR="006F7CD5" w:rsidRDefault="006F7CD5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4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时效指标（</w:t>
            </w:r>
            <w:r>
              <w:rPr>
                <w:rFonts w:ascii="仿宋" w:eastAsia="仿宋" w:hAnsi="仿宋" w:cs="仿宋" w:hint="eastAsia"/>
                <w:lang w:eastAsia="zh-CN"/>
              </w:rPr>
              <w:t>6</w:t>
            </w:r>
            <w:r>
              <w:rPr>
                <w:rFonts w:ascii="仿宋" w:eastAsia="仿宋" w:hAnsi="仿宋" w:cs="仿宋" w:hint="eastAsia"/>
              </w:rPr>
              <w:t>分）</w:t>
            </w:r>
          </w:p>
        </w:tc>
        <w:tc>
          <w:tcPr>
            <w:tcW w:w="3401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过户完成及时性（</w:t>
            </w:r>
            <w:r>
              <w:rPr>
                <w:rFonts w:ascii="仿宋" w:eastAsia="仿宋" w:hAnsi="仿宋" w:cs="仿宋" w:hint="eastAsia"/>
                <w:lang w:eastAsia="zh-CN"/>
              </w:rPr>
              <w:t>6</w:t>
            </w:r>
            <w:r>
              <w:rPr>
                <w:rFonts w:ascii="仿宋" w:eastAsia="仿宋" w:hAnsi="仿宋" w:cs="仿宋" w:hint="eastAsia"/>
                <w:lang w:eastAsia="zh-CN"/>
              </w:rPr>
              <w:t>分）</w:t>
            </w:r>
          </w:p>
        </w:tc>
        <w:tc>
          <w:tcPr>
            <w:tcW w:w="1440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</w:rPr>
              <w:t>及时</w:t>
            </w:r>
          </w:p>
        </w:tc>
        <w:tc>
          <w:tcPr>
            <w:tcW w:w="1425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</w:rPr>
              <w:t>及时</w:t>
            </w:r>
          </w:p>
        </w:tc>
        <w:tc>
          <w:tcPr>
            <w:tcW w:w="769" w:type="dxa"/>
            <w:vAlign w:val="center"/>
          </w:tcPr>
          <w:p w:rsidR="006F7CD5" w:rsidRDefault="00174D9D">
            <w:pPr>
              <w:widowControl/>
              <w:snapToGrid w:val="0"/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6</w:t>
            </w:r>
          </w:p>
        </w:tc>
      </w:tr>
    </w:tbl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数量指标：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bCs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“过户商铺数量”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112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套”，</w:t>
      </w:r>
      <w:r>
        <w:rPr>
          <w:rFonts w:ascii="仿宋" w:eastAsia="仿宋" w:hAnsi="仿宋" w:cs="仿宋" w:hint="eastAsia"/>
          <w:bCs/>
          <w:caps/>
          <w:color w:val="000000" w:themeColor="text1"/>
          <w:sz w:val="32"/>
          <w:szCs w:val="32"/>
          <w:lang w:eastAsia="zh-CN"/>
        </w:rPr>
        <w:t>经汇总分析，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基过户商铺数量</w:t>
      </w:r>
      <w:r>
        <w:rPr>
          <w:rFonts w:ascii="仿宋" w:eastAsia="仿宋" w:hAnsi="仿宋" w:cs="仿宋" w:hint="eastAsia"/>
          <w:bCs/>
          <w:caps/>
          <w:color w:val="000000" w:themeColor="text1"/>
          <w:sz w:val="32"/>
          <w:szCs w:val="32"/>
          <w:lang w:eastAsia="zh-CN"/>
        </w:rPr>
        <w:t>实际完成</w:t>
      </w:r>
      <w:r>
        <w:rPr>
          <w:rFonts w:ascii="仿宋" w:eastAsia="仿宋" w:hAnsi="仿宋" w:cs="仿宋" w:hint="eastAsia"/>
          <w:bCs/>
          <w:caps/>
          <w:color w:val="000000" w:themeColor="text1"/>
          <w:sz w:val="32"/>
          <w:szCs w:val="32"/>
          <w:lang w:eastAsia="zh-CN"/>
        </w:rPr>
        <w:t>112</w:t>
      </w:r>
      <w:r>
        <w:rPr>
          <w:rFonts w:ascii="仿宋" w:eastAsia="仿宋" w:hAnsi="仿宋" w:cs="仿宋" w:hint="eastAsia"/>
          <w:bCs/>
          <w:caps/>
          <w:color w:val="000000" w:themeColor="text1"/>
          <w:sz w:val="32"/>
          <w:szCs w:val="32"/>
          <w:lang w:eastAsia="zh-CN"/>
        </w:rPr>
        <w:t>套。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32"/>
          <w:lang w:eastAsia="zh-CN"/>
        </w:rPr>
        <w:t>该指标设置分值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32"/>
          <w:lang w:eastAsia="zh-CN"/>
        </w:rPr>
        <w:t>7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32"/>
          <w:lang w:eastAsia="zh-CN"/>
        </w:rPr>
        <w:t>分，自评得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32"/>
          <w:lang w:eastAsia="zh-CN"/>
        </w:rPr>
        <w:t>7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32"/>
          <w:lang w:eastAsia="zh-CN"/>
        </w:rPr>
        <w:t>分；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质量指标：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“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过户完成率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=100%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”，实际完成情况为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。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该指标设置分值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7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分，自评得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7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分；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时效指标：</w:t>
      </w:r>
    </w:p>
    <w:p w:rsidR="006F7CD5" w:rsidRDefault="00174D9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“过户完成及时性”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年度目标值设定“及时”，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实际完成情况为过户完成及时。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该指标设置分值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6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分，自评得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6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分。</w:t>
      </w:r>
    </w:p>
    <w:p w:rsidR="006F7CD5" w:rsidRDefault="00174D9D">
      <w:pPr>
        <w:pStyle w:val="Bodytext1"/>
        <w:spacing w:line="560" w:lineRule="exact"/>
        <w:ind w:left="640" w:firstLine="0"/>
        <w:rPr>
          <w:rFonts w:ascii="楷体" w:eastAsia="楷体" w:hAnsi="楷体" w:cs="楷体"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2.3.2.3 </w:t>
      </w:r>
      <w:r>
        <w:rPr>
          <w:rFonts w:ascii="楷体" w:eastAsia="楷体" w:hAnsi="楷体" w:cs="楷体" w:hint="eastAsia"/>
          <w:bCs/>
          <w:sz w:val="32"/>
          <w:szCs w:val="32"/>
          <w:lang w:val="en-US" w:eastAsia="zh-CN"/>
        </w:rPr>
        <w:t>效益指标完成情况分析</w:t>
      </w:r>
    </w:p>
    <w:tbl>
      <w:tblPr>
        <w:tblW w:w="5256" w:type="pct"/>
        <w:tblInd w:w="-221" w:type="dxa"/>
        <w:tblLayout w:type="fixed"/>
        <w:tblLook w:val="04A0" w:firstRow="1" w:lastRow="0" w:firstColumn="1" w:lastColumn="0" w:noHBand="0" w:noVBand="1"/>
      </w:tblPr>
      <w:tblGrid>
        <w:gridCol w:w="1609"/>
        <w:gridCol w:w="1302"/>
        <w:gridCol w:w="2884"/>
        <w:gridCol w:w="1423"/>
        <w:gridCol w:w="1452"/>
        <w:gridCol w:w="855"/>
      </w:tblGrid>
      <w:tr w:rsidR="006F7CD5">
        <w:trPr>
          <w:trHeight w:val="522"/>
        </w:trPr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一级指标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B)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</w:t>
            </w:r>
          </w:p>
        </w:tc>
      </w:tr>
      <w:tr w:rsidR="006F7CD5">
        <w:trPr>
          <w:trHeight w:val="80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效益指标</w:t>
            </w:r>
          </w:p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30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社会效益指标</w:t>
            </w:r>
          </w:p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30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盘活还建房商铺（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30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盘活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盘活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24</w:t>
            </w:r>
          </w:p>
        </w:tc>
      </w:tr>
    </w:tbl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社会效益指标</w:t>
      </w:r>
      <w:r>
        <w:rPr>
          <w:rFonts w:ascii="仿宋" w:eastAsia="仿宋" w:hAnsi="仿宋" w:cs="仿宋" w:hint="eastAsia"/>
          <w:bCs/>
          <w:sz w:val="32"/>
          <w:szCs w:val="32"/>
          <w:lang w:eastAsia="zh-CN"/>
        </w:rPr>
        <w:t>：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Cs/>
          <w:sz w:val="32"/>
          <w:szCs w:val="32"/>
          <w:lang w:val="en-US" w:eastAsia="zh-CN"/>
        </w:rPr>
        <w:t>“盘活还建房商铺”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</w:t>
      </w:r>
      <w:r>
        <w:rPr>
          <w:rFonts w:ascii="仿宋" w:eastAsia="仿宋" w:hAnsi="仿宋" w:cs="仿宋" w:hint="eastAsia"/>
          <w:bCs/>
          <w:sz w:val="32"/>
          <w:szCs w:val="32"/>
          <w:lang w:val="en-US" w:eastAsia="zh-CN"/>
        </w:rPr>
        <w:t>盘活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”，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/>
        </w:rPr>
        <w:t>实际完成值</w:t>
      </w:r>
      <w:r>
        <w:rPr>
          <w:rFonts w:ascii="仿宋" w:eastAsia="仿宋" w:hAnsi="仿宋" w:cs="仿宋" w:hint="eastAsia"/>
          <w:bCs/>
          <w:sz w:val="32"/>
          <w:szCs w:val="32"/>
          <w:lang w:val="en-US" w:eastAsia="zh-CN"/>
        </w:rPr>
        <w:t>盘活，该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指标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/>
        </w:rPr>
        <w:t>为非量化指标，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完成情况根据定性指标计分原则按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0%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区间计分。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该指标设置分值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val="en-US" w:eastAsia="zh-CN"/>
        </w:rPr>
        <w:t>30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分，自评得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val="en-US" w:eastAsia="zh-CN"/>
        </w:rPr>
        <w:t>24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  <w:lang w:eastAsia="zh-CN"/>
        </w:rPr>
        <w:t>分；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lastRenderedPageBreak/>
        <w:t xml:space="preserve">2.3.2.4 </w:t>
      </w:r>
      <w:r>
        <w:rPr>
          <w:rFonts w:ascii="楷体" w:eastAsia="楷体" w:hAnsi="楷体" w:cs="楷体" w:hint="eastAsia"/>
          <w:bCs/>
          <w:sz w:val="32"/>
          <w:szCs w:val="32"/>
          <w:lang w:val="en-US" w:eastAsia="zh-CN"/>
        </w:rPr>
        <w:t>满意度指标完成情况分析</w:t>
      </w:r>
    </w:p>
    <w:tbl>
      <w:tblPr>
        <w:tblW w:w="5247" w:type="pct"/>
        <w:tblInd w:w="-206" w:type="dxa"/>
        <w:tblLook w:val="04A0" w:firstRow="1" w:lastRow="0" w:firstColumn="1" w:lastColumn="0" w:noHBand="0" w:noVBand="1"/>
      </w:tblPr>
      <w:tblGrid>
        <w:gridCol w:w="1612"/>
        <w:gridCol w:w="1838"/>
        <w:gridCol w:w="2066"/>
        <w:gridCol w:w="1437"/>
        <w:gridCol w:w="1559"/>
        <w:gridCol w:w="997"/>
      </w:tblGrid>
      <w:tr w:rsidR="006F7CD5">
        <w:trPr>
          <w:trHeight w:val="780"/>
        </w:trPr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一级指标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B)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</w:t>
            </w:r>
          </w:p>
        </w:tc>
      </w:tr>
      <w:tr w:rsidR="006F7CD5">
        <w:trPr>
          <w:trHeight w:val="780"/>
        </w:trPr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满意度指标（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10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服务对象</w:t>
            </w:r>
          </w:p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满意度指标</w:t>
            </w:r>
          </w:p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10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过户单位对街道服务满意度（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10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≥</w:t>
            </w:r>
            <w:r>
              <w:rPr>
                <w:rFonts w:ascii="仿宋" w:eastAsia="仿宋" w:hAnsi="仿宋" w:cs="仿宋" w:hint="eastAsia"/>
                <w:lang w:eastAsia="zh-CN" w:bidi="ar"/>
              </w:rPr>
              <w:t>90%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≥</w:t>
            </w:r>
            <w:r>
              <w:rPr>
                <w:rFonts w:ascii="仿宋" w:eastAsia="仿宋" w:hAnsi="仿宋" w:cs="仿宋" w:hint="eastAsia"/>
                <w:lang w:eastAsia="zh-CN" w:bidi="ar"/>
              </w:rPr>
              <w:t>90%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CD5" w:rsidRDefault="00174D9D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8</w:t>
            </w:r>
          </w:p>
        </w:tc>
      </w:tr>
    </w:tbl>
    <w:p w:rsidR="006F7CD5" w:rsidRDefault="00174D9D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服务对象</w:t>
      </w:r>
      <w:r>
        <w:rPr>
          <w:rFonts w:ascii="仿宋" w:eastAsia="仿宋" w:hAnsi="仿宋" w:cs="仿宋" w:hint="eastAsia"/>
          <w:sz w:val="32"/>
          <w:szCs w:val="32"/>
        </w:rPr>
        <w:t>满意度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指标：</w:t>
      </w:r>
    </w:p>
    <w:p w:rsidR="006F7CD5" w:rsidRDefault="00174D9D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“过户单位对街道服务满意度”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年度目标值设定“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≥</w:t>
      </w:r>
      <w:r>
        <w:rPr>
          <w:rFonts w:ascii="仿宋" w:eastAsia="PMingLiU" w:hAnsi="仿宋" w:cs="仿宋"/>
          <w:sz w:val="32"/>
          <w:szCs w:val="32"/>
        </w:rPr>
        <w:t>9</w:t>
      </w:r>
      <w:r>
        <w:rPr>
          <w:rFonts w:ascii="仿宋" w:hAnsi="仿宋" w:cs="仿宋" w:hint="eastAsia"/>
          <w:sz w:val="32"/>
          <w:szCs w:val="32"/>
          <w:lang w:val="en-US" w:eastAsia="zh-CN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”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，实际完成值≥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满意度指标完成情况根据定性指标计分原则按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0%</w:t>
      </w: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eastAsia="zh-CN"/>
        </w:rPr>
        <w:t>区间计分。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指标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设置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分值为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10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分，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自评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得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8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分。</w:t>
      </w:r>
    </w:p>
    <w:p w:rsidR="006F7CD5" w:rsidRDefault="00174D9D">
      <w:pPr>
        <w:pStyle w:val="Bodytext1"/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Cs/>
          <w:sz w:val="32"/>
          <w:szCs w:val="32"/>
          <w:lang w:val="en-US" w:eastAsia="zh-CN"/>
        </w:rPr>
        <w:t xml:space="preserve">2.4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上年度部门自评报告应用情况</w:t>
      </w:r>
    </w:p>
    <w:p w:rsidR="006F7CD5" w:rsidRDefault="00174D9D">
      <w:pPr>
        <w:pStyle w:val="Bodytext1"/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仿宋" w:eastAsia="仿宋" w:hAnsi="仿宋" w:cs="仿宋"/>
          <w:spacing w:val="-2"/>
          <w:sz w:val="32"/>
          <w:szCs w:val="32"/>
          <w:lang w:val="en-US"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慈惠</w:t>
      </w:r>
      <w:r>
        <w:rPr>
          <w:rFonts w:ascii="仿宋" w:eastAsia="仿宋" w:hAnsi="仿宋" w:cs="Arial" w:hint="eastAsia"/>
          <w:bCs/>
          <w:caps/>
          <w:sz w:val="32"/>
          <w:szCs w:val="32"/>
        </w:rPr>
        <w:t>街在上一年度</w:t>
      </w:r>
      <w:r>
        <w:rPr>
          <w:rFonts w:ascii="仿宋" w:eastAsia="仿宋" w:hAnsi="仿宋" w:hint="eastAsia"/>
          <w:sz w:val="32"/>
          <w:szCs w:val="32"/>
        </w:rPr>
        <w:t>自评结果的基础上，总结工作经验和存在的问题，切实加强项目整改落实。一是在本年的预算编制中进一步改进，科学合理</w:t>
      </w:r>
      <w:r>
        <w:rPr>
          <w:rFonts w:ascii="仿宋" w:eastAsia="仿宋" w:hAnsi="仿宋" w:hint="eastAsia"/>
          <w:sz w:val="32"/>
          <w:szCs w:val="32"/>
          <w:lang w:eastAsia="zh-CN"/>
        </w:rPr>
        <w:t>地</w:t>
      </w:r>
      <w:r>
        <w:rPr>
          <w:rFonts w:ascii="仿宋" w:eastAsia="仿宋" w:hAnsi="仿宋" w:hint="eastAsia"/>
          <w:sz w:val="32"/>
          <w:szCs w:val="32"/>
        </w:rPr>
        <w:t>编制绩效预算，增强预算的执行效率；二是进一步完善绩效指标的设计，考虑指标数据来源的可获得性，科学合理编制绩效指标，保证指标编制的完整性、全面性；三是提高项目绩效与资金的匹配度，编制更为详细的用款</w:t>
      </w:r>
      <w:r>
        <w:rPr>
          <w:rFonts w:ascii="仿宋" w:eastAsia="仿宋" w:hAnsi="仿宋" w:hint="eastAsia"/>
          <w:sz w:val="32"/>
          <w:szCs w:val="32"/>
          <w:lang w:eastAsia="zh-CN"/>
        </w:rPr>
        <w:t>计划</w:t>
      </w:r>
      <w:r>
        <w:rPr>
          <w:rFonts w:ascii="仿宋" w:eastAsia="仿宋" w:hAnsi="仿宋" w:hint="eastAsia"/>
          <w:sz w:val="32"/>
          <w:szCs w:val="32"/>
        </w:rPr>
        <w:t>；四是</w:t>
      </w:r>
      <w:r>
        <w:rPr>
          <w:rFonts w:ascii="仿宋" w:eastAsia="仿宋" w:hAnsi="仿宋"/>
          <w:sz w:val="32"/>
          <w:szCs w:val="32"/>
        </w:rPr>
        <w:t>提高单位人员对预算资金使用效益的认识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精细测算支出额度，把需求核准核实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充分发挥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资金的效益</w:t>
      </w:r>
      <w:r>
        <w:rPr>
          <w:rFonts w:ascii="仿宋" w:eastAsia="仿宋" w:hAnsi="仿宋" w:hint="eastAsia"/>
          <w:sz w:val="32"/>
          <w:szCs w:val="32"/>
        </w:rPr>
        <w:t>；五是</w:t>
      </w:r>
      <w:r>
        <w:rPr>
          <w:rFonts w:ascii="仿宋" w:eastAsia="仿宋" w:hAnsi="仿宋"/>
          <w:sz w:val="32"/>
          <w:szCs w:val="32"/>
        </w:rPr>
        <w:t>对相关人员加强培训，规范部门预算收支核算，切实提高部门预算收支管理水平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F7CD5" w:rsidRDefault="00174D9D">
      <w:pPr>
        <w:pStyle w:val="a8"/>
        <w:tabs>
          <w:tab w:val="left" w:pos="1110"/>
        </w:tabs>
        <w:autoSpaceDE w:val="0"/>
        <w:autoSpaceDN w:val="0"/>
        <w:spacing w:line="560" w:lineRule="exact"/>
        <w:ind w:left="0" w:firstLineChars="200"/>
        <w:rPr>
          <w:rFonts w:ascii="楷体" w:eastAsia="楷体" w:hAnsi="楷体" w:cs="楷体"/>
          <w:snapToGrid w:val="0"/>
          <w:sz w:val="32"/>
          <w:szCs w:val="32"/>
          <w:lang w:val="en-US" w:bidi="zh-TW"/>
        </w:rPr>
      </w:pPr>
      <w:r>
        <w:rPr>
          <w:rFonts w:ascii="楷体" w:eastAsia="楷体" w:hAnsi="楷体" w:cs="楷体" w:hint="eastAsia"/>
          <w:snapToGrid w:val="0"/>
          <w:sz w:val="32"/>
          <w:szCs w:val="32"/>
          <w:lang w:val="en-US" w:bidi="zh-TW"/>
        </w:rPr>
        <w:t xml:space="preserve">2.5 </w:t>
      </w:r>
      <w:r>
        <w:rPr>
          <w:rFonts w:ascii="楷体" w:eastAsia="楷体" w:hAnsi="楷体" w:cs="楷体" w:hint="eastAsia"/>
          <w:snapToGrid w:val="0"/>
          <w:sz w:val="32"/>
          <w:szCs w:val="32"/>
          <w:lang w:val="en-US" w:bidi="zh-TW"/>
        </w:rPr>
        <w:t>其他佐证材料</w:t>
      </w:r>
    </w:p>
    <w:p w:rsidR="006F7CD5" w:rsidRDefault="00174D9D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32"/>
        <w:jc w:val="both"/>
        <w:textAlignment w:val="baseline"/>
        <w:rPr>
          <w:rFonts w:ascii="仿宋" w:eastAsia="仿宋" w:hAnsi="仿宋" w:cs="仿宋"/>
          <w:spacing w:val="-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-2"/>
          <w:sz w:val="32"/>
          <w:szCs w:val="32"/>
          <w:lang w:eastAsia="zh-CN"/>
        </w:rPr>
        <w:t>无其他佐证材料。</w:t>
      </w:r>
    </w:p>
    <w:p w:rsidR="006F7CD5" w:rsidRDefault="006F7CD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6F7CD5" w:rsidRDefault="006F7CD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6F7CD5" w:rsidRDefault="00174D9D">
      <w:pPr>
        <w:pStyle w:val="Bodytext1"/>
        <w:tabs>
          <w:tab w:val="left" w:pos="1418"/>
          <w:tab w:val="left" w:pos="7216"/>
          <w:tab w:val="left" w:pos="7302"/>
        </w:tabs>
        <w:wordWrap w:val="0"/>
        <w:spacing w:line="560" w:lineRule="exact"/>
        <w:ind w:firstLine="0"/>
        <w:jc w:val="center"/>
        <w:rPr>
          <w:rFonts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                   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</w:t>
      </w:r>
    </w:p>
    <w:sectPr w:rsidR="006F7CD5">
      <w:footerReference w:type="default" r:id="rId8"/>
      <w:pgSz w:w="11906" w:h="16838"/>
      <w:pgMar w:top="2098" w:right="1474" w:bottom="1984" w:left="1587" w:header="851" w:footer="992" w:gutter="0"/>
      <w:pgNumType w:start="1"/>
      <w:cols w:space="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9D" w:rsidRDefault="00174D9D">
      <w:r>
        <w:separator/>
      </w:r>
    </w:p>
  </w:endnote>
  <w:endnote w:type="continuationSeparator" w:id="0">
    <w:p w:rsidR="00174D9D" w:rsidRDefault="0017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CD5" w:rsidRDefault="00174D9D">
    <w:pPr>
      <w:pStyle w:val="a5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7CD5" w:rsidRDefault="00174D9D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953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F7CD5" w:rsidRDefault="00174D9D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95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9D" w:rsidRDefault="00174D9D">
      <w:r>
        <w:separator/>
      </w:r>
    </w:p>
  </w:footnote>
  <w:footnote w:type="continuationSeparator" w:id="0">
    <w:p w:rsidR="00174D9D" w:rsidRDefault="0017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64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74D9D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6F7CD5"/>
    <w:rsid w:val="007105B2"/>
    <w:rsid w:val="00720726"/>
    <w:rsid w:val="007539C3"/>
    <w:rsid w:val="007862C8"/>
    <w:rsid w:val="007B1ACF"/>
    <w:rsid w:val="007B2DC0"/>
    <w:rsid w:val="007B6092"/>
    <w:rsid w:val="007D172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0953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7B4DD7"/>
    <w:rsid w:val="089F067F"/>
    <w:rsid w:val="08B7433D"/>
    <w:rsid w:val="08E458C1"/>
    <w:rsid w:val="0962293F"/>
    <w:rsid w:val="09931095"/>
    <w:rsid w:val="09D4770C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813FB4"/>
    <w:rsid w:val="0CBF3E0A"/>
    <w:rsid w:val="0CC223BD"/>
    <w:rsid w:val="0CD8702E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A51DDA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7C78C4"/>
    <w:rsid w:val="18890233"/>
    <w:rsid w:val="18D56FD4"/>
    <w:rsid w:val="19187AB9"/>
    <w:rsid w:val="191C2D5E"/>
    <w:rsid w:val="192D6E10"/>
    <w:rsid w:val="193E726F"/>
    <w:rsid w:val="194074ED"/>
    <w:rsid w:val="197B778B"/>
    <w:rsid w:val="19A85FFE"/>
    <w:rsid w:val="19E57796"/>
    <w:rsid w:val="19E971DB"/>
    <w:rsid w:val="1A1520AE"/>
    <w:rsid w:val="1A672D8F"/>
    <w:rsid w:val="1ABE0DCD"/>
    <w:rsid w:val="1AE856E5"/>
    <w:rsid w:val="1B277CD1"/>
    <w:rsid w:val="1B917B2A"/>
    <w:rsid w:val="1B9A62B3"/>
    <w:rsid w:val="1BA33377"/>
    <w:rsid w:val="1BD87507"/>
    <w:rsid w:val="1C533032"/>
    <w:rsid w:val="1C755127"/>
    <w:rsid w:val="1C7D1A60"/>
    <w:rsid w:val="1C961170"/>
    <w:rsid w:val="1DA77573"/>
    <w:rsid w:val="1E523CFB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A828C8"/>
    <w:rsid w:val="20CB6586"/>
    <w:rsid w:val="20CE0ED9"/>
    <w:rsid w:val="21244F9D"/>
    <w:rsid w:val="214D5DE0"/>
    <w:rsid w:val="21967A54"/>
    <w:rsid w:val="224D407F"/>
    <w:rsid w:val="22571F8F"/>
    <w:rsid w:val="226508ED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891E4C"/>
    <w:rsid w:val="269A6603"/>
    <w:rsid w:val="26A526DC"/>
    <w:rsid w:val="26C2212C"/>
    <w:rsid w:val="26D13F36"/>
    <w:rsid w:val="27463C2E"/>
    <w:rsid w:val="276C4FA7"/>
    <w:rsid w:val="27962024"/>
    <w:rsid w:val="27BC5F2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B449E4"/>
    <w:rsid w:val="29D86924"/>
    <w:rsid w:val="2A1F4553"/>
    <w:rsid w:val="2A506E02"/>
    <w:rsid w:val="2ACB46DB"/>
    <w:rsid w:val="2AD96F50"/>
    <w:rsid w:val="2B563FA5"/>
    <w:rsid w:val="2BBF5FEE"/>
    <w:rsid w:val="2BE37F2A"/>
    <w:rsid w:val="2BE44E48"/>
    <w:rsid w:val="2C1125C1"/>
    <w:rsid w:val="2C1A76C8"/>
    <w:rsid w:val="2C610E53"/>
    <w:rsid w:val="2CA0240A"/>
    <w:rsid w:val="2CC633AC"/>
    <w:rsid w:val="2CE657FC"/>
    <w:rsid w:val="2CEE645F"/>
    <w:rsid w:val="2CEF46B1"/>
    <w:rsid w:val="2D40309C"/>
    <w:rsid w:val="2D6A01DB"/>
    <w:rsid w:val="2DA47865"/>
    <w:rsid w:val="2DB01FC4"/>
    <w:rsid w:val="2DC53663"/>
    <w:rsid w:val="2DFF746D"/>
    <w:rsid w:val="2E267966"/>
    <w:rsid w:val="2E456780"/>
    <w:rsid w:val="2E76495E"/>
    <w:rsid w:val="2EA27501"/>
    <w:rsid w:val="2EAB0AAB"/>
    <w:rsid w:val="2F087CAC"/>
    <w:rsid w:val="2F3F2FA2"/>
    <w:rsid w:val="2F631386"/>
    <w:rsid w:val="2F6F3DDB"/>
    <w:rsid w:val="2FD25A98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2E225C2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D0A36C8"/>
    <w:rsid w:val="3D147F27"/>
    <w:rsid w:val="3D522A89"/>
    <w:rsid w:val="3D5D494D"/>
    <w:rsid w:val="3D6A1B31"/>
    <w:rsid w:val="3DA71EC3"/>
    <w:rsid w:val="3DBB238D"/>
    <w:rsid w:val="3DCA7774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9D7F9C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6622E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C17DBC"/>
    <w:rsid w:val="45CA13BF"/>
    <w:rsid w:val="46080139"/>
    <w:rsid w:val="463B406B"/>
    <w:rsid w:val="46963442"/>
    <w:rsid w:val="46C43305"/>
    <w:rsid w:val="46CB1893"/>
    <w:rsid w:val="46D06EA9"/>
    <w:rsid w:val="47A735E5"/>
    <w:rsid w:val="47CA38F8"/>
    <w:rsid w:val="47CD6460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947439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2E7EB5"/>
    <w:rsid w:val="4B7763FA"/>
    <w:rsid w:val="4B7A2929"/>
    <w:rsid w:val="4B7F0E9E"/>
    <w:rsid w:val="4B904E59"/>
    <w:rsid w:val="4BAD4CA0"/>
    <w:rsid w:val="4BB4355A"/>
    <w:rsid w:val="4BB53829"/>
    <w:rsid w:val="4BDA4326"/>
    <w:rsid w:val="4BDB25BF"/>
    <w:rsid w:val="4BEA671C"/>
    <w:rsid w:val="4C281872"/>
    <w:rsid w:val="4C2D2C2B"/>
    <w:rsid w:val="4C93137D"/>
    <w:rsid w:val="4C9F13C1"/>
    <w:rsid w:val="4CBD62EE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8E457C6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AE2661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618CE"/>
    <w:rsid w:val="611B6B1B"/>
    <w:rsid w:val="612A4ED3"/>
    <w:rsid w:val="61424EA8"/>
    <w:rsid w:val="614D13CA"/>
    <w:rsid w:val="61736957"/>
    <w:rsid w:val="617F354E"/>
    <w:rsid w:val="61B74A96"/>
    <w:rsid w:val="6221286F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537D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6E47416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219F"/>
    <w:rsid w:val="6AB46016"/>
    <w:rsid w:val="6AE461D0"/>
    <w:rsid w:val="6B225676"/>
    <w:rsid w:val="6B32479A"/>
    <w:rsid w:val="6B3B4599"/>
    <w:rsid w:val="6B5F7C12"/>
    <w:rsid w:val="6B657EF0"/>
    <w:rsid w:val="6B737C7F"/>
    <w:rsid w:val="6BB8630B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742379"/>
    <w:rsid w:val="7074582F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018F0"/>
    <w:rsid w:val="75790588"/>
    <w:rsid w:val="758B2F71"/>
    <w:rsid w:val="75C5557C"/>
    <w:rsid w:val="75CF560F"/>
    <w:rsid w:val="76017F86"/>
    <w:rsid w:val="760F4A49"/>
    <w:rsid w:val="7610256F"/>
    <w:rsid w:val="76662E64"/>
    <w:rsid w:val="766B6041"/>
    <w:rsid w:val="76911902"/>
    <w:rsid w:val="76E23F0B"/>
    <w:rsid w:val="76F70396"/>
    <w:rsid w:val="77560455"/>
    <w:rsid w:val="777D522C"/>
    <w:rsid w:val="779C3572"/>
    <w:rsid w:val="779D7E32"/>
    <w:rsid w:val="77A86A1A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2151BF"/>
    <w:rsid w:val="793A1DDD"/>
    <w:rsid w:val="794013BD"/>
    <w:rsid w:val="79AF63C0"/>
    <w:rsid w:val="79CD2C51"/>
    <w:rsid w:val="79DA35C0"/>
    <w:rsid w:val="7A0D74F1"/>
    <w:rsid w:val="7A4153ED"/>
    <w:rsid w:val="7A592736"/>
    <w:rsid w:val="7AAF67FA"/>
    <w:rsid w:val="7AB3043C"/>
    <w:rsid w:val="7AC11659"/>
    <w:rsid w:val="7B0F1047"/>
    <w:rsid w:val="7B231184"/>
    <w:rsid w:val="7B592205"/>
    <w:rsid w:val="7BA67F4D"/>
    <w:rsid w:val="7BCC51AC"/>
    <w:rsid w:val="7C354ADD"/>
    <w:rsid w:val="7CCF1A19"/>
    <w:rsid w:val="7CE81B50"/>
    <w:rsid w:val="7CEC5AE4"/>
    <w:rsid w:val="7CF77FE5"/>
    <w:rsid w:val="7D342F79"/>
    <w:rsid w:val="7D5A3D15"/>
    <w:rsid w:val="7D9C12B8"/>
    <w:rsid w:val="7DBC3708"/>
    <w:rsid w:val="7DDD71DA"/>
    <w:rsid w:val="7EC65514"/>
    <w:rsid w:val="7F0F7867"/>
    <w:rsid w:val="7F103A22"/>
    <w:rsid w:val="7F297B1A"/>
    <w:rsid w:val="7F4339B5"/>
    <w:rsid w:val="7F8D69DE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line="360" w:lineRule="auto"/>
      <w:ind w:firstLineChars="200" w:firstLine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</w:style>
  <w:style w:type="paragraph" w:styleId="a4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autoRedefine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autoRedefine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character" w:customStyle="1" w:styleId="Char0">
    <w:name w:val="页眉 Char"/>
    <w:basedOn w:val="a0"/>
    <w:link w:val="a6"/>
    <w:autoRedefine/>
    <w:uiPriority w:val="99"/>
    <w:qFormat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autoRedefine/>
    <w:uiPriority w:val="9"/>
    <w:qFormat/>
    <w:rPr>
      <w:rFonts w:eastAsia="仿宋"/>
      <w:b/>
      <w:bCs/>
      <w:kern w:val="2"/>
      <w:sz w:val="32"/>
      <w:szCs w:val="32"/>
    </w:rPr>
  </w:style>
  <w:style w:type="character" w:customStyle="1" w:styleId="Char">
    <w:name w:val="页脚 Char"/>
    <w:basedOn w:val="a0"/>
    <w:link w:val="a5"/>
    <w:autoRedefine/>
    <w:qFormat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font101">
    <w:name w:val="font101"/>
    <w:basedOn w:val="a0"/>
    <w:autoRedefine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2">
    <w:name w:val="font112"/>
    <w:basedOn w:val="a0"/>
    <w:autoRedefine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0"/>
    <w:autoRedefine/>
    <w:qFormat/>
    <w:rPr>
      <w:rFonts w:ascii="Wingdings" w:hAnsi="Wingdings" w:cs="Wingdings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List Paragraph"/>
    <w:basedOn w:val="a"/>
    <w:autoRedefine/>
    <w:uiPriority w:val="1"/>
    <w:qFormat/>
    <w:pPr>
      <w:ind w:left="791" w:firstLine="640"/>
    </w:pPr>
    <w:rPr>
      <w:rFonts w:ascii="宋体" w:eastAsia="宋体" w:hAnsi="宋体" w:cs="宋体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line="360" w:lineRule="auto"/>
      <w:ind w:firstLineChars="200" w:firstLine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</w:style>
  <w:style w:type="paragraph" w:styleId="a4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autoRedefine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autoRedefine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character" w:customStyle="1" w:styleId="Char0">
    <w:name w:val="页眉 Char"/>
    <w:basedOn w:val="a0"/>
    <w:link w:val="a6"/>
    <w:autoRedefine/>
    <w:uiPriority w:val="99"/>
    <w:qFormat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autoRedefine/>
    <w:uiPriority w:val="9"/>
    <w:qFormat/>
    <w:rPr>
      <w:rFonts w:eastAsia="仿宋"/>
      <w:b/>
      <w:bCs/>
      <w:kern w:val="2"/>
      <w:sz w:val="32"/>
      <w:szCs w:val="32"/>
    </w:rPr>
  </w:style>
  <w:style w:type="character" w:customStyle="1" w:styleId="Char">
    <w:name w:val="页脚 Char"/>
    <w:basedOn w:val="a0"/>
    <w:link w:val="a5"/>
    <w:autoRedefine/>
    <w:qFormat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font101">
    <w:name w:val="font101"/>
    <w:basedOn w:val="a0"/>
    <w:autoRedefine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2">
    <w:name w:val="font112"/>
    <w:basedOn w:val="a0"/>
    <w:autoRedefine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0"/>
    <w:autoRedefine/>
    <w:qFormat/>
    <w:rPr>
      <w:rFonts w:ascii="Wingdings" w:hAnsi="Wingdings" w:cs="Wingdings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List Paragraph"/>
    <w:basedOn w:val="a"/>
    <w:autoRedefine/>
    <w:uiPriority w:val="1"/>
    <w:qFormat/>
    <w:pPr>
      <w:ind w:left="791" w:firstLine="640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676</Words>
  <Characters>3854</Characters>
  <Application>Microsoft Office Word</Application>
  <DocSecurity>0</DocSecurity>
  <Lines>32</Lines>
  <Paragraphs>9</Paragraphs>
  <ScaleCrop>false</ScaleCrop>
  <Company>Lenovo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147</cp:revision>
  <dcterms:created xsi:type="dcterms:W3CDTF">2021-05-22T03:59:00Z</dcterms:created>
  <dcterms:modified xsi:type="dcterms:W3CDTF">2026-06-29T03:09:00Z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