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540" w:lineRule="exact"/>
        <w:jc w:val="right"/>
        <w:rPr>
          <w:rFonts w:hint="eastAsia" w:ascii="仿宋_GB2312" w:hAnsi="仿宋" w:eastAsia="仿宋_GB2312" w:cs="Times New Roman"/>
          <w:sz w:val="32"/>
          <w:szCs w:val="32"/>
          <w:lang w:val="en-US" w:eastAsia="zh-CN" w:bidi="ar-SA"/>
        </w:rPr>
      </w:pPr>
      <w:r>
        <w:rPr>
          <w:rFonts w:hint="eastAsia" w:ascii="仿宋_GB2312" w:hAnsi="仿宋" w:eastAsia="仿宋_GB2312" w:cs="Times New Roman"/>
          <w:sz w:val="32"/>
          <w:szCs w:val="32"/>
          <w:lang w:val="en-US" w:eastAsia="zh-CN" w:bidi="ar-SA"/>
        </w:rPr>
        <w:t>报告编码：</w:t>
      </w:r>
      <w:r>
        <w:rPr>
          <w:rFonts w:hint="eastAsia" w:ascii="仿宋_GB2312" w:hAnsi="仿宋" w:eastAsia="仿宋_GB2312" w:cs="Times New Roman"/>
          <w:sz w:val="32"/>
          <w:szCs w:val="32"/>
          <w:lang w:val="en-US" w:eastAsia="zh-CN" w:bidi="ar-SA"/>
        </w:rPr>
        <w:t>DXH20210111</w:t>
      </w:r>
    </w:p>
    <w:p>
      <w:pPr>
        <w:widowControl w:val="0"/>
        <w:adjustRightInd/>
        <w:snapToGrid/>
        <w:spacing w:after="0" w:line="540" w:lineRule="exact"/>
        <w:jc w:val="center"/>
        <w:rPr>
          <w:rFonts w:hint="eastAsia" w:ascii="公文小标宋简" w:hAnsi="等线" w:eastAsia="公文小标宋简"/>
          <w:kern w:val="2"/>
          <w:sz w:val="44"/>
          <w:szCs w:val="44"/>
          <w:lang w:val="en-US" w:eastAsia="zh-CN"/>
        </w:rPr>
      </w:pPr>
      <w:r>
        <w:rPr>
          <w:rFonts w:hint="eastAsia" w:ascii="公文小标宋简" w:hAnsi="等线" w:eastAsia="公文小标宋简"/>
          <w:kern w:val="2"/>
          <w:sz w:val="44"/>
          <w:szCs w:val="44"/>
        </w:rPr>
        <w:t>2021年度</w:t>
      </w:r>
      <w:r>
        <w:rPr>
          <w:rFonts w:hint="eastAsia" w:ascii="公文小标宋简" w:hAnsi="等线" w:eastAsia="公文小标宋简"/>
          <w:kern w:val="2"/>
          <w:sz w:val="44"/>
          <w:szCs w:val="44"/>
          <w:lang w:eastAsia="zh-CN"/>
        </w:rPr>
        <w:t>拆迁安置过渡费</w:t>
      </w:r>
      <w:r>
        <w:rPr>
          <w:rFonts w:hint="eastAsia" w:ascii="公文小标宋简" w:hAnsi="等线" w:eastAsia="公文小标宋简"/>
          <w:kern w:val="2"/>
          <w:sz w:val="44"/>
          <w:szCs w:val="44"/>
        </w:rPr>
        <w:t>项目</w:t>
      </w:r>
      <w:r>
        <w:rPr>
          <w:rFonts w:hint="eastAsia" w:ascii="公文小标宋简" w:hAnsi="等线" w:eastAsia="公文小标宋简"/>
          <w:kern w:val="2"/>
          <w:sz w:val="44"/>
          <w:szCs w:val="44"/>
          <w:lang w:val="en-US" w:eastAsia="zh-CN"/>
        </w:rPr>
        <w:t>绩效</w:t>
      </w:r>
      <w:r>
        <w:rPr>
          <w:rFonts w:hint="eastAsia" w:ascii="公文小标宋简" w:hAnsi="等线" w:eastAsia="公文小标宋简"/>
          <w:kern w:val="2"/>
          <w:sz w:val="44"/>
          <w:szCs w:val="44"/>
        </w:rPr>
        <w:t>自评</w:t>
      </w:r>
      <w:r>
        <w:rPr>
          <w:rFonts w:hint="eastAsia" w:ascii="公文小标宋简" w:hAnsi="等线" w:eastAsia="公文小标宋简"/>
          <w:kern w:val="2"/>
          <w:sz w:val="44"/>
          <w:szCs w:val="44"/>
          <w:lang w:val="en-US" w:eastAsia="zh-CN"/>
        </w:rPr>
        <w:t>结果</w:t>
      </w:r>
    </w:p>
    <w:p>
      <w:pPr>
        <w:widowControl w:val="0"/>
        <w:adjustRightInd/>
        <w:snapToGrid/>
        <w:spacing w:after="0" w:line="540" w:lineRule="exact"/>
        <w:jc w:val="center"/>
        <w:rPr>
          <w:rFonts w:ascii="楷体" w:hAnsi="楷体" w:eastAsia="楷体"/>
          <w:kern w:val="2"/>
          <w:sz w:val="32"/>
          <w:szCs w:val="32"/>
        </w:rPr>
      </w:pPr>
      <w:r>
        <w:rPr>
          <w:rFonts w:hint="eastAsia" w:ascii="楷体" w:hAnsi="楷体" w:eastAsia="楷体"/>
          <w:kern w:val="2"/>
          <w:sz w:val="32"/>
          <w:szCs w:val="32"/>
        </w:rPr>
        <w:t>（缩略版）</w:t>
      </w:r>
    </w:p>
    <w:p>
      <w:pPr>
        <w:widowControl w:val="0"/>
        <w:adjustRightInd/>
        <w:snapToGrid/>
        <w:spacing w:after="0" w:line="560" w:lineRule="exact"/>
        <w:ind w:firstLine="640" w:firstLineChars="200"/>
        <w:jc w:val="both"/>
        <w:outlineLvl w:val="0"/>
        <w:rPr>
          <w:rFonts w:ascii="黑体" w:hAnsi="黑体" w:eastAsia="黑体"/>
          <w:kern w:val="2"/>
          <w:sz w:val="32"/>
          <w:szCs w:val="32"/>
        </w:rPr>
      </w:pPr>
      <w:r>
        <w:rPr>
          <w:rFonts w:hint="eastAsia" w:ascii="黑体" w:hAnsi="黑体" w:eastAsia="黑体"/>
          <w:kern w:val="2"/>
          <w:sz w:val="32"/>
          <w:szCs w:val="32"/>
        </w:rPr>
        <w:t>一、自评结论</w:t>
      </w:r>
    </w:p>
    <w:p>
      <w:pPr>
        <w:pStyle w:val="11"/>
        <w:spacing w:line="560" w:lineRule="exact"/>
        <w:ind w:firstLine="643" w:firstLineChars="200"/>
        <w:outlineLvl w:val="1"/>
        <w:rPr>
          <w:rFonts w:ascii="仿宋_GB2312" w:hAnsi="黑体" w:eastAsia="仿宋_GB2312"/>
          <w:b/>
          <w:bCs/>
          <w:kern w:val="2"/>
          <w:sz w:val="32"/>
          <w:szCs w:val="32"/>
        </w:rPr>
      </w:pPr>
      <w:r>
        <w:rPr>
          <w:rFonts w:hint="eastAsia" w:ascii="仿宋_GB2312" w:hAnsi="黑体" w:eastAsia="仿宋_GB2312"/>
          <w:b/>
          <w:bCs/>
          <w:kern w:val="2"/>
          <w:sz w:val="32"/>
          <w:szCs w:val="32"/>
        </w:rPr>
        <w:t>（一）自评得分</w:t>
      </w:r>
      <w:bookmarkStart w:id="1" w:name="_GoBack"/>
      <w:bookmarkEnd w:id="1"/>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项目完成情况自评综合评分</w:t>
      </w:r>
      <w:r>
        <w:rPr>
          <w:rFonts w:hint="eastAsia" w:ascii="仿宋_GB2312" w:eastAsia="仿宋_GB2312"/>
          <w:sz w:val="32"/>
          <w:szCs w:val="32"/>
          <w:lang w:val="en-US" w:eastAsia="zh-CN"/>
        </w:rPr>
        <w:t>95.57</w:t>
      </w:r>
      <w:r>
        <w:rPr>
          <w:rFonts w:hint="eastAsia" w:ascii="仿宋_GB2312" w:eastAsia="仿宋_GB2312"/>
          <w:sz w:val="32"/>
          <w:szCs w:val="32"/>
        </w:rPr>
        <w:t>分。</w:t>
      </w:r>
    </w:p>
    <w:tbl>
      <w:tblPr>
        <w:tblStyle w:val="7"/>
        <w:tblW w:w="84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7"/>
        <w:gridCol w:w="1490"/>
        <w:gridCol w:w="1720"/>
        <w:gridCol w:w="1570"/>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27"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eastAsia="仿宋_GB2312"/>
                <w:sz w:val="24"/>
                <w:szCs w:val="24"/>
              </w:rPr>
            </w:pPr>
            <w:r>
              <w:rPr>
                <w:rFonts w:hint="eastAsia" w:ascii="仿宋_GB2312" w:eastAsia="仿宋_GB2312"/>
                <w:sz w:val="24"/>
                <w:szCs w:val="24"/>
              </w:rPr>
              <w:t>评价项目</w:t>
            </w:r>
          </w:p>
        </w:tc>
        <w:tc>
          <w:tcPr>
            <w:tcW w:w="149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eastAsia="仿宋_GB2312"/>
                <w:sz w:val="24"/>
                <w:szCs w:val="24"/>
              </w:rPr>
            </w:pPr>
            <w:r>
              <w:rPr>
                <w:rFonts w:hint="eastAsia" w:ascii="仿宋_GB2312" w:eastAsia="仿宋_GB2312"/>
                <w:sz w:val="24"/>
                <w:szCs w:val="24"/>
              </w:rPr>
              <w:t>权重</w:t>
            </w:r>
          </w:p>
        </w:tc>
        <w:tc>
          <w:tcPr>
            <w:tcW w:w="172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eastAsia="仿宋_GB2312"/>
                <w:sz w:val="24"/>
                <w:szCs w:val="24"/>
              </w:rPr>
            </w:pPr>
            <w:r>
              <w:rPr>
                <w:rFonts w:hint="eastAsia" w:ascii="仿宋_GB2312" w:eastAsia="仿宋_GB2312"/>
                <w:sz w:val="24"/>
                <w:szCs w:val="24"/>
              </w:rPr>
              <w:t>评级分值</w:t>
            </w:r>
          </w:p>
        </w:tc>
        <w:tc>
          <w:tcPr>
            <w:tcW w:w="157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eastAsia="仿宋_GB2312"/>
                <w:sz w:val="24"/>
                <w:szCs w:val="24"/>
              </w:rPr>
            </w:pPr>
            <w:r>
              <w:rPr>
                <w:rFonts w:hint="eastAsia" w:ascii="仿宋_GB2312" w:eastAsia="仿宋_GB2312"/>
                <w:sz w:val="24"/>
                <w:szCs w:val="24"/>
              </w:rPr>
              <w:t>本项得分</w:t>
            </w:r>
          </w:p>
        </w:tc>
        <w:tc>
          <w:tcPr>
            <w:tcW w:w="168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eastAsia="仿宋_GB2312"/>
                <w:sz w:val="24"/>
                <w:szCs w:val="24"/>
              </w:rPr>
            </w:pPr>
            <w:r>
              <w:rPr>
                <w:rFonts w:hint="eastAsia" w:ascii="仿宋_GB2312" w:eastAsia="仿宋_GB2312"/>
                <w:sz w:val="24"/>
                <w:szCs w:val="24"/>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27"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eastAsia="仿宋_GB2312"/>
                <w:sz w:val="24"/>
                <w:szCs w:val="24"/>
              </w:rPr>
            </w:pPr>
            <w:r>
              <w:rPr>
                <w:rFonts w:hint="eastAsia" w:ascii="仿宋_GB2312" w:eastAsia="仿宋_GB2312"/>
                <w:sz w:val="24"/>
                <w:szCs w:val="24"/>
              </w:rPr>
              <w:t>资金使用情况</w:t>
            </w:r>
          </w:p>
        </w:tc>
        <w:tc>
          <w:tcPr>
            <w:tcW w:w="149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eastAsia="仿宋_GB2312"/>
                <w:sz w:val="24"/>
                <w:szCs w:val="24"/>
              </w:rPr>
            </w:pPr>
            <w:r>
              <w:rPr>
                <w:rFonts w:hint="eastAsia" w:ascii="仿宋_GB2312" w:eastAsia="仿宋_GB2312"/>
                <w:sz w:val="24"/>
                <w:szCs w:val="24"/>
              </w:rPr>
              <w:t>20%</w:t>
            </w:r>
          </w:p>
        </w:tc>
        <w:tc>
          <w:tcPr>
            <w:tcW w:w="1720" w:type="dxa"/>
            <w:noWrap w:val="0"/>
            <w:vAlign w:val="center"/>
          </w:tcPr>
          <w:p>
            <w:pPr>
              <w:keepNext w:val="0"/>
              <w:keepLines w:val="0"/>
              <w:pageBreakBefore w:val="0"/>
              <w:kinsoku/>
              <w:wordWrap/>
              <w:overflowPunct/>
              <w:topLinePunct w:val="0"/>
              <w:autoSpaceDE/>
              <w:autoSpaceDN/>
              <w:bidi w:val="0"/>
              <w:spacing w:line="560" w:lineRule="exact"/>
              <w:ind w:firstLine="240" w:firstLineChars="100"/>
              <w:jc w:val="center"/>
              <w:textAlignment w:val="auto"/>
              <w:rPr>
                <w:rFonts w:hint="default" w:ascii="仿宋_GB2312" w:eastAsia="仿宋_GB2312"/>
                <w:sz w:val="24"/>
                <w:szCs w:val="24"/>
                <w:lang w:val="en-US" w:eastAsia="zh-CN"/>
              </w:rPr>
            </w:pPr>
            <w:r>
              <w:rPr>
                <w:rFonts w:hint="eastAsia" w:ascii="仿宋_GB2312" w:eastAsia="仿宋_GB2312"/>
                <w:sz w:val="24"/>
                <w:szCs w:val="24"/>
              </w:rPr>
              <w:t>20</w:t>
            </w:r>
            <w:r>
              <w:rPr>
                <w:rFonts w:hint="eastAsia" w:ascii="仿宋_GB2312" w:eastAsia="仿宋_GB2312"/>
                <w:sz w:val="24"/>
                <w:szCs w:val="24"/>
                <w:lang w:val="en-US" w:eastAsia="zh-CN"/>
              </w:rPr>
              <w:t>.00</w:t>
            </w:r>
          </w:p>
        </w:tc>
        <w:tc>
          <w:tcPr>
            <w:tcW w:w="157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eastAsia="仿宋_GB2312"/>
                <w:sz w:val="24"/>
                <w:szCs w:val="24"/>
                <w:lang w:val="en-US" w:eastAsia="zh-CN"/>
              </w:rPr>
            </w:pPr>
            <w:r>
              <w:rPr>
                <w:rFonts w:hint="eastAsia" w:ascii="仿宋_GB2312" w:eastAsia="仿宋_GB2312"/>
                <w:sz w:val="24"/>
                <w:szCs w:val="24"/>
                <w:lang w:val="en-US" w:eastAsia="zh-CN"/>
              </w:rPr>
              <w:t>17.97</w:t>
            </w:r>
          </w:p>
        </w:tc>
        <w:tc>
          <w:tcPr>
            <w:tcW w:w="1680" w:type="dxa"/>
            <w:noWrap w:val="0"/>
            <w:vAlign w:val="center"/>
          </w:tcPr>
          <w:p>
            <w:pPr>
              <w:keepNext w:val="0"/>
              <w:keepLines w:val="0"/>
              <w:pageBreakBefore w:val="0"/>
              <w:kinsoku/>
              <w:wordWrap/>
              <w:overflowPunct/>
              <w:topLinePunct w:val="0"/>
              <w:autoSpaceDE/>
              <w:autoSpaceDN/>
              <w:bidi w:val="0"/>
              <w:spacing w:line="560" w:lineRule="exact"/>
              <w:ind w:firstLine="240" w:firstLineChars="100"/>
              <w:jc w:val="center"/>
              <w:textAlignment w:val="auto"/>
              <w:rPr>
                <w:rFonts w:hint="eastAsia" w:ascii="仿宋_GB2312" w:eastAsia="仿宋_GB2312"/>
                <w:sz w:val="24"/>
                <w:szCs w:val="24"/>
              </w:rPr>
            </w:pPr>
            <w:r>
              <w:rPr>
                <w:rFonts w:hint="eastAsia" w:ascii="仿宋_GB2312" w:eastAsia="仿宋_GB2312"/>
                <w:sz w:val="24"/>
                <w:szCs w:val="24"/>
                <w:lang w:val="en-US" w:eastAsia="zh-CN"/>
              </w:rPr>
              <w:t>89.85</w:t>
            </w:r>
            <w:r>
              <w:rPr>
                <w:rFonts w:hint="eastAsia" w:ascii="仿宋_GB2312" w:eastAsia="仿宋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27"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eastAsia="仿宋_GB2312"/>
                <w:sz w:val="24"/>
                <w:szCs w:val="24"/>
              </w:rPr>
            </w:pPr>
            <w:r>
              <w:rPr>
                <w:rFonts w:hint="eastAsia" w:ascii="仿宋_GB2312" w:eastAsia="仿宋_GB2312"/>
                <w:sz w:val="24"/>
                <w:szCs w:val="24"/>
              </w:rPr>
              <w:t>项目产出</w:t>
            </w:r>
          </w:p>
        </w:tc>
        <w:tc>
          <w:tcPr>
            <w:tcW w:w="149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eastAsia="仿宋_GB2312"/>
                <w:sz w:val="24"/>
                <w:szCs w:val="24"/>
              </w:rPr>
            </w:pPr>
            <w:r>
              <w:rPr>
                <w:rFonts w:hint="eastAsia" w:ascii="仿宋_GB2312" w:eastAsia="仿宋_GB2312"/>
                <w:sz w:val="24"/>
                <w:szCs w:val="24"/>
              </w:rPr>
              <w:t>40%</w:t>
            </w:r>
          </w:p>
        </w:tc>
        <w:tc>
          <w:tcPr>
            <w:tcW w:w="1720" w:type="dxa"/>
            <w:noWrap w:val="0"/>
            <w:vAlign w:val="center"/>
          </w:tcPr>
          <w:p>
            <w:pPr>
              <w:keepNext w:val="0"/>
              <w:keepLines w:val="0"/>
              <w:pageBreakBefore w:val="0"/>
              <w:kinsoku/>
              <w:wordWrap/>
              <w:overflowPunct/>
              <w:topLinePunct w:val="0"/>
              <w:autoSpaceDE/>
              <w:autoSpaceDN/>
              <w:bidi w:val="0"/>
              <w:spacing w:line="560" w:lineRule="exact"/>
              <w:ind w:firstLine="240" w:firstLineChars="100"/>
              <w:jc w:val="center"/>
              <w:textAlignment w:val="auto"/>
              <w:rPr>
                <w:rFonts w:hint="default" w:ascii="仿宋_GB2312" w:eastAsia="仿宋_GB2312"/>
                <w:sz w:val="24"/>
                <w:szCs w:val="24"/>
                <w:lang w:val="en-US" w:eastAsia="zh-CN"/>
              </w:rPr>
            </w:pPr>
            <w:r>
              <w:rPr>
                <w:rFonts w:hint="eastAsia" w:ascii="仿宋_GB2312" w:eastAsia="仿宋_GB2312"/>
                <w:sz w:val="24"/>
                <w:szCs w:val="24"/>
              </w:rPr>
              <w:t>40</w:t>
            </w:r>
            <w:r>
              <w:rPr>
                <w:rFonts w:hint="eastAsia" w:ascii="仿宋_GB2312" w:eastAsia="仿宋_GB2312"/>
                <w:sz w:val="24"/>
                <w:szCs w:val="24"/>
                <w:lang w:val="en-US" w:eastAsia="zh-CN"/>
              </w:rPr>
              <w:t>.00</w:t>
            </w:r>
          </w:p>
        </w:tc>
        <w:tc>
          <w:tcPr>
            <w:tcW w:w="157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eastAsia="仿宋_GB2312"/>
                <w:sz w:val="24"/>
                <w:szCs w:val="24"/>
                <w:lang w:val="en-US" w:eastAsia="zh-CN"/>
              </w:rPr>
            </w:pPr>
            <w:r>
              <w:rPr>
                <w:rFonts w:hint="eastAsia" w:ascii="仿宋_GB2312" w:eastAsia="仿宋_GB2312"/>
                <w:sz w:val="24"/>
                <w:szCs w:val="24"/>
                <w:highlight w:val="none"/>
                <w:lang w:val="en-US" w:eastAsia="zh-CN"/>
              </w:rPr>
              <w:t>37.60</w:t>
            </w:r>
          </w:p>
        </w:tc>
        <w:tc>
          <w:tcPr>
            <w:tcW w:w="1680" w:type="dxa"/>
            <w:noWrap w:val="0"/>
            <w:vAlign w:val="center"/>
          </w:tcPr>
          <w:p>
            <w:pPr>
              <w:keepNext w:val="0"/>
              <w:keepLines w:val="0"/>
              <w:pageBreakBefore w:val="0"/>
              <w:kinsoku/>
              <w:wordWrap/>
              <w:overflowPunct/>
              <w:topLinePunct w:val="0"/>
              <w:autoSpaceDE/>
              <w:autoSpaceDN/>
              <w:bidi w:val="0"/>
              <w:spacing w:line="560" w:lineRule="exact"/>
              <w:ind w:firstLine="240" w:firstLineChars="100"/>
              <w:jc w:val="center"/>
              <w:textAlignment w:val="auto"/>
              <w:rPr>
                <w:rFonts w:hint="eastAsia" w:ascii="仿宋_GB2312" w:eastAsia="仿宋_GB2312"/>
                <w:sz w:val="24"/>
                <w:szCs w:val="24"/>
              </w:rPr>
            </w:pPr>
            <w:r>
              <w:rPr>
                <w:rFonts w:hint="eastAsia" w:ascii="仿宋_GB2312" w:eastAsia="仿宋_GB2312"/>
                <w:sz w:val="24"/>
                <w:szCs w:val="24"/>
                <w:lang w:val="en-US" w:eastAsia="zh-CN"/>
              </w:rPr>
              <w:t>94.00</w:t>
            </w:r>
            <w:r>
              <w:rPr>
                <w:rFonts w:hint="eastAsia" w:ascii="仿宋_GB2312" w:eastAsia="仿宋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trPr>
        <w:tc>
          <w:tcPr>
            <w:tcW w:w="2027"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eastAsia="仿宋_GB2312"/>
                <w:sz w:val="24"/>
                <w:szCs w:val="24"/>
              </w:rPr>
            </w:pPr>
            <w:r>
              <w:rPr>
                <w:rFonts w:hint="eastAsia" w:ascii="仿宋_GB2312" w:eastAsia="仿宋_GB2312"/>
                <w:sz w:val="24"/>
                <w:szCs w:val="24"/>
              </w:rPr>
              <w:t>项目效益</w:t>
            </w:r>
          </w:p>
        </w:tc>
        <w:tc>
          <w:tcPr>
            <w:tcW w:w="149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eastAsia="仿宋_GB2312"/>
                <w:sz w:val="24"/>
                <w:szCs w:val="24"/>
              </w:rPr>
            </w:pPr>
            <w:r>
              <w:rPr>
                <w:rFonts w:hint="eastAsia" w:ascii="仿宋_GB2312" w:eastAsia="仿宋_GB2312"/>
                <w:sz w:val="24"/>
                <w:szCs w:val="24"/>
              </w:rPr>
              <w:t>30%</w:t>
            </w:r>
          </w:p>
        </w:tc>
        <w:tc>
          <w:tcPr>
            <w:tcW w:w="1720" w:type="dxa"/>
            <w:noWrap w:val="0"/>
            <w:vAlign w:val="center"/>
          </w:tcPr>
          <w:p>
            <w:pPr>
              <w:keepNext w:val="0"/>
              <w:keepLines w:val="0"/>
              <w:pageBreakBefore w:val="0"/>
              <w:kinsoku/>
              <w:wordWrap/>
              <w:overflowPunct/>
              <w:topLinePunct w:val="0"/>
              <w:autoSpaceDE/>
              <w:autoSpaceDN/>
              <w:bidi w:val="0"/>
              <w:spacing w:line="560" w:lineRule="exact"/>
              <w:ind w:firstLine="240" w:firstLineChars="100"/>
              <w:jc w:val="center"/>
              <w:textAlignment w:val="auto"/>
              <w:rPr>
                <w:rFonts w:hint="default" w:ascii="仿宋_GB2312" w:eastAsia="仿宋_GB2312"/>
                <w:sz w:val="24"/>
                <w:szCs w:val="24"/>
                <w:lang w:val="en-US" w:eastAsia="zh-CN"/>
              </w:rPr>
            </w:pPr>
            <w:r>
              <w:rPr>
                <w:rFonts w:hint="eastAsia" w:ascii="仿宋_GB2312" w:eastAsia="仿宋_GB2312"/>
                <w:sz w:val="24"/>
                <w:szCs w:val="24"/>
              </w:rPr>
              <w:t>3</w:t>
            </w:r>
            <w:r>
              <w:rPr>
                <w:rFonts w:hint="eastAsia" w:ascii="仿宋_GB2312" w:eastAsia="仿宋_GB2312"/>
                <w:sz w:val="24"/>
                <w:szCs w:val="24"/>
                <w:lang w:val="en-US" w:eastAsia="zh-CN"/>
              </w:rPr>
              <w:t>0.00</w:t>
            </w:r>
          </w:p>
        </w:tc>
        <w:tc>
          <w:tcPr>
            <w:tcW w:w="157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30</w:t>
            </w:r>
            <w:r>
              <w:rPr>
                <w:rFonts w:ascii="仿宋_GB2312" w:eastAsia="仿宋_GB2312"/>
                <w:sz w:val="24"/>
                <w:szCs w:val="24"/>
              </w:rPr>
              <w:t>.00</w:t>
            </w:r>
          </w:p>
        </w:tc>
        <w:tc>
          <w:tcPr>
            <w:tcW w:w="1680" w:type="dxa"/>
            <w:noWrap w:val="0"/>
            <w:vAlign w:val="center"/>
          </w:tcPr>
          <w:p>
            <w:pPr>
              <w:keepNext w:val="0"/>
              <w:keepLines w:val="0"/>
              <w:pageBreakBefore w:val="0"/>
              <w:kinsoku/>
              <w:wordWrap/>
              <w:overflowPunct/>
              <w:topLinePunct w:val="0"/>
              <w:autoSpaceDE/>
              <w:autoSpaceDN/>
              <w:bidi w:val="0"/>
              <w:spacing w:line="560" w:lineRule="exact"/>
              <w:ind w:firstLine="240" w:firstLineChars="100"/>
              <w:jc w:val="center"/>
              <w:textAlignment w:val="auto"/>
              <w:rPr>
                <w:rFonts w:hint="eastAsia" w:ascii="仿宋_GB2312" w:eastAsia="仿宋_GB2312"/>
                <w:sz w:val="24"/>
                <w:szCs w:val="24"/>
              </w:rPr>
            </w:pPr>
            <w:r>
              <w:rPr>
                <w:rFonts w:hint="eastAsia" w:ascii="仿宋_GB2312" w:eastAsia="仿宋_GB2312"/>
                <w:sz w:val="24"/>
                <w:szCs w:val="24"/>
                <w:lang w:val="en-US" w:eastAsia="zh-CN"/>
              </w:rPr>
              <w:t>100.00</w:t>
            </w:r>
            <w:r>
              <w:rPr>
                <w:rFonts w:hint="eastAsia" w:ascii="仿宋_GB2312" w:eastAsia="仿宋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27"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eastAsia="仿宋_GB2312"/>
                <w:sz w:val="24"/>
                <w:szCs w:val="24"/>
              </w:rPr>
            </w:pPr>
            <w:r>
              <w:rPr>
                <w:rFonts w:hint="eastAsia" w:ascii="仿宋_GB2312" w:eastAsia="仿宋_GB2312"/>
                <w:sz w:val="24"/>
                <w:szCs w:val="24"/>
              </w:rPr>
              <w:t>项目满意度</w:t>
            </w:r>
          </w:p>
        </w:tc>
        <w:tc>
          <w:tcPr>
            <w:tcW w:w="149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eastAsia="仿宋_GB2312"/>
                <w:sz w:val="24"/>
                <w:szCs w:val="24"/>
              </w:rPr>
            </w:pPr>
            <w:r>
              <w:rPr>
                <w:rFonts w:hint="eastAsia" w:ascii="仿宋_GB2312" w:eastAsia="仿宋_GB2312"/>
                <w:sz w:val="24"/>
                <w:szCs w:val="24"/>
              </w:rPr>
              <w:t>10%</w:t>
            </w:r>
          </w:p>
        </w:tc>
        <w:tc>
          <w:tcPr>
            <w:tcW w:w="1720" w:type="dxa"/>
            <w:noWrap w:val="0"/>
            <w:vAlign w:val="center"/>
          </w:tcPr>
          <w:p>
            <w:pPr>
              <w:keepNext w:val="0"/>
              <w:keepLines w:val="0"/>
              <w:pageBreakBefore w:val="0"/>
              <w:kinsoku/>
              <w:wordWrap/>
              <w:overflowPunct/>
              <w:topLinePunct w:val="0"/>
              <w:autoSpaceDE/>
              <w:autoSpaceDN/>
              <w:bidi w:val="0"/>
              <w:spacing w:line="560" w:lineRule="exact"/>
              <w:ind w:firstLine="240" w:firstLineChars="100"/>
              <w:jc w:val="center"/>
              <w:textAlignment w:val="auto"/>
              <w:rPr>
                <w:rFonts w:hint="default" w:ascii="仿宋_GB2312" w:eastAsia="仿宋_GB2312"/>
                <w:sz w:val="24"/>
                <w:szCs w:val="24"/>
                <w:lang w:val="en-US" w:eastAsia="zh-CN"/>
              </w:rPr>
            </w:pPr>
            <w:r>
              <w:rPr>
                <w:rFonts w:hint="eastAsia" w:ascii="仿宋_GB2312" w:eastAsia="仿宋_GB2312"/>
                <w:sz w:val="24"/>
                <w:szCs w:val="24"/>
                <w:lang w:val="en-US" w:eastAsia="zh-CN"/>
              </w:rPr>
              <w:t>10.00</w:t>
            </w:r>
          </w:p>
        </w:tc>
        <w:tc>
          <w:tcPr>
            <w:tcW w:w="157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eastAsia="仿宋_GB2312"/>
                <w:sz w:val="24"/>
                <w:szCs w:val="24"/>
                <w:lang w:val="en-US" w:eastAsia="zh-CN"/>
              </w:rPr>
            </w:pPr>
            <w:r>
              <w:rPr>
                <w:rFonts w:hint="eastAsia" w:ascii="仿宋_GB2312" w:eastAsia="仿宋_GB2312"/>
                <w:sz w:val="24"/>
                <w:szCs w:val="24"/>
                <w:lang w:val="en-US" w:eastAsia="zh-CN"/>
              </w:rPr>
              <w:t>10.00</w:t>
            </w:r>
          </w:p>
        </w:tc>
        <w:tc>
          <w:tcPr>
            <w:tcW w:w="1680" w:type="dxa"/>
            <w:noWrap w:val="0"/>
            <w:vAlign w:val="center"/>
          </w:tcPr>
          <w:p>
            <w:pPr>
              <w:keepNext w:val="0"/>
              <w:keepLines w:val="0"/>
              <w:pageBreakBefore w:val="0"/>
              <w:kinsoku/>
              <w:wordWrap/>
              <w:overflowPunct/>
              <w:topLinePunct w:val="0"/>
              <w:autoSpaceDE/>
              <w:autoSpaceDN/>
              <w:bidi w:val="0"/>
              <w:spacing w:line="560" w:lineRule="exact"/>
              <w:ind w:firstLine="240" w:firstLineChars="100"/>
              <w:jc w:val="center"/>
              <w:textAlignment w:val="auto"/>
              <w:rPr>
                <w:rFonts w:hint="eastAsia" w:ascii="仿宋_GB2312" w:eastAsia="仿宋_GB2312"/>
                <w:sz w:val="24"/>
                <w:szCs w:val="24"/>
              </w:rPr>
            </w:pPr>
            <w:r>
              <w:rPr>
                <w:rFonts w:hint="eastAsia" w:ascii="仿宋_GB2312" w:eastAsia="仿宋_GB2312"/>
                <w:sz w:val="24"/>
                <w:szCs w:val="24"/>
                <w:lang w:val="en-US" w:eastAsia="zh-CN"/>
              </w:rPr>
              <w:t>100</w:t>
            </w:r>
            <w:r>
              <w:rPr>
                <w:rFonts w:hint="eastAsia" w:ascii="仿宋_GB2312" w:eastAsia="仿宋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27"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eastAsia="仿宋_GB2312"/>
                <w:sz w:val="24"/>
                <w:szCs w:val="24"/>
              </w:rPr>
            </w:pPr>
            <w:r>
              <w:rPr>
                <w:rFonts w:hint="eastAsia" w:ascii="仿宋_GB2312" w:eastAsia="仿宋_GB2312"/>
                <w:sz w:val="24"/>
                <w:szCs w:val="24"/>
              </w:rPr>
              <w:t>综合绩效</w:t>
            </w:r>
          </w:p>
        </w:tc>
        <w:tc>
          <w:tcPr>
            <w:tcW w:w="149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eastAsia="仿宋_GB2312"/>
                <w:sz w:val="24"/>
                <w:szCs w:val="24"/>
              </w:rPr>
            </w:pPr>
            <w:r>
              <w:rPr>
                <w:rFonts w:hint="eastAsia" w:ascii="仿宋_GB2312" w:eastAsia="仿宋_GB2312"/>
                <w:sz w:val="24"/>
                <w:szCs w:val="24"/>
              </w:rPr>
              <w:t>100%</w:t>
            </w:r>
          </w:p>
        </w:tc>
        <w:tc>
          <w:tcPr>
            <w:tcW w:w="1720" w:type="dxa"/>
            <w:noWrap w:val="0"/>
            <w:vAlign w:val="center"/>
          </w:tcPr>
          <w:p>
            <w:pPr>
              <w:keepNext w:val="0"/>
              <w:keepLines w:val="0"/>
              <w:pageBreakBefore w:val="0"/>
              <w:kinsoku/>
              <w:wordWrap/>
              <w:overflowPunct/>
              <w:topLinePunct w:val="0"/>
              <w:autoSpaceDE/>
              <w:autoSpaceDN/>
              <w:bidi w:val="0"/>
              <w:spacing w:line="560" w:lineRule="exact"/>
              <w:ind w:firstLine="240" w:firstLineChars="100"/>
              <w:jc w:val="center"/>
              <w:textAlignment w:val="auto"/>
              <w:rPr>
                <w:rFonts w:hint="default" w:ascii="仿宋_GB2312" w:eastAsia="仿宋_GB2312"/>
                <w:sz w:val="24"/>
                <w:szCs w:val="24"/>
                <w:lang w:val="en-US" w:eastAsia="zh-CN"/>
              </w:rPr>
            </w:pPr>
            <w:r>
              <w:rPr>
                <w:rFonts w:hint="eastAsia" w:ascii="仿宋_GB2312" w:eastAsia="仿宋_GB2312"/>
                <w:sz w:val="24"/>
                <w:szCs w:val="24"/>
              </w:rPr>
              <w:t>100</w:t>
            </w:r>
            <w:r>
              <w:rPr>
                <w:rFonts w:hint="eastAsia" w:ascii="仿宋_GB2312" w:eastAsia="仿宋_GB2312"/>
                <w:sz w:val="24"/>
                <w:szCs w:val="24"/>
                <w:lang w:val="en-US" w:eastAsia="zh-CN"/>
              </w:rPr>
              <w:t>.00</w:t>
            </w:r>
          </w:p>
        </w:tc>
        <w:tc>
          <w:tcPr>
            <w:tcW w:w="157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default" w:ascii="仿宋_GB2312" w:eastAsia="仿宋_GB2312"/>
                <w:sz w:val="24"/>
                <w:szCs w:val="24"/>
                <w:lang w:val="en-US" w:eastAsia="zh-CN"/>
              </w:rPr>
            </w:pPr>
            <w:r>
              <w:rPr>
                <w:rFonts w:hint="eastAsia" w:ascii="仿宋_GB2312" w:eastAsia="仿宋_GB2312"/>
                <w:sz w:val="24"/>
                <w:szCs w:val="24"/>
                <w:lang w:val="en-US" w:eastAsia="zh-CN"/>
              </w:rPr>
              <w:t>95.57</w:t>
            </w:r>
          </w:p>
        </w:tc>
        <w:tc>
          <w:tcPr>
            <w:tcW w:w="1680" w:type="dxa"/>
            <w:noWrap w:val="0"/>
            <w:vAlign w:val="center"/>
          </w:tcPr>
          <w:p>
            <w:pPr>
              <w:keepNext w:val="0"/>
              <w:keepLines w:val="0"/>
              <w:pageBreakBefore w:val="0"/>
              <w:kinsoku/>
              <w:wordWrap/>
              <w:overflowPunct/>
              <w:topLinePunct w:val="0"/>
              <w:autoSpaceDE/>
              <w:autoSpaceDN/>
              <w:bidi w:val="0"/>
              <w:spacing w:line="560" w:lineRule="exact"/>
              <w:ind w:firstLine="240" w:firstLineChars="100"/>
              <w:jc w:val="center"/>
              <w:textAlignment w:val="auto"/>
              <w:rPr>
                <w:rFonts w:hint="eastAsia" w:ascii="仿宋_GB2312" w:eastAsia="仿宋_GB2312"/>
                <w:sz w:val="24"/>
                <w:szCs w:val="24"/>
              </w:rPr>
            </w:pPr>
            <w:r>
              <w:rPr>
                <w:rFonts w:hint="eastAsia" w:ascii="仿宋_GB2312" w:eastAsia="仿宋_GB2312"/>
                <w:sz w:val="24"/>
                <w:szCs w:val="24"/>
                <w:lang w:val="en-US" w:eastAsia="zh-CN"/>
              </w:rPr>
              <w:t>95.57</w:t>
            </w:r>
            <w:r>
              <w:rPr>
                <w:rFonts w:hint="eastAsia" w:ascii="仿宋_GB2312" w:eastAsia="仿宋_GB2312"/>
                <w:sz w:val="24"/>
                <w:szCs w:val="24"/>
              </w:rPr>
              <w:t>%</w:t>
            </w:r>
          </w:p>
        </w:tc>
      </w:tr>
    </w:tbl>
    <w:p>
      <w:pPr>
        <w:pStyle w:val="11"/>
        <w:spacing w:line="560" w:lineRule="exact"/>
        <w:ind w:firstLine="643" w:firstLineChars="200"/>
        <w:outlineLvl w:val="1"/>
        <w:rPr>
          <w:rFonts w:ascii="仿宋_GB2312" w:hAnsi="宋体" w:eastAsia="仿宋_GB2312"/>
          <w:b/>
          <w:bCs/>
          <w:sz w:val="32"/>
          <w:szCs w:val="32"/>
          <w:u w:val="single"/>
        </w:rPr>
      </w:pPr>
      <w:r>
        <w:rPr>
          <w:rFonts w:hint="eastAsia" w:ascii="仿宋_GB2312" w:hAnsi="宋体" w:eastAsia="仿宋_GB2312"/>
          <w:b/>
          <w:bCs/>
          <w:sz w:val="32"/>
          <w:szCs w:val="32"/>
        </w:rPr>
        <w:t>（二）绩效目标完成情况</w:t>
      </w:r>
    </w:p>
    <w:p>
      <w:pPr>
        <w:pStyle w:val="11"/>
        <w:spacing w:line="560" w:lineRule="exact"/>
        <w:ind w:firstLine="640" w:firstLineChars="200"/>
        <w:jc w:val="both"/>
        <w:outlineLvl w:val="2"/>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val="en-US" w:eastAsia="zh-CN"/>
        </w:rPr>
        <w:t>执行率</w:t>
      </w:r>
      <w:r>
        <w:rPr>
          <w:rFonts w:hint="eastAsia" w:ascii="仿宋_GB2312" w:hAnsi="宋体" w:eastAsia="仿宋_GB2312"/>
          <w:sz w:val="32"/>
          <w:szCs w:val="32"/>
        </w:rPr>
        <w:t>情况</w:t>
      </w:r>
    </w:p>
    <w:p>
      <w:pPr>
        <w:pStyle w:val="11"/>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2021年度</w:t>
      </w:r>
      <w:r>
        <w:rPr>
          <w:rFonts w:hint="eastAsia" w:ascii="仿宋_GB2312" w:hAnsi="仿宋" w:eastAsia="仿宋_GB2312"/>
          <w:sz w:val="32"/>
          <w:szCs w:val="32"/>
          <w:lang w:eastAsia="zh-CN"/>
        </w:rPr>
        <w:t>拆迁安置过渡费</w:t>
      </w:r>
      <w:r>
        <w:rPr>
          <w:rFonts w:hint="eastAsia" w:ascii="仿宋_GB2312" w:hAnsi="仿宋" w:eastAsia="仿宋_GB2312"/>
          <w:sz w:val="32"/>
          <w:szCs w:val="32"/>
        </w:rPr>
        <w:t>项目年初预算3</w:t>
      </w:r>
      <w:r>
        <w:rPr>
          <w:rFonts w:hint="eastAsia" w:ascii="仿宋_GB2312" w:hAnsi="仿宋" w:eastAsia="仿宋_GB2312"/>
          <w:sz w:val="32"/>
          <w:szCs w:val="32"/>
          <w:lang w:val="en-US" w:eastAsia="zh-CN"/>
        </w:rPr>
        <w:t>,</w:t>
      </w:r>
      <w:r>
        <w:rPr>
          <w:rFonts w:hint="eastAsia" w:ascii="仿宋_GB2312" w:hAnsi="仿宋" w:eastAsia="仿宋_GB2312"/>
          <w:sz w:val="32"/>
          <w:szCs w:val="32"/>
        </w:rPr>
        <w:t>600</w:t>
      </w:r>
      <w:r>
        <w:rPr>
          <w:rFonts w:hint="eastAsia" w:ascii="仿宋_GB2312" w:hAnsi="仿宋" w:eastAsia="仿宋_GB2312"/>
          <w:sz w:val="32"/>
          <w:szCs w:val="32"/>
          <w:lang w:val="en-US" w:eastAsia="zh-CN"/>
        </w:rPr>
        <w:t>.00</w:t>
      </w:r>
      <w:r>
        <w:rPr>
          <w:rFonts w:hint="eastAsia" w:ascii="仿宋_GB2312" w:hAnsi="仿宋" w:eastAsia="仿宋_GB2312"/>
          <w:sz w:val="32"/>
          <w:szCs w:val="32"/>
        </w:rPr>
        <w:t>万元，执行数3</w:t>
      </w:r>
      <w:r>
        <w:rPr>
          <w:rFonts w:hint="eastAsia" w:ascii="仿宋_GB2312" w:hAnsi="仿宋" w:eastAsia="仿宋_GB2312"/>
          <w:sz w:val="32"/>
          <w:szCs w:val="32"/>
          <w:lang w:val="en-US" w:eastAsia="zh-CN"/>
        </w:rPr>
        <w:t>,</w:t>
      </w:r>
      <w:r>
        <w:rPr>
          <w:rFonts w:hint="eastAsia" w:ascii="仿宋_GB2312" w:hAnsi="仿宋" w:eastAsia="仿宋_GB2312"/>
          <w:sz w:val="32"/>
          <w:szCs w:val="32"/>
        </w:rPr>
        <w:t>964.8</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rPr>
        <w:t>执行率</w:t>
      </w:r>
      <w:r>
        <w:rPr>
          <w:rFonts w:hint="eastAsia" w:ascii="仿宋_GB2312" w:hAnsi="仿宋" w:eastAsia="仿宋_GB2312"/>
          <w:sz w:val="32"/>
          <w:szCs w:val="32"/>
          <w:lang w:val="en-US" w:eastAsia="zh-CN"/>
        </w:rPr>
        <w:t>110.13</w:t>
      </w:r>
      <w:r>
        <w:rPr>
          <w:rFonts w:hint="eastAsia" w:ascii="仿宋_GB2312" w:hAnsi="仿宋" w:eastAsia="仿宋_GB2312"/>
          <w:sz w:val="32"/>
          <w:szCs w:val="32"/>
        </w:rPr>
        <w:t>%。</w:t>
      </w:r>
    </w:p>
    <w:p>
      <w:pPr>
        <w:pStyle w:val="11"/>
        <w:spacing w:line="560" w:lineRule="exact"/>
        <w:ind w:firstLine="640" w:firstLineChars="200"/>
        <w:outlineLvl w:val="2"/>
        <w:rPr>
          <w:rFonts w:ascii="仿宋_GB2312" w:hAnsi="宋体" w:eastAsia="仿宋_GB2312"/>
          <w:sz w:val="32"/>
          <w:szCs w:val="32"/>
        </w:rPr>
      </w:pPr>
      <w:r>
        <w:rPr>
          <w:rFonts w:hint="eastAsia" w:ascii="仿宋_GB2312" w:hAnsi="宋体" w:eastAsia="仿宋_GB2312"/>
          <w:sz w:val="32"/>
          <w:szCs w:val="32"/>
        </w:rPr>
        <w:t>2.完成的绩效目标</w:t>
      </w:r>
    </w:p>
    <w:p>
      <w:pPr>
        <w:pStyle w:val="11"/>
        <w:spacing w:line="560" w:lineRule="exact"/>
        <w:ind w:firstLine="640" w:firstLineChars="200"/>
        <w:rPr>
          <w:rFonts w:ascii="仿宋_GB2312" w:hAnsi="宋体" w:eastAsia="仿宋_GB2312"/>
          <w:sz w:val="32"/>
          <w:szCs w:val="32"/>
          <w:highlight w:val="none"/>
        </w:rPr>
      </w:pPr>
      <w:r>
        <w:rPr>
          <w:rFonts w:hint="eastAsia" w:ascii="仿宋_GB2312" w:hAnsi="宋体" w:eastAsia="仿宋_GB2312"/>
          <w:sz w:val="32"/>
          <w:szCs w:val="32"/>
          <w:highlight w:val="none"/>
        </w:rPr>
        <w:t>该项目设置了</w:t>
      </w:r>
      <w:r>
        <w:rPr>
          <w:rFonts w:hint="eastAsia" w:ascii="仿宋_GB2312" w:hAnsi="宋体" w:eastAsia="仿宋_GB2312"/>
          <w:sz w:val="32"/>
          <w:szCs w:val="32"/>
          <w:highlight w:val="none"/>
          <w:lang w:val="en-US" w:eastAsia="zh-CN"/>
        </w:rPr>
        <w:t>10</w:t>
      </w:r>
      <w:r>
        <w:rPr>
          <w:rFonts w:hint="eastAsia" w:ascii="仿宋_GB2312" w:hAnsi="宋体" w:eastAsia="仿宋_GB2312"/>
          <w:sz w:val="32"/>
          <w:szCs w:val="32"/>
          <w:highlight w:val="none"/>
        </w:rPr>
        <w:t>个绩效指标，已完成</w:t>
      </w:r>
      <w:r>
        <w:rPr>
          <w:rFonts w:hint="eastAsia" w:ascii="仿宋_GB2312" w:hAnsi="宋体" w:eastAsia="仿宋_GB2312"/>
          <w:sz w:val="32"/>
          <w:szCs w:val="32"/>
          <w:highlight w:val="none"/>
          <w:lang w:val="en-US" w:eastAsia="zh-CN"/>
        </w:rPr>
        <w:t>8</w:t>
      </w:r>
      <w:r>
        <w:rPr>
          <w:rFonts w:hint="eastAsia" w:ascii="仿宋_GB2312" w:hAnsi="宋体" w:eastAsia="仿宋_GB2312"/>
          <w:sz w:val="32"/>
          <w:szCs w:val="32"/>
          <w:highlight w:val="none"/>
        </w:rPr>
        <w:t>个</w:t>
      </w:r>
      <w:r>
        <w:rPr>
          <w:rFonts w:hint="eastAsia" w:ascii="仿宋_GB2312" w:hAnsi="宋体" w:eastAsia="仿宋_GB2312"/>
          <w:sz w:val="32"/>
          <w:szCs w:val="32"/>
          <w:highlight w:val="none"/>
          <w:lang w:eastAsia="zh-CN"/>
        </w:rPr>
        <w:t>。</w:t>
      </w:r>
      <w:r>
        <w:rPr>
          <w:rFonts w:hint="eastAsia" w:ascii="仿宋_GB2312" w:hAnsi="仿宋" w:eastAsia="仿宋_GB2312"/>
          <w:sz w:val="32"/>
          <w:szCs w:val="32"/>
          <w:highlight w:val="none"/>
        </w:rPr>
        <w:t>分别为</w:t>
      </w:r>
      <w:r>
        <w:rPr>
          <w:rFonts w:hint="eastAsia" w:ascii="仿宋_GB2312" w:hAnsi="仿宋" w:eastAsia="仿宋_GB2312"/>
          <w:sz w:val="32"/>
          <w:szCs w:val="32"/>
          <w:highlight w:val="none"/>
          <w:lang w:eastAsia="zh-CN"/>
        </w:rPr>
        <w:t>政策宣传次数≥</w:t>
      </w:r>
      <w:r>
        <w:rPr>
          <w:rFonts w:hint="eastAsia" w:ascii="仿宋_GB2312" w:hAnsi="仿宋" w:eastAsia="仿宋_GB2312"/>
          <w:sz w:val="32"/>
          <w:szCs w:val="32"/>
          <w:highlight w:val="none"/>
          <w:lang w:val="en-US" w:eastAsia="zh-CN"/>
        </w:rPr>
        <w:t>4；</w:t>
      </w:r>
      <w:r>
        <w:rPr>
          <w:rFonts w:hint="eastAsia" w:ascii="仿宋_GB2312" w:hAnsi="宋体" w:eastAsia="仿宋_GB2312"/>
          <w:sz w:val="32"/>
          <w:szCs w:val="32"/>
          <w:highlight w:val="none"/>
        </w:rPr>
        <w:t>拆迁数据库准确率≥95%；合规发放过渡资金；</w:t>
      </w:r>
      <w:r>
        <w:rPr>
          <w:rFonts w:hint="eastAsia" w:ascii="仿宋_GB2312" w:hAnsi="宋体" w:eastAsia="仿宋_GB2312"/>
          <w:sz w:val="32"/>
          <w:szCs w:val="32"/>
          <w:highlight w:val="none"/>
          <w:lang w:eastAsia="zh-CN"/>
        </w:rPr>
        <w:t>及时拨付</w:t>
      </w:r>
      <w:r>
        <w:rPr>
          <w:rFonts w:hint="eastAsia" w:ascii="仿宋_GB2312" w:hAnsi="宋体" w:eastAsia="仿宋_GB2312"/>
          <w:sz w:val="32"/>
          <w:szCs w:val="32"/>
          <w:highlight w:val="none"/>
        </w:rPr>
        <w:t>过渡费</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保障被搬迁户过渡期生活</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社会生活稳定</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改善居住环境</w:t>
      </w:r>
      <w:r>
        <w:rPr>
          <w:rFonts w:hint="eastAsia" w:ascii="仿宋_GB2312" w:hAnsi="宋体" w:eastAsia="仿宋_GB2312"/>
          <w:sz w:val="32"/>
          <w:szCs w:val="32"/>
          <w:highlight w:val="none"/>
          <w:lang w:eastAsia="zh-CN"/>
        </w:rPr>
        <w:t>；受益对象满意度</w:t>
      </w:r>
      <w:r>
        <w:rPr>
          <w:rFonts w:hint="eastAsia" w:ascii="仿宋_GB2312" w:hAnsi="宋体" w:eastAsia="仿宋_GB2312"/>
          <w:sz w:val="32"/>
          <w:szCs w:val="32"/>
          <w:highlight w:val="none"/>
        </w:rPr>
        <w:t>≥95%。</w:t>
      </w:r>
    </w:p>
    <w:p>
      <w:pPr>
        <w:pStyle w:val="11"/>
        <w:spacing w:line="560" w:lineRule="exact"/>
        <w:ind w:firstLine="640" w:firstLineChars="200"/>
        <w:outlineLvl w:val="2"/>
        <w:rPr>
          <w:rFonts w:ascii="仿宋_GB2312" w:hAnsi="宋体" w:eastAsia="仿宋_GB2312"/>
          <w:sz w:val="32"/>
          <w:szCs w:val="32"/>
        </w:rPr>
      </w:pPr>
      <w:r>
        <w:rPr>
          <w:rFonts w:hint="eastAsia" w:ascii="仿宋_GB2312" w:hAnsi="宋体" w:eastAsia="仿宋_GB2312"/>
          <w:sz w:val="32"/>
          <w:szCs w:val="32"/>
        </w:rPr>
        <w:t>3.未完成的绩效目标</w:t>
      </w:r>
    </w:p>
    <w:p>
      <w:pPr>
        <w:pStyle w:val="11"/>
        <w:spacing w:line="560" w:lineRule="exact"/>
        <w:ind w:firstLine="640" w:firstLineChars="200"/>
        <w:outlineLvl w:val="2"/>
        <w:rPr>
          <w:rFonts w:ascii="仿宋_GB2312" w:hAnsi="宋体" w:eastAsia="仿宋_GB2312"/>
          <w:sz w:val="32"/>
          <w:szCs w:val="32"/>
        </w:rPr>
      </w:pPr>
      <w:r>
        <w:rPr>
          <w:rFonts w:hint="eastAsia" w:ascii="仿宋_GB2312" w:hAnsi="宋体" w:eastAsia="仿宋_GB2312"/>
          <w:sz w:val="32"/>
          <w:szCs w:val="32"/>
          <w:highlight w:val="none"/>
        </w:rPr>
        <w:t>该项目设置了</w:t>
      </w:r>
      <w:r>
        <w:rPr>
          <w:rFonts w:hint="eastAsia" w:ascii="仿宋_GB2312" w:hAnsi="宋体" w:eastAsia="仿宋_GB2312"/>
          <w:sz w:val="32"/>
          <w:szCs w:val="32"/>
          <w:highlight w:val="none"/>
          <w:lang w:val="en-US" w:eastAsia="zh-CN"/>
        </w:rPr>
        <w:t>10</w:t>
      </w:r>
      <w:r>
        <w:rPr>
          <w:rFonts w:hint="eastAsia" w:ascii="仿宋_GB2312" w:hAnsi="宋体" w:eastAsia="仿宋_GB2312"/>
          <w:sz w:val="32"/>
          <w:szCs w:val="32"/>
          <w:highlight w:val="none"/>
        </w:rPr>
        <w:t>个绩效指标</w:t>
      </w:r>
      <w:r>
        <w:rPr>
          <w:rFonts w:hint="eastAsia" w:ascii="仿宋_GB2312" w:hAnsi="仿宋" w:eastAsia="仿宋_GB2312"/>
          <w:sz w:val="32"/>
          <w:szCs w:val="32"/>
          <w:highlight w:val="none"/>
        </w:rPr>
        <w:t>，未完成</w:t>
      </w:r>
      <w:r>
        <w:rPr>
          <w:rFonts w:hint="eastAsia" w:ascii="仿宋_GB2312" w:hAnsi="仿宋" w:eastAsia="仿宋_GB2312"/>
          <w:sz w:val="32"/>
          <w:szCs w:val="32"/>
          <w:highlight w:val="none"/>
          <w:lang w:val="en-US" w:eastAsia="zh-CN"/>
        </w:rPr>
        <w:t>2个</w:t>
      </w:r>
      <w:r>
        <w:rPr>
          <w:rFonts w:hint="eastAsia" w:ascii="仿宋_GB2312" w:hAnsi="宋体" w:eastAsia="仿宋_GB2312"/>
          <w:sz w:val="32"/>
          <w:szCs w:val="32"/>
          <w:highlight w:val="none"/>
          <w:lang w:eastAsia="zh-CN"/>
        </w:rPr>
        <w:t>。</w:t>
      </w:r>
      <w:r>
        <w:rPr>
          <w:rFonts w:hint="eastAsia" w:ascii="仿宋_GB2312" w:hAnsi="仿宋" w:eastAsia="仿宋_GB2312"/>
          <w:sz w:val="32"/>
          <w:szCs w:val="32"/>
          <w:highlight w:val="none"/>
        </w:rPr>
        <w:t>分别为</w:t>
      </w:r>
      <w:r>
        <w:rPr>
          <w:rFonts w:hint="eastAsia" w:ascii="仿宋_GB2312" w:hAnsi="仿宋" w:eastAsia="仿宋_GB2312"/>
          <w:sz w:val="32"/>
          <w:szCs w:val="32"/>
          <w:highlight w:val="none"/>
          <w:lang w:eastAsia="zh-CN"/>
        </w:rPr>
        <w:t>搬迁安置</w:t>
      </w:r>
      <w:r>
        <w:rPr>
          <w:rFonts w:hint="eastAsia" w:ascii="仿宋_GB2312" w:hAnsi="仿宋" w:eastAsia="仿宋_GB2312"/>
          <w:sz w:val="32"/>
          <w:szCs w:val="32"/>
          <w:highlight w:val="none"/>
          <w:lang w:val="en-US" w:eastAsia="zh-CN"/>
        </w:rPr>
        <w:t>1500户，实际完成1451户；</w:t>
      </w:r>
      <w:r>
        <w:rPr>
          <w:rFonts w:hint="eastAsia" w:ascii="仿宋_GB2312" w:hAnsi="宋体" w:eastAsia="仿宋_GB2312"/>
          <w:sz w:val="32"/>
          <w:szCs w:val="32"/>
          <w:highlight w:val="none"/>
        </w:rPr>
        <w:t>搬迁安置过渡费面积</w:t>
      </w:r>
      <w:r>
        <w:rPr>
          <w:rFonts w:hint="eastAsia" w:ascii="仿宋_GB2312" w:hAnsi="宋体" w:eastAsia="仿宋_GB2312"/>
          <w:sz w:val="32"/>
          <w:szCs w:val="32"/>
          <w:highlight w:val="none"/>
          <w:lang w:val="en-US" w:eastAsia="zh-CN"/>
        </w:rPr>
        <w:t>30万平方米，实际完成23万平方米</w:t>
      </w:r>
      <w:r>
        <w:rPr>
          <w:rFonts w:hint="eastAsia" w:ascii="仿宋_GB2312" w:hAnsi="仿宋" w:eastAsia="仿宋_GB2312"/>
          <w:sz w:val="32"/>
          <w:szCs w:val="32"/>
          <w:highlight w:val="none"/>
          <w:lang w:val="en-US" w:eastAsia="zh-CN"/>
        </w:rPr>
        <w:t>。</w:t>
      </w:r>
    </w:p>
    <w:p>
      <w:pPr>
        <w:pStyle w:val="11"/>
        <w:numPr>
          <w:ilvl w:val="0"/>
          <w:numId w:val="1"/>
        </w:numPr>
        <w:spacing w:line="560" w:lineRule="exact"/>
        <w:ind w:firstLine="643" w:firstLineChars="200"/>
        <w:outlineLvl w:val="1"/>
        <w:rPr>
          <w:rFonts w:hint="eastAsia" w:ascii="仿宋_GB2312" w:hAnsi="宋体" w:eastAsia="仿宋_GB2312"/>
          <w:b/>
          <w:bCs/>
          <w:sz w:val="32"/>
          <w:szCs w:val="32"/>
          <w:highlight w:val="none"/>
          <w:lang w:val="en-US" w:eastAsia="zh-CN"/>
        </w:rPr>
      </w:pPr>
      <w:r>
        <w:rPr>
          <w:rFonts w:hint="eastAsia" w:ascii="仿宋_GB2312" w:hAnsi="宋体" w:eastAsia="仿宋_GB2312"/>
          <w:b/>
          <w:bCs/>
          <w:sz w:val="32"/>
          <w:szCs w:val="32"/>
        </w:rPr>
        <w:t>存在的问题和原因</w:t>
      </w:r>
    </w:p>
    <w:p>
      <w:pPr>
        <w:pStyle w:val="11"/>
        <w:spacing w:line="560" w:lineRule="exact"/>
        <w:ind w:firstLine="640" w:firstLineChars="200"/>
        <w:jc w:val="both"/>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1.部分绩效目标完成不理想</w:t>
      </w:r>
    </w:p>
    <w:p>
      <w:pPr>
        <w:pStyle w:val="11"/>
        <w:spacing w:line="560" w:lineRule="exact"/>
        <w:ind w:firstLine="640" w:firstLineChars="200"/>
        <w:rPr>
          <w:rFonts w:hint="default" w:ascii="仿宋_GB2312" w:hAnsi="宋体" w:eastAsia="仿宋_GB2312"/>
          <w:sz w:val="32"/>
          <w:szCs w:val="32"/>
          <w:highlight w:val="none"/>
          <w:lang w:val="en-US" w:eastAsia="zh-CN"/>
        </w:rPr>
      </w:pPr>
      <w:r>
        <w:rPr>
          <w:rFonts w:hint="default" w:ascii="仿宋_GB2312" w:hAnsi="宋体" w:eastAsia="仿宋_GB2312"/>
          <w:sz w:val="32"/>
          <w:szCs w:val="32"/>
          <w:highlight w:val="none"/>
          <w:lang w:val="en-US" w:eastAsia="zh-CN"/>
        </w:rPr>
        <w:t>设置</w:t>
      </w:r>
      <w:r>
        <w:rPr>
          <w:rFonts w:hint="eastAsia" w:ascii="仿宋_GB2312" w:hAnsi="宋体" w:eastAsia="仿宋_GB2312"/>
          <w:sz w:val="32"/>
          <w:szCs w:val="32"/>
          <w:highlight w:val="none"/>
          <w:lang w:val="en-US" w:eastAsia="zh-CN"/>
        </w:rPr>
        <w:t>10</w:t>
      </w:r>
      <w:r>
        <w:rPr>
          <w:rFonts w:hint="default" w:ascii="仿宋_GB2312" w:hAnsi="宋体" w:eastAsia="仿宋_GB2312"/>
          <w:sz w:val="32"/>
          <w:szCs w:val="32"/>
          <w:highlight w:val="none"/>
          <w:lang w:val="en-US" w:eastAsia="zh-CN"/>
        </w:rPr>
        <w:t>个绩效指标，</w:t>
      </w:r>
      <w:r>
        <w:rPr>
          <w:rFonts w:hint="eastAsia" w:ascii="仿宋_GB2312" w:hAnsi="宋体" w:eastAsia="仿宋_GB2312"/>
          <w:sz w:val="32"/>
          <w:szCs w:val="32"/>
          <w:highlight w:val="none"/>
          <w:lang w:val="en-US" w:eastAsia="zh-CN"/>
        </w:rPr>
        <w:t>2</w:t>
      </w:r>
      <w:r>
        <w:rPr>
          <w:rFonts w:hint="default" w:ascii="仿宋_GB2312" w:hAnsi="宋体" w:eastAsia="仿宋_GB2312"/>
          <w:sz w:val="32"/>
          <w:szCs w:val="32"/>
          <w:highlight w:val="none"/>
          <w:lang w:val="en-US" w:eastAsia="zh-CN"/>
        </w:rPr>
        <w:t>个指标未完成，偏差率</w:t>
      </w:r>
      <w:r>
        <w:rPr>
          <w:rFonts w:hint="eastAsia" w:ascii="仿宋_GB2312" w:hAnsi="宋体" w:eastAsia="仿宋_GB2312"/>
          <w:sz w:val="32"/>
          <w:szCs w:val="32"/>
          <w:highlight w:val="none"/>
          <w:lang w:val="en-US" w:eastAsia="zh-CN"/>
        </w:rPr>
        <w:t>20</w:t>
      </w:r>
      <w:r>
        <w:rPr>
          <w:rFonts w:hint="default" w:ascii="仿宋_GB2312" w:hAnsi="宋体" w:eastAsia="仿宋_GB2312"/>
          <w:sz w:val="32"/>
          <w:szCs w:val="32"/>
          <w:highlight w:val="none"/>
          <w:lang w:val="en-US" w:eastAsia="zh-CN"/>
        </w:rPr>
        <w:t>%。</w:t>
      </w:r>
      <w:r>
        <w:rPr>
          <w:rFonts w:hint="eastAsia" w:ascii="仿宋_GB2312" w:hAnsi="宋体" w:eastAsia="仿宋_GB2312"/>
          <w:sz w:val="32"/>
          <w:szCs w:val="32"/>
          <w:highlight w:val="none"/>
          <w:lang w:val="en-US" w:eastAsia="zh-CN"/>
        </w:rPr>
        <w:t>主要是年初计划搬迁安置户数1500户，实际年末1451户，</w:t>
      </w:r>
      <w:r>
        <w:rPr>
          <w:rFonts w:hint="eastAsia" w:ascii="仿宋_GB2312" w:hAnsi="宋体" w:eastAsia="仿宋_GB2312"/>
          <w:sz w:val="32"/>
          <w:szCs w:val="32"/>
          <w:highlight w:val="none"/>
        </w:rPr>
        <w:t>搬迁安置过渡费面积</w:t>
      </w:r>
      <w:r>
        <w:rPr>
          <w:rFonts w:hint="eastAsia" w:ascii="仿宋_GB2312" w:hAnsi="宋体" w:eastAsia="仿宋_GB2312"/>
          <w:sz w:val="32"/>
          <w:szCs w:val="32"/>
          <w:highlight w:val="none"/>
          <w:lang w:val="en-US" w:eastAsia="zh-CN"/>
        </w:rPr>
        <w:t>年初计划30万平方米，实际完成23万平方米，主要原因是：部分被拆迁户因家中有老人和卧床病人，在外租房困难，经过申请，将选择的期房调换成现房，过渡费户数及面积相应减少，所以绩效指标出现偏差。</w:t>
      </w:r>
    </w:p>
    <w:p>
      <w:pPr>
        <w:pStyle w:val="11"/>
        <w:numPr>
          <w:ilvl w:val="0"/>
          <w:numId w:val="0"/>
        </w:numPr>
        <w:spacing w:line="560" w:lineRule="exact"/>
        <w:ind w:left="640" w:leftChars="0"/>
        <w:outlineLvl w:val="1"/>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2.预算编制不科学</w:t>
      </w:r>
    </w:p>
    <w:p>
      <w:pPr>
        <w:pStyle w:val="11"/>
        <w:spacing w:line="560" w:lineRule="exact"/>
        <w:ind w:firstLine="640" w:firstLineChars="20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rPr>
        <w:t>2021</w:t>
      </w:r>
      <w:r>
        <w:rPr>
          <w:rFonts w:hint="eastAsia" w:ascii="仿宋_GB2312" w:hAnsi="宋体" w:eastAsia="仿宋_GB2312"/>
          <w:sz w:val="32"/>
          <w:szCs w:val="32"/>
          <w:highlight w:val="none"/>
          <w:lang w:val="en-US" w:eastAsia="zh-CN"/>
        </w:rPr>
        <w:t>年初</w:t>
      </w:r>
      <w:r>
        <w:rPr>
          <w:rFonts w:hint="eastAsia" w:ascii="仿宋_GB2312" w:hAnsi="宋体" w:eastAsia="仿宋_GB2312"/>
          <w:sz w:val="32"/>
          <w:szCs w:val="32"/>
          <w:highlight w:val="none"/>
        </w:rPr>
        <w:t>预算</w:t>
      </w:r>
      <w:r>
        <w:rPr>
          <w:rFonts w:hint="eastAsia" w:ascii="仿宋_GB2312" w:hAnsi="宋体" w:eastAsia="仿宋_GB2312"/>
          <w:sz w:val="32"/>
          <w:szCs w:val="32"/>
          <w:highlight w:val="none"/>
          <w:lang w:val="en-US" w:eastAsia="zh-CN"/>
        </w:rPr>
        <w:t>3,600.00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val="en-US" w:eastAsia="zh-CN"/>
        </w:rPr>
        <w:t>账面执行数3,964.80万元，超预算364.80万元，主要原因是渔门大队在街财政所年终扎帐前，为保持该辖区被搬迁户在外过渡期间，过渡费能按时发放，已将来年一季度的过渡费提前造表发放，所以超出年初指标预算。</w:t>
      </w:r>
    </w:p>
    <w:p>
      <w:pPr>
        <w:pStyle w:val="11"/>
        <w:numPr>
          <w:ilvl w:val="0"/>
          <w:numId w:val="1"/>
        </w:numPr>
        <w:spacing w:line="560" w:lineRule="exact"/>
        <w:ind w:left="0" w:leftChars="0" w:firstLine="643" w:firstLineChars="200"/>
        <w:outlineLvl w:val="1"/>
        <w:rPr>
          <w:rFonts w:hint="eastAsia" w:ascii="仿宋_GB2312" w:hAnsi="宋体" w:eastAsia="仿宋_GB2312"/>
          <w:b/>
          <w:bCs/>
          <w:sz w:val="32"/>
          <w:szCs w:val="32"/>
        </w:rPr>
      </w:pPr>
      <w:r>
        <w:rPr>
          <w:rFonts w:hint="eastAsia" w:ascii="仿宋_GB2312" w:hAnsi="宋体" w:eastAsia="仿宋_GB2312"/>
          <w:b/>
          <w:bCs/>
          <w:sz w:val="32"/>
          <w:szCs w:val="32"/>
        </w:rPr>
        <w:t>下一步拟改进措施</w:t>
      </w:r>
    </w:p>
    <w:p>
      <w:pPr>
        <w:pStyle w:val="11"/>
        <w:spacing w:line="560" w:lineRule="exact"/>
        <w:ind w:firstLine="640" w:firstLineChars="200"/>
        <w:jc w:val="both"/>
        <w:outlineLvl w:val="1"/>
        <w:rPr>
          <w:rFonts w:hint="eastAsia" w:ascii="仿宋_GB2312" w:hAnsi="宋体" w:eastAsia="仿宋_GB2312"/>
          <w:sz w:val="32"/>
          <w:szCs w:val="32"/>
        </w:rPr>
      </w:pPr>
      <w:r>
        <w:rPr>
          <w:rFonts w:hint="eastAsia" w:ascii="仿宋_GB2312" w:hAnsi="宋体" w:eastAsia="仿宋_GB2312"/>
          <w:sz w:val="32"/>
          <w:szCs w:val="32"/>
        </w:rPr>
        <w:t>1.下一步拟改进措施</w:t>
      </w:r>
    </w:p>
    <w:p>
      <w:pPr>
        <w:pStyle w:val="11"/>
        <w:spacing w:line="56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）建立健全绩效指标体系。根据自身项目特点，充分考虑相关因素，调整相关指标目标值，并在实际执行过程中不断修正避免偏差过大。</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宋体" w:eastAsia="仿宋_GB2312"/>
          <w:sz w:val="32"/>
          <w:szCs w:val="32"/>
          <w:highlight w:val="none"/>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w:t>
      </w:r>
      <w:r>
        <w:rPr>
          <w:rFonts w:hint="eastAsia" w:ascii="仿宋_GB2312" w:eastAsia="仿宋_GB2312"/>
          <w:sz w:val="32"/>
          <w:szCs w:val="32"/>
        </w:rPr>
        <w:t>加强资金预算管理，科学制定资金使用计划，</w:t>
      </w:r>
      <w:r>
        <w:rPr>
          <w:rFonts w:hint="eastAsia" w:ascii="仿宋_GB2312" w:eastAsia="仿宋_GB2312"/>
          <w:sz w:val="32"/>
          <w:szCs w:val="32"/>
          <w:lang w:val="en-US" w:eastAsia="zh-CN"/>
        </w:rPr>
        <w:t>并</w:t>
      </w:r>
      <w:r>
        <w:rPr>
          <w:rFonts w:hint="eastAsia" w:ascii="仿宋_GB2312" w:eastAsia="仿宋_GB2312"/>
          <w:sz w:val="32"/>
          <w:szCs w:val="32"/>
        </w:rPr>
        <w:t>合理使用项目资金</w:t>
      </w:r>
      <w:r>
        <w:rPr>
          <w:rFonts w:hint="eastAsia" w:ascii="仿宋_GB2312" w:eastAsia="仿宋_GB2312"/>
          <w:sz w:val="32"/>
          <w:szCs w:val="32"/>
          <w:lang w:eastAsia="zh-CN"/>
        </w:rPr>
        <w:t>，</w:t>
      </w:r>
      <w:r>
        <w:rPr>
          <w:rFonts w:hint="eastAsia" w:ascii="仿宋_GB2312" w:eastAsia="仿宋_GB2312"/>
          <w:sz w:val="32"/>
          <w:szCs w:val="32"/>
        </w:rPr>
        <w:t>充分发挥财政资金效益</w:t>
      </w:r>
      <w:r>
        <w:rPr>
          <w:rFonts w:hint="eastAsia" w:ascii="仿宋_GB2312" w:eastAsia="仿宋_GB2312"/>
          <w:sz w:val="32"/>
          <w:szCs w:val="32"/>
          <w:lang w:eastAsia="zh-CN"/>
        </w:rPr>
        <w:t>，</w:t>
      </w:r>
      <w:r>
        <w:rPr>
          <w:rFonts w:hint="eastAsia" w:ascii="仿宋_GB2312" w:eastAsia="仿宋_GB2312"/>
          <w:sz w:val="32"/>
          <w:szCs w:val="32"/>
          <w:lang w:val="en-US" w:eastAsia="zh-CN"/>
        </w:rPr>
        <w:t>及时追加预算资金</w:t>
      </w:r>
      <w:r>
        <w:rPr>
          <w:rFonts w:hint="eastAsia" w:ascii="仿宋_GB2312" w:eastAsia="仿宋_GB2312"/>
          <w:sz w:val="32"/>
          <w:szCs w:val="32"/>
          <w:lang w:eastAsia="zh-CN"/>
        </w:rPr>
        <w:t>。</w:t>
      </w:r>
    </w:p>
    <w:p>
      <w:pPr>
        <w:pStyle w:val="11"/>
        <w:spacing w:line="560" w:lineRule="exact"/>
        <w:ind w:firstLine="640" w:firstLineChars="200"/>
        <w:jc w:val="both"/>
        <w:outlineLvl w:val="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拟</w:t>
      </w:r>
      <w:r>
        <w:rPr>
          <w:rFonts w:hint="eastAsia" w:ascii="仿宋_GB2312" w:hAnsi="宋体" w:eastAsia="仿宋_GB2312"/>
          <w:sz w:val="32"/>
          <w:szCs w:val="32"/>
          <w:lang w:val="en-US" w:eastAsia="zh-CN"/>
        </w:rPr>
        <w:t>与预算安排相结合情况</w:t>
      </w:r>
    </w:p>
    <w:p>
      <w:pPr>
        <w:pStyle w:val="11"/>
        <w:spacing w:line="560" w:lineRule="exact"/>
        <w:ind w:firstLine="640" w:firstLineChars="200"/>
        <w:jc w:val="both"/>
        <w:outlineLvl w:val="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对部门预算项目支出实行预算执行与绩效目标的“双监控”，确保预算执行进度和绩效目标落实情况始终处于受控状态中。加强各管理部门间的沟通协调，根据项目工作进度及时安排资金计划，及时核销项目各项支出，确保预算执行率达到与项目进度同步。对监控中发现的绩效目标偏离情况予以调整和纠正。</w:t>
      </w:r>
    </w:p>
    <w:p>
      <w:pPr>
        <w:pStyle w:val="11"/>
        <w:spacing w:line="560" w:lineRule="exact"/>
        <w:ind w:firstLine="640" w:firstLineChars="200"/>
        <w:jc w:val="both"/>
        <w:outlineLvl w:val="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（2）针对预算绩效评价工作中发现的问题，积极采取措施改进，并纳入下年度对部门工作目标责任制考核范畴，对无效或低效的项目责任人进行追责；增强财政资金使用的透明度，接受社会公众监督。</w:t>
      </w:r>
    </w:p>
    <w:p>
      <w:pPr>
        <w:pStyle w:val="11"/>
        <w:spacing w:line="560" w:lineRule="exact"/>
        <w:ind w:firstLine="640" w:firstLineChars="200"/>
        <w:outlineLvl w:val="0"/>
        <w:rPr>
          <w:rFonts w:ascii="仿宋_GB2312" w:hAnsi="宋体" w:eastAsia="仿宋_GB2312"/>
          <w:sz w:val="28"/>
          <w:szCs w:val="28"/>
        </w:rPr>
      </w:pPr>
      <w:r>
        <w:rPr>
          <w:rFonts w:hint="eastAsia" w:ascii="仿宋_GB2312" w:hAnsi="宋体" w:eastAsia="仿宋_GB2312"/>
          <w:sz w:val="32"/>
          <w:szCs w:val="32"/>
        </w:rPr>
        <w:t>附件：2021年度</w:t>
      </w:r>
      <w:r>
        <w:rPr>
          <w:rFonts w:hint="eastAsia" w:ascii="仿宋_GB2312" w:hAnsi="宋体" w:eastAsia="仿宋_GB2312"/>
          <w:sz w:val="32"/>
          <w:szCs w:val="32"/>
          <w:lang w:eastAsia="zh-CN"/>
        </w:rPr>
        <w:t>拆迁安置过渡费</w:t>
      </w:r>
      <w:r>
        <w:rPr>
          <w:rFonts w:hint="eastAsia" w:ascii="仿宋_GB2312" w:hAnsi="宋体" w:eastAsia="仿宋_GB2312"/>
          <w:sz w:val="32"/>
          <w:szCs w:val="32"/>
        </w:rPr>
        <w:t>项目自评表</w:t>
      </w:r>
    </w:p>
    <w:p>
      <w:pPr>
        <w:pStyle w:val="11"/>
        <w:spacing w:line="560" w:lineRule="exact"/>
        <w:ind w:firstLine="640" w:firstLineChars="200"/>
        <w:outlineLvl w:val="0"/>
        <w:rPr>
          <w:rFonts w:ascii="黑体" w:hAnsi="黑体" w:eastAsia="黑体"/>
          <w:kern w:val="2"/>
          <w:sz w:val="32"/>
          <w:szCs w:val="32"/>
        </w:rPr>
      </w:pPr>
      <w:r>
        <w:rPr>
          <w:rFonts w:hint="eastAsia" w:ascii="黑体" w:hAnsi="黑体" w:eastAsia="黑体"/>
          <w:kern w:val="2"/>
          <w:sz w:val="32"/>
          <w:szCs w:val="32"/>
        </w:rPr>
        <w:t>二、佐证材料</w:t>
      </w:r>
    </w:p>
    <w:p>
      <w:pPr>
        <w:pStyle w:val="11"/>
        <w:spacing w:line="560" w:lineRule="exact"/>
        <w:ind w:firstLine="643" w:firstLineChars="200"/>
        <w:outlineLvl w:val="1"/>
        <w:rPr>
          <w:rFonts w:ascii="仿宋_GB2312" w:hAnsi="宋体" w:eastAsia="仿宋_GB2312"/>
          <w:b/>
          <w:bCs/>
          <w:sz w:val="32"/>
          <w:szCs w:val="32"/>
        </w:rPr>
      </w:pPr>
      <w:r>
        <w:rPr>
          <w:rFonts w:hint="eastAsia" w:ascii="仿宋_GB2312" w:hAnsi="宋体" w:eastAsia="仿宋_GB2312"/>
          <w:b/>
          <w:bCs/>
          <w:sz w:val="32"/>
          <w:szCs w:val="32"/>
        </w:rPr>
        <w:t>（一）基本情况</w:t>
      </w:r>
    </w:p>
    <w:p>
      <w:pPr>
        <w:pStyle w:val="11"/>
        <w:spacing w:line="560" w:lineRule="exact"/>
        <w:ind w:firstLine="640" w:firstLineChars="200"/>
        <w:jc w:val="both"/>
        <w:outlineLvl w:val="2"/>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rPr>
        <w:t>1</w:t>
      </w:r>
      <w:r>
        <w:rPr>
          <w:rFonts w:hint="eastAsia" w:ascii="仿宋_GB2312" w:hAnsi="宋体" w:eastAsia="仿宋_GB2312"/>
          <w:sz w:val="32"/>
          <w:szCs w:val="32"/>
          <w:highlight w:val="none"/>
          <w:lang w:val="en-US" w:eastAsia="zh-CN"/>
        </w:rPr>
        <w:t>.项目立项目的和年度绩效目标</w:t>
      </w:r>
    </w:p>
    <w:p>
      <w:pPr>
        <w:pStyle w:val="11"/>
        <w:spacing w:line="560" w:lineRule="exact"/>
        <w:ind w:firstLine="640" w:firstLineChars="200"/>
        <w:outlineLvl w:val="2"/>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（1）项目立项目的：</w:t>
      </w:r>
      <w:r>
        <w:rPr>
          <w:rFonts w:hint="eastAsia" w:ascii="仿宋_GB2312" w:hAnsi="宋体" w:eastAsia="仿宋_GB2312"/>
          <w:sz w:val="32"/>
          <w:szCs w:val="32"/>
          <w:highlight w:val="none"/>
        </w:rPr>
        <w:t>1.人口的集中，资源优化整合；2.乡村振兴的实施；3.确保民生工作的稳定，安居乐业</w:t>
      </w:r>
      <w:r>
        <w:rPr>
          <w:rFonts w:hint="eastAsia" w:ascii="仿宋_GB2312" w:hAnsi="宋体" w:eastAsia="仿宋_GB2312"/>
          <w:sz w:val="32"/>
          <w:szCs w:val="32"/>
          <w:highlight w:val="none"/>
          <w:lang w:eastAsia="zh-CN"/>
        </w:rPr>
        <w:t>。</w:t>
      </w:r>
    </w:p>
    <w:p>
      <w:pPr>
        <w:pStyle w:val="11"/>
        <w:spacing w:line="560" w:lineRule="exact"/>
        <w:ind w:firstLine="640" w:firstLineChars="200"/>
        <w:outlineLvl w:val="2"/>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（2）年度绩效目标：</w:t>
      </w:r>
      <w:r>
        <w:rPr>
          <w:rFonts w:hint="eastAsia" w:ascii="仿宋_GB2312" w:hAnsi="宋体" w:eastAsia="仿宋_GB2312"/>
          <w:sz w:val="32"/>
          <w:szCs w:val="32"/>
          <w:highlight w:val="none"/>
        </w:rPr>
        <w:t>按时间节点每季度发放搬迁还未安置</w:t>
      </w:r>
      <w:r>
        <w:rPr>
          <w:rFonts w:hint="eastAsia" w:ascii="仿宋_GB2312" w:hAnsi="宋体" w:eastAsia="仿宋_GB2312"/>
          <w:sz w:val="32"/>
          <w:szCs w:val="32"/>
          <w:highlight w:val="none"/>
          <w:lang w:val="en-US" w:eastAsia="zh-CN"/>
        </w:rPr>
        <w:t>的过渡费，保障被安置人员的生活质量</w:t>
      </w:r>
      <w:r>
        <w:rPr>
          <w:rFonts w:hint="eastAsia" w:ascii="仿宋_GB2312" w:hAnsi="宋体" w:eastAsia="仿宋_GB2312"/>
          <w:sz w:val="32"/>
          <w:szCs w:val="32"/>
          <w:highlight w:val="none"/>
        </w:rPr>
        <w:t>。</w:t>
      </w:r>
    </w:p>
    <w:p>
      <w:pPr>
        <w:pStyle w:val="11"/>
        <w:spacing w:line="560" w:lineRule="exact"/>
        <w:ind w:firstLine="640" w:firstLineChars="200"/>
        <w:outlineLvl w:val="2"/>
        <w:rPr>
          <w:rFonts w:ascii="仿宋_GB2312" w:hAnsi="宋体" w:eastAsia="仿宋_GB2312"/>
          <w:sz w:val="32"/>
          <w:szCs w:val="32"/>
        </w:rPr>
      </w:pPr>
      <w:r>
        <w:rPr>
          <w:rFonts w:hint="eastAsia" w:ascii="仿宋_GB2312" w:hAnsi="宋体" w:eastAsia="仿宋_GB2312"/>
          <w:sz w:val="32"/>
          <w:szCs w:val="32"/>
        </w:rPr>
        <w:t>2.项目资金情况</w:t>
      </w:r>
    </w:p>
    <w:p>
      <w:pPr>
        <w:pStyle w:val="11"/>
        <w:spacing w:line="560" w:lineRule="exact"/>
        <w:ind w:firstLine="664" w:firstLineChars="200"/>
        <w:rPr>
          <w:rFonts w:hint="eastAsia" w:ascii="仿宋_GB2312" w:hAnsi="宋体" w:eastAsia="仿宋_GB2312"/>
          <w:spacing w:val="6"/>
          <w:sz w:val="32"/>
          <w:szCs w:val="32"/>
          <w:highlight w:val="red"/>
          <w:lang w:val="en-US" w:eastAsia="zh-CN"/>
        </w:rPr>
      </w:pPr>
      <w:r>
        <w:rPr>
          <w:rFonts w:hint="eastAsia" w:ascii="仿宋_GB2312" w:hAnsi="宋体" w:eastAsia="仿宋_GB2312"/>
          <w:spacing w:val="6"/>
          <w:sz w:val="32"/>
          <w:szCs w:val="32"/>
        </w:rPr>
        <w:t>项目资金全年收到财政拨款</w:t>
      </w:r>
      <w:r>
        <w:rPr>
          <w:rFonts w:hint="eastAsia" w:ascii="仿宋_GB2312" w:hAnsi="宋体" w:eastAsia="仿宋_GB2312"/>
          <w:spacing w:val="6"/>
          <w:sz w:val="32"/>
          <w:szCs w:val="32"/>
          <w:lang w:val="en-US" w:eastAsia="zh-CN"/>
        </w:rPr>
        <w:t>3,600.00</w:t>
      </w:r>
      <w:r>
        <w:rPr>
          <w:rFonts w:hint="eastAsia" w:ascii="仿宋_GB2312" w:hAnsi="宋体" w:eastAsia="仿宋_GB2312"/>
          <w:spacing w:val="6"/>
          <w:sz w:val="32"/>
          <w:szCs w:val="32"/>
        </w:rPr>
        <w:t>万元项目</w:t>
      </w:r>
      <w:r>
        <w:rPr>
          <w:rFonts w:hint="eastAsia" w:ascii="仿宋_GB2312" w:hAnsi="宋体" w:eastAsia="仿宋_GB2312"/>
          <w:spacing w:val="6"/>
          <w:sz w:val="32"/>
          <w:szCs w:val="32"/>
          <w:lang w:eastAsia="zh-CN"/>
        </w:rPr>
        <w:t>，</w:t>
      </w:r>
      <w:r>
        <w:rPr>
          <w:rFonts w:hint="eastAsia" w:ascii="仿宋_GB2312" w:hAnsi="宋体" w:eastAsia="仿宋_GB2312"/>
          <w:spacing w:val="6"/>
          <w:sz w:val="32"/>
          <w:szCs w:val="32"/>
          <w:highlight w:val="none"/>
          <w:lang w:val="en-US" w:eastAsia="zh-CN"/>
        </w:rPr>
        <w:t>支出3,964.80</w:t>
      </w:r>
      <w:r>
        <w:rPr>
          <w:rFonts w:ascii="仿宋_GB2312" w:hAnsi="宋体" w:eastAsia="仿宋_GB2312"/>
          <w:spacing w:val="6"/>
          <w:sz w:val="32"/>
          <w:szCs w:val="32"/>
          <w:highlight w:val="none"/>
        </w:rPr>
        <w:t>万</w:t>
      </w:r>
      <w:r>
        <w:rPr>
          <w:rFonts w:hint="eastAsia" w:ascii="仿宋_GB2312" w:hAnsi="宋体" w:eastAsia="仿宋_GB2312"/>
          <w:spacing w:val="6"/>
          <w:sz w:val="32"/>
          <w:szCs w:val="32"/>
          <w:highlight w:val="none"/>
        </w:rPr>
        <w:t>元，</w:t>
      </w:r>
      <w:r>
        <w:rPr>
          <w:rFonts w:hint="eastAsia" w:ascii="仿宋_GB2312" w:hAnsi="宋体" w:eastAsia="仿宋_GB2312"/>
          <w:spacing w:val="6"/>
          <w:sz w:val="32"/>
          <w:szCs w:val="32"/>
          <w:highlight w:val="none"/>
          <w:lang w:val="en-US" w:eastAsia="zh-CN"/>
        </w:rPr>
        <w:t>全部是</w:t>
      </w:r>
      <w:r>
        <w:rPr>
          <w:rFonts w:hint="eastAsia" w:ascii="仿宋_GB2312" w:hAnsi="宋体" w:eastAsia="仿宋_GB2312"/>
          <w:spacing w:val="6"/>
          <w:sz w:val="32"/>
          <w:szCs w:val="32"/>
          <w:highlight w:val="none"/>
          <w:lang w:eastAsia="zh-CN"/>
        </w:rPr>
        <w:t>拆迁安置过渡费</w:t>
      </w:r>
      <w:r>
        <w:rPr>
          <w:rFonts w:hint="eastAsia" w:ascii="仿宋_GB2312" w:hAnsi="宋体" w:eastAsia="仿宋_GB2312"/>
          <w:spacing w:val="6"/>
          <w:sz w:val="32"/>
          <w:szCs w:val="32"/>
          <w:highlight w:val="none"/>
          <w:lang w:val="en-US" w:eastAsia="zh-CN"/>
        </w:rPr>
        <w:t>。</w:t>
      </w:r>
    </w:p>
    <w:p>
      <w:pPr>
        <w:pStyle w:val="11"/>
        <w:spacing w:line="560" w:lineRule="exact"/>
        <w:ind w:firstLine="643" w:firstLineChars="200"/>
        <w:outlineLvl w:val="1"/>
        <w:rPr>
          <w:rFonts w:ascii="仿宋_GB2312" w:hAnsi="宋体" w:eastAsia="仿宋_GB2312"/>
          <w:b/>
          <w:bCs/>
          <w:sz w:val="32"/>
          <w:szCs w:val="32"/>
        </w:rPr>
      </w:pPr>
      <w:r>
        <w:rPr>
          <w:rFonts w:hint="eastAsia" w:ascii="仿宋_GB2312" w:hAnsi="宋体" w:eastAsia="仿宋_GB2312"/>
          <w:b/>
          <w:bCs/>
          <w:sz w:val="32"/>
          <w:szCs w:val="32"/>
        </w:rPr>
        <w:t>（二）项目自评工作开展情况</w:t>
      </w:r>
    </w:p>
    <w:p>
      <w:pPr>
        <w:pStyle w:val="11"/>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依据《区财政局关于开展2021年度预算绩效自评及结果应用工作的通知》（东财〔2022〕4号）文要求，</w:t>
      </w:r>
      <w:r>
        <w:rPr>
          <w:rFonts w:hint="eastAsia" w:ascii="仿宋_GB2312" w:hAnsi="宋体" w:eastAsia="仿宋_GB2312"/>
          <w:sz w:val="32"/>
          <w:szCs w:val="32"/>
          <w:lang w:eastAsia="zh-CN"/>
        </w:rPr>
        <w:t>征收办</w:t>
      </w:r>
      <w:r>
        <w:rPr>
          <w:rFonts w:hint="eastAsia" w:ascii="仿宋_GB2312" w:hAnsi="宋体" w:eastAsia="仿宋_GB2312"/>
          <w:sz w:val="32"/>
          <w:szCs w:val="32"/>
        </w:rPr>
        <w:t>组织人员开展项目绩效自评工作并成立项目自评小组。评价小组收集项目年度完成成果资料，财务科室配合提供专项资金使用财务资料</w:t>
      </w:r>
      <w:bookmarkStart w:id="0" w:name="OLE_LINK1"/>
      <w:bookmarkEnd w:id="0"/>
      <w:r>
        <w:rPr>
          <w:rFonts w:hint="eastAsia" w:ascii="仿宋_GB2312" w:hAnsi="宋体" w:eastAsia="仿宋_GB2312"/>
          <w:sz w:val="32"/>
          <w:szCs w:val="32"/>
        </w:rPr>
        <w:t>。经整合项目预算执行和业务资料，对项目绩效指标完成情况自评评分并撰写自评报告。</w:t>
      </w:r>
    </w:p>
    <w:p>
      <w:pPr>
        <w:pStyle w:val="11"/>
        <w:spacing w:line="560" w:lineRule="exact"/>
        <w:ind w:firstLine="643" w:firstLineChars="200"/>
        <w:outlineLvl w:val="1"/>
        <w:rPr>
          <w:rFonts w:ascii="仿宋_GB2312" w:hAnsi="宋体" w:eastAsia="仿宋_GB2312"/>
          <w:b/>
          <w:bCs/>
          <w:sz w:val="32"/>
          <w:szCs w:val="32"/>
        </w:rPr>
      </w:pPr>
      <w:r>
        <w:rPr>
          <w:rFonts w:hint="eastAsia" w:ascii="仿宋_GB2312" w:hAnsi="宋体" w:eastAsia="仿宋_GB2312"/>
          <w:b/>
          <w:bCs/>
          <w:sz w:val="32"/>
          <w:szCs w:val="32"/>
        </w:rPr>
        <w:t>（三）绩效目标完成情况分析</w:t>
      </w:r>
    </w:p>
    <w:p>
      <w:pPr>
        <w:pStyle w:val="11"/>
        <w:spacing w:line="560" w:lineRule="exact"/>
        <w:ind w:firstLine="640" w:firstLineChars="200"/>
        <w:outlineLvl w:val="2"/>
        <w:rPr>
          <w:rFonts w:ascii="仿宋_GB2312" w:hAnsi="宋体" w:eastAsia="仿宋_GB2312"/>
          <w:sz w:val="32"/>
          <w:szCs w:val="32"/>
        </w:rPr>
      </w:pPr>
      <w:r>
        <w:rPr>
          <w:rFonts w:hint="eastAsia" w:ascii="仿宋_GB2312" w:hAnsi="宋体" w:eastAsia="仿宋_GB2312"/>
          <w:sz w:val="32"/>
          <w:szCs w:val="32"/>
        </w:rPr>
        <w:t>1.预算执行情况分析</w:t>
      </w:r>
    </w:p>
    <w:p>
      <w:pPr>
        <w:pStyle w:val="11"/>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2021年度</w:t>
      </w:r>
      <w:r>
        <w:rPr>
          <w:rFonts w:hint="eastAsia" w:ascii="仿宋_GB2312" w:hAnsi="仿宋" w:eastAsia="仿宋_GB2312"/>
          <w:sz w:val="32"/>
          <w:szCs w:val="32"/>
          <w:lang w:eastAsia="zh-CN"/>
        </w:rPr>
        <w:t>拆迁安置过渡费</w:t>
      </w:r>
      <w:r>
        <w:rPr>
          <w:rFonts w:hint="eastAsia" w:ascii="仿宋_GB2312" w:hAnsi="仿宋" w:eastAsia="仿宋_GB2312"/>
          <w:sz w:val="32"/>
          <w:szCs w:val="32"/>
        </w:rPr>
        <w:t>项目年初预算3</w:t>
      </w:r>
      <w:r>
        <w:rPr>
          <w:rFonts w:hint="eastAsia" w:ascii="仿宋_GB2312" w:hAnsi="仿宋" w:eastAsia="仿宋_GB2312"/>
          <w:sz w:val="32"/>
          <w:szCs w:val="32"/>
          <w:lang w:val="en-US" w:eastAsia="zh-CN"/>
        </w:rPr>
        <w:t>,</w:t>
      </w:r>
      <w:r>
        <w:rPr>
          <w:rFonts w:hint="eastAsia" w:ascii="仿宋_GB2312" w:hAnsi="仿宋" w:eastAsia="仿宋_GB2312"/>
          <w:sz w:val="32"/>
          <w:szCs w:val="32"/>
        </w:rPr>
        <w:t>60</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万元，执行数3</w:t>
      </w:r>
      <w:r>
        <w:rPr>
          <w:rFonts w:hint="eastAsia" w:ascii="仿宋_GB2312" w:hAnsi="仿宋" w:eastAsia="仿宋_GB2312"/>
          <w:sz w:val="32"/>
          <w:szCs w:val="32"/>
          <w:lang w:val="en-US" w:eastAsia="zh-CN"/>
        </w:rPr>
        <w:t>,</w:t>
      </w:r>
      <w:r>
        <w:rPr>
          <w:rFonts w:hint="eastAsia" w:ascii="仿宋_GB2312" w:hAnsi="仿宋" w:eastAsia="仿宋_GB2312"/>
          <w:sz w:val="32"/>
          <w:szCs w:val="32"/>
        </w:rPr>
        <w:t>964.8</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超预算364.80万元，</w:t>
      </w:r>
      <w:r>
        <w:rPr>
          <w:rFonts w:hint="eastAsia" w:ascii="仿宋_GB2312" w:hAnsi="仿宋" w:eastAsia="仿宋_GB2312"/>
          <w:sz w:val="32"/>
          <w:szCs w:val="32"/>
        </w:rPr>
        <w:t>执行率</w:t>
      </w:r>
      <w:r>
        <w:rPr>
          <w:rFonts w:hint="eastAsia" w:ascii="仿宋_GB2312" w:hAnsi="仿宋" w:eastAsia="仿宋_GB2312"/>
          <w:sz w:val="32"/>
          <w:szCs w:val="32"/>
          <w:lang w:val="en-US" w:eastAsia="zh-CN"/>
        </w:rPr>
        <w:t>110.13</w:t>
      </w:r>
      <w:r>
        <w:rPr>
          <w:rFonts w:hint="eastAsia" w:ascii="仿宋_GB2312" w:hAnsi="仿宋" w:eastAsia="仿宋_GB2312"/>
          <w:sz w:val="32"/>
          <w:szCs w:val="32"/>
        </w:rPr>
        <w:t>%</w:t>
      </w:r>
      <w:r>
        <w:rPr>
          <w:rFonts w:hint="eastAsia" w:ascii="仿宋_GB2312" w:hAnsi="仿宋" w:eastAsia="仿宋_GB2312"/>
          <w:sz w:val="32"/>
          <w:szCs w:val="32"/>
          <w:lang w:val="en-US" w:eastAsia="zh-CN"/>
        </w:rPr>
        <w:t>,超预算支出，评价得分17.97分</w:t>
      </w:r>
      <w:r>
        <w:rPr>
          <w:rFonts w:hint="eastAsia" w:ascii="仿宋_GB2312" w:hAnsi="仿宋" w:eastAsia="仿宋_GB2312"/>
          <w:sz w:val="32"/>
          <w:szCs w:val="32"/>
        </w:rPr>
        <w:t>。</w:t>
      </w:r>
    </w:p>
    <w:p>
      <w:pPr>
        <w:pStyle w:val="11"/>
        <w:tabs>
          <w:tab w:val="left" w:pos="6505"/>
        </w:tabs>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2.绩效目标完成情况分析</w:t>
      </w:r>
      <w:r>
        <w:rPr>
          <w:rFonts w:hint="eastAsia" w:ascii="仿宋_GB2312" w:hAnsi="宋体" w:eastAsia="仿宋_GB2312"/>
          <w:sz w:val="32"/>
          <w:szCs w:val="32"/>
        </w:rPr>
        <w:tab/>
      </w:r>
    </w:p>
    <w:p>
      <w:pPr>
        <w:pStyle w:val="11"/>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（1）产出指标完成情况分析</w:t>
      </w:r>
    </w:p>
    <w:p>
      <w:pPr>
        <w:pStyle w:val="11"/>
        <w:spacing w:line="56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①数量指标</w:t>
      </w:r>
      <w:r>
        <w:rPr>
          <w:rFonts w:hint="eastAsia" w:ascii="仿宋_GB2312" w:hAnsi="宋体" w:eastAsia="仿宋_GB2312"/>
          <w:sz w:val="32"/>
          <w:szCs w:val="32"/>
          <w:lang w:val="en-US" w:eastAsia="zh-CN"/>
        </w:rPr>
        <w:t>完成情况分析</w:t>
      </w:r>
    </w:p>
    <w:p>
      <w:pPr>
        <w:pStyle w:val="11"/>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政策宣传次数，年初目标值为</w:t>
      </w:r>
      <w:r>
        <w:rPr>
          <w:rFonts w:hint="eastAsia" w:ascii="仿宋_GB2312" w:hAnsi="宋体" w:eastAsia="仿宋_GB2312"/>
          <w:sz w:val="32"/>
          <w:szCs w:val="32"/>
          <w:lang w:val="en-US" w:eastAsia="zh-CN"/>
        </w:rPr>
        <w:t>≥4次</w:t>
      </w:r>
      <w:r>
        <w:rPr>
          <w:rFonts w:hint="eastAsia" w:ascii="仿宋_GB2312" w:hAnsi="宋体" w:eastAsia="仿宋_GB2312"/>
          <w:sz w:val="32"/>
          <w:szCs w:val="32"/>
        </w:rPr>
        <w:t>。</w:t>
      </w:r>
      <w:r>
        <w:rPr>
          <w:rFonts w:hint="eastAsia" w:ascii="仿宋_GB2312" w:hAnsi="宋体" w:eastAsia="仿宋_GB2312"/>
          <w:sz w:val="32"/>
          <w:szCs w:val="32"/>
          <w:lang w:val="en-US" w:eastAsia="zh-CN"/>
        </w:rPr>
        <w:t>胡家坮大队和渔门大队分别张贴宣传栏，宣传搬迁退地相关政策，共计4次，完成目标值，该</w:t>
      </w:r>
      <w:r>
        <w:rPr>
          <w:rFonts w:hint="eastAsia" w:ascii="仿宋_GB2312" w:hAnsi="宋体" w:eastAsia="仿宋_GB2312"/>
          <w:sz w:val="32"/>
          <w:szCs w:val="32"/>
        </w:rPr>
        <w:t>指标得</w:t>
      </w:r>
      <w:r>
        <w:rPr>
          <w:rFonts w:hint="eastAsia" w:ascii="仿宋_GB2312" w:hAnsi="宋体" w:eastAsia="仿宋_GB2312"/>
          <w:sz w:val="32"/>
          <w:szCs w:val="32"/>
          <w:lang w:val="en-US" w:eastAsia="zh-CN"/>
        </w:rPr>
        <w:t>分7.00</w:t>
      </w:r>
      <w:r>
        <w:rPr>
          <w:rFonts w:hint="eastAsia" w:ascii="仿宋_GB2312" w:hAnsi="宋体" w:eastAsia="仿宋_GB2312"/>
          <w:sz w:val="32"/>
          <w:szCs w:val="32"/>
        </w:rPr>
        <w:t>分。</w:t>
      </w:r>
    </w:p>
    <w:p>
      <w:pPr>
        <w:pStyle w:val="11"/>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搬迁安置户数，年初目标值为</w:t>
      </w:r>
      <w:r>
        <w:rPr>
          <w:rFonts w:hint="eastAsia" w:ascii="仿宋_GB2312" w:hAnsi="宋体" w:eastAsia="仿宋_GB2312"/>
          <w:sz w:val="32"/>
          <w:szCs w:val="32"/>
          <w:lang w:val="en-US" w:eastAsia="zh-CN"/>
        </w:rPr>
        <w:t>1500户</w:t>
      </w:r>
      <w:r>
        <w:rPr>
          <w:rFonts w:hint="eastAsia" w:ascii="仿宋_GB2312" w:hAnsi="宋体" w:eastAsia="仿宋_GB2312"/>
          <w:sz w:val="32"/>
          <w:szCs w:val="32"/>
        </w:rPr>
        <w:t>。实际完成</w:t>
      </w:r>
      <w:r>
        <w:rPr>
          <w:rFonts w:hint="eastAsia" w:ascii="仿宋_GB2312" w:hAnsi="宋体" w:eastAsia="仿宋_GB2312"/>
          <w:sz w:val="32"/>
          <w:szCs w:val="32"/>
          <w:lang w:val="en-US" w:eastAsia="zh-CN"/>
        </w:rPr>
        <w:t>1451户</w:t>
      </w:r>
      <w:r>
        <w:rPr>
          <w:rFonts w:hint="eastAsia" w:ascii="仿宋_GB2312" w:hAnsi="宋体" w:eastAsia="仿宋_GB2312"/>
          <w:sz w:val="32"/>
          <w:szCs w:val="32"/>
        </w:rPr>
        <w:t>，</w:t>
      </w:r>
      <w:r>
        <w:rPr>
          <w:rFonts w:hint="eastAsia" w:ascii="仿宋_GB2312" w:hAnsi="宋体" w:eastAsia="仿宋_GB2312"/>
          <w:sz w:val="32"/>
          <w:szCs w:val="32"/>
          <w:lang w:eastAsia="zh-CN"/>
        </w:rPr>
        <w:t>其中：沙咀大队</w:t>
      </w:r>
      <w:r>
        <w:rPr>
          <w:rFonts w:hint="eastAsia" w:ascii="仿宋_GB2312" w:hAnsi="宋体" w:eastAsia="仿宋_GB2312"/>
          <w:sz w:val="32"/>
          <w:szCs w:val="32"/>
          <w:lang w:val="en-US" w:eastAsia="zh-CN"/>
        </w:rPr>
        <w:t>662户，胡家坮大队372户，渔门大队408户，八向大队7户，慈惠街集镇（中心村）2户</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未完成目标值，该</w:t>
      </w:r>
      <w:r>
        <w:rPr>
          <w:rFonts w:hint="eastAsia" w:ascii="仿宋_GB2312" w:hAnsi="宋体" w:eastAsia="仿宋_GB2312"/>
          <w:sz w:val="32"/>
          <w:szCs w:val="32"/>
        </w:rPr>
        <w:t>指标得</w:t>
      </w:r>
      <w:r>
        <w:rPr>
          <w:rFonts w:hint="eastAsia" w:ascii="仿宋_GB2312" w:hAnsi="宋体" w:eastAsia="仿宋_GB2312"/>
          <w:sz w:val="32"/>
          <w:szCs w:val="32"/>
          <w:lang w:val="en-US" w:eastAsia="zh-CN"/>
        </w:rPr>
        <w:t>分7.74</w:t>
      </w:r>
      <w:r>
        <w:rPr>
          <w:rFonts w:hint="eastAsia" w:ascii="仿宋_GB2312" w:hAnsi="宋体" w:eastAsia="仿宋_GB2312"/>
          <w:sz w:val="32"/>
          <w:szCs w:val="32"/>
        </w:rPr>
        <w:t>分。</w:t>
      </w:r>
    </w:p>
    <w:p>
      <w:pPr>
        <w:pStyle w:val="11"/>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搬迁安置过渡费</w:t>
      </w:r>
      <w:r>
        <w:rPr>
          <w:rFonts w:hint="eastAsia" w:ascii="仿宋_GB2312" w:hAnsi="仿宋" w:eastAsia="仿宋_GB2312"/>
          <w:sz w:val="32"/>
          <w:szCs w:val="32"/>
          <w:lang w:val="en-US" w:eastAsia="zh-CN"/>
        </w:rPr>
        <w:t>面积</w:t>
      </w:r>
      <w:r>
        <w:rPr>
          <w:rFonts w:hint="eastAsia" w:ascii="仿宋_GB2312" w:hAnsi="仿宋" w:eastAsia="仿宋_GB2312"/>
          <w:sz w:val="32"/>
          <w:szCs w:val="32"/>
        </w:rPr>
        <w:t>，年初目标值为</w:t>
      </w:r>
      <w:r>
        <w:rPr>
          <w:rFonts w:hint="eastAsia" w:ascii="仿宋_GB2312" w:hAnsi="宋体" w:eastAsia="仿宋_GB2312"/>
          <w:sz w:val="32"/>
          <w:szCs w:val="32"/>
          <w:lang w:val="en-US" w:eastAsia="zh-CN"/>
        </w:rPr>
        <w:t>30万平方米</w:t>
      </w:r>
      <w:r>
        <w:rPr>
          <w:rFonts w:hint="eastAsia" w:ascii="仿宋_GB2312" w:hAnsi="仿宋" w:eastAsia="仿宋_GB2312"/>
          <w:sz w:val="32"/>
          <w:szCs w:val="32"/>
        </w:rPr>
        <w:t>。实际完成</w:t>
      </w:r>
      <w:r>
        <w:rPr>
          <w:rFonts w:hint="eastAsia" w:ascii="仿宋_GB2312" w:hAnsi="仿宋" w:eastAsia="仿宋_GB2312"/>
          <w:sz w:val="32"/>
          <w:szCs w:val="32"/>
          <w:lang w:val="en-US" w:eastAsia="zh-CN"/>
        </w:rPr>
        <w:t>219769.36平方米，其中：</w:t>
      </w:r>
      <w:r>
        <w:rPr>
          <w:rFonts w:hint="eastAsia" w:ascii="仿宋_GB2312" w:hAnsi="宋体" w:eastAsia="仿宋_GB2312"/>
          <w:sz w:val="32"/>
          <w:szCs w:val="32"/>
          <w:lang w:eastAsia="zh-CN"/>
        </w:rPr>
        <w:t>沙咀大队</w:t>
      </w:r>
      <w:r>
        <w:rPr>
          <w:rFonts w:hint="eastAsia" w:ascii="仿宋_GB2312" w:hAnsi="宋体" w:eastAsia="仿宋_GB2312"/>
          <w:sz w:val="32"/>
          <w:szCs w:val="32"/>
          <w:lang w:val="en-US" w:eastAsia="zh-CN"/>
        </w:rPr>
        <w:t>78734.33平方米，胡家坮大队70924.9平方米，渔门大队68274.63平方米，八向大队1430.12平方米，慈惠街集镇（中心村）405.38平方米</w:t>
      </w:r>
      <w:r>
        <w:rPr>
          <w:rFonts w:hint="eastAsia" w:ascii="仿宋_GB2312" w:hAnsi="仿宋" w:eastAsia="仿宋_GB2312"/>
          <w:sz w:val="32"/>
          <w:szCs w:val="32"/>
        </w:rPr>
        <w:t>，</w:t>
      </w:r>
      <w:r>
        <w:rPr>
          <w:rFonts w:hint="eastAsia" w:ascii="仿宋_GB2312" w:hAnsi="宋体" w:eastAsia="仿宋_GB2312"/>
          <w:sz w:val="32"/>
          <w:szCs w:val="32"/>
          <w:lang w:val="en-US" w:eastAsia="zh-CN"/>
        </w:rPr>
        <w:t>未完成目标值，该</w:t>
      </w:r>
      <w:r>
        <w:rPr>
          <w:rFonts w:hint="eastAsia" w:ascii="仿宋_GB2312" w:hAnsi="仿宋" w:eastAsia="仿宋_GB2312"/>
          <w:sz w:val="32"/>
          <w:szCs w:val="32"/>
        </w:rPr>
        <w:t>指标得</w:t>
      </w:r>
      <w:r>
        <w:rPr>
          <w:rFonts w:hint="eastAsia" w:ascii="仿宋_GB2312" w:hAnsi="仿宋" w:eastAsia="仿宋_GB2312"/>
          <w:sz w:val="32"/>
          <w:szCs w:val="32"/>
          <w:lang w:val="en-US" w:eastAsia="zh-CN"/>
        </w:rPr>
        <w:t>分5.86</w:t>
      </w:r>
      <w:r>
        <w:rPr>
          <w:rFonts w:hint="eastAsia" w:ascii="仿宋_GB2312" w:hAnsi="仿宋" w:eastAsia="仿宋_GB2312"/>
          <w:sz w:val="32"/>
          <w:szCs w:val="32"/>
        </w:rPr>
        <w:t>分。</w:t>
      </w:r>
    </w:p>
    <w:p>
      <w:pPr>
        <w:pStyle w:val="11"/>
        <w:spacing w:line="560" w:lineRule="exact"/>
        <w:ind w:firstLine="640" w:firstLineChars="200"/>
        <w:rPr>
          <w:rFonts w:ascii="仿宋_GB2312" w:hAnsi="宋体" w:eastAsia="仿宋_GB2312"/>
          <w:sz w:val="32"/>
          <w:szCs w:val="32"/>
          <w:highlight w:val="none"/>
        </w:rPr>
      </w:pPr>
      <w:r>
        <w:rPr>
          <w:rFonts w:hint="eastAsia" w:ascii="仿宋_GB2312" w:hAnsi="宋体" w:eastAsia="仿宋_GB2312"/>
          <w:sz w:val="32"/>
          <w:szCs w:val="32"/>
          <w:highlight w:val="none"/>
        </w:rPr>
        <w:t>拆迁数据库</w:t>
      </w:r>
      <w:r>
        <w:rPr>
          <w:rFonts w:hint="eastAsia" w:ascii="仿宋_GB2312" w:hAnsi="宋体" w:eastAsia="仿宋_GB2312"/>
          <w:sz w:val="32"/>
          <w:szCs w:val="32"/>
          <w:highlight w:val="none"/>
          <w:lang w:val="en-US" w:eastAsia="zh-CN"/>
        </w:rPr>
        <w:t>更新</w:t>
      </w:r>
      <w:r>
        <w:rPr>
          <w:rFonts w:hint="eastAsia" w:ascii="仿宋_GB2312" w:hAnsi="宋体" w:eastAsia="仿宋_GB2312"/>
          <w:sz w:val="32"/>
          <w:szCs w:val="32"/>
          <w:highlight w:val="none"/>
        </w:rPr>
        <w:t>率，年初目标值为≥95%。</w:t>
      </w:r>
      <w:r>
        <w:rPr>
          <w:rFonts w:hint="eastAsia" w:ascii="仿宋_GB2312" w:hAnsi="宋体" w:eastAsia="仿宋_GB2312"/>
          <w:sz w:val="32"/>
          <w:szCs w:val="32"/>
          <w:highlight w:val="none"/>
          <w:lang w:val="en-US" w:eastAsia="zh-CN"/>
        </w:rPr>
        <w:t>年初计划更新数据库1500户</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实际更新1451户，数据库更新率96.73%，完成指标值，该</w:t>
      </w:r>
      <w:r>
        <w:rPr>
          <w:rFonts w:hint="eastAsia" w:ascii="仿宋_GB2312" w:hAnsi="宋体" w:eastAsia="仿宋_GB2312"/>
          <w:sz w:val="32"/>
          <w:szCs w:val="32"/>
          <w:highlight w:val="none"/>
        </w:rPr>
        <w:t>指标得</w:t>
      </w:r>
      <w:r>
        <w:rPr>
          <w:rFonts w:hint="eastAsia" w:ascii="仿宋_GB2312" w:hAnsi="宋体" w:eastAsia="仿宋_GB2312"/>
          <w:sz w:val="32"/>
          <w:szCs w:val="32"/>
          <w:highlight w:val="none"/>
          <w:lang w:val="en-US" w:eastAsia="zh-CN"/>
        </w:rPr>
        <w:t>分7.00</w:t>
      </w:r>
      <w:r>
        <w:rPr>
          <w:rFonts w:hint="eastAsia" w:ascii="仿宋_GB2312" w:hAnsi="宋体" w:eastAsia="仿宋_GB2312"/>
          <w:sz w:val="32"/>
          <w:szCs w:val="32"/>
          <w:highlight w:val="none"/>
        </w:rPr>
        <w:t>分。</w:t>
      </w:r>
    </w:p>
    <w:p>
      <w:pPr>
        <w:pStyle w:val="11"/>
        <w:spacing w:line="560" w:lineRule="exact"/>
        <w:ind w:firstLine="640" w:firstLineChars="200"/>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rPr>
        <w:t>②质量指标</w:t>
      </w:r>
      <w:r>
        <w:rPr>
          <w:rFonts w:hint="eastAsia" w:ascii="仿宋_GB2312" w:hAnsi="宋体" w:eastAsia="仿宋_GB2312"/>
          <w:sz w:val="32"/>
          <w:szCs w:val="32"/>
          <w:highlight w:val="none"/>
          <w:lang w:val="en-US" w:eastAsia="zh-CN"/>
        </w:rPr>
        <w:t>完成情况分析</w:t>
      </w:r>
    </w:p>
    <w:p>
      <w:pPr>
        <w:pStyle w:val="11"/>
        <w:spacing w:line="560" w:lineRule="exact"/>
        <w:ind w:firstLine="640" w:firstLineChars="200"/>
        <w:rPr>
          <w:rFonts w:ascii="仿宋_GB2312" w:hAnsi="宋体" w:eastAsia="仿宋_GB2312"/>
          <w:sz w:val="32"/>
          <w:szCs w:val="32"/>
          <w:highlight w:val="none"/>
        </w:rPr>
      </w:pPr>
      <w:r>
        <w:rPr>
          <w:rFonts w:hint="eastAsia" w:ascii="仿宋_GB2312" w:hAnsi="宋体" w:eastAsia="仿宋_GB2312"/>
          <w:sz w:val="32"/>
          <w:szCs w:val="32"/>
          <w:highlight w:val="none"/>
        </w:rPr>
        <w:t>过渡资金发放合规性，年初目标值为合规。</w:t>
      </w:r>
      <w:r>
        <w:rPr>
          <w:rFonts w:hint="eastAsia" w:ascii="仿宋_GB2312" w:hAnsi="宋体" w:eastAsia="仿宋_GB2312"/>
          <w:sz w:val="32"/>
          <w:szCs w:val="32"/>
        </w:rPr>
        <w:t>经查过渡费发放凭证，资金拨付均有领导审批</w:t>
      </w:r>
      <w:r>
        <w:rPr>
          <w:rFonts w:hint="eastAsia" w:ascii="仿宋_GB2312" w:hAnsi="宋体" w:eastAsia="仿宋_GB2312"/>
          <w:sz w:val="32"/>
          <w:szCs w:val="32"/>
          <w:lang w:eastAsia="zh-CN"/>
        </w:rPr>
        <w:t>、</w:t>
      </w:r>
      <w:r>
        <w:rPr>
          <w:rFonts w:hint="eastAsia" w:ascii="仿宋_GB2312" w:hAnsi="宋体" w:eastAsia="仿宋_GB2312"/>
          <w:sz w:val="32"/>
          <w:szCs w:val="32"/>
        </w:rPr>
        <w:t>支出审批表、过渡费发放汇总表、付款凭证等资料，财务报销手续齐全，过渡费退地生活费发放合规</w:t>
      </w:r>
      <w:r>
        <w:rPr>
          <w:rFonts w:hint="eastAsia" w:ascii="仿宋_GB2312" w:hAnsi="宋体" w:eastAsia="仿宋_GB2312"/>
          <w:sz w:val="32"/>
          <w:szCs w:val="32"/>
          <w:highlight w:val="none"/>
        </w:rPr>
        <w:t>，此指标得</w:t>
      </w:r>
      <w:r>
        <w:rPr>
          <w:rFonts w:hint="eastAsia" w:ascii="仿宋_GB2312" w:hAnsi="宋体" w:eastAsia="仿宋_GB2312"/>
          <w:sz w:val="32"/>
          <w:szCs w:val="32"/>
          <w:highlight w:val="none"/>
          <w:lang w:val="en-US" w:eastAsia="zh-CN"/>
        </w:rPr>
        <w:t>5.00</w:t>
      </w:r>
      <w:r>
        <w:rPr>
          <w:rFonts w:hint="eastAsia" w:ascii="仿宋_GB2312" w:hAnsi="宋体" w:eastAsia="仿宋_GB2312"/>
          <w:sz w:val="32"/>
          <w:szCs w:val="32"/>
          <w:highlight w:val="none"/>
        </w:rPr>
        <w:t>分。</w:t>
      </w:r>
    </w:p>
    <w:p>
      <w:pPr>
        <w:pStyle w:val="11"/>
        <w:spacing w:line="560" w:lineRule="exact"/>
        <w:ind w:firstLine="640" w:firstLineChars="200"/>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rPr>
        <w:t>③时效指标</w:t>
      </w:r>
      <w:r>
        <w:rPr>
          <w:rFonts w:hint="eastAsia" w:ascii="仿宋_GB2312" w:hAnsi="宋体" w:eastAsia="仿宋_GB2312"/>
          <w:sz w:val="32"/>
          <w:szCs w:val="32"/>
          <w:highlight w:val="none"/>
          <w:lang w:val="en-US" w:eastAsia="zh-CN"/>
        </w:rPr>
        <w:t>完成情况分析</w:t>
      </w:r>
    </w:p>
    <w:p>
      <w:pPr>
        <w:pStyle w:val="11"/>
        <w:spacing w:line="560" w:lineRule="exact"/>
        <w:ind w:firstLine="640" w:firstLineChars="200"/>
        <w:rPr>
          <w:rFonts w:ascii="仿宋_GB2312" w:hAnsi="宋体" w:eastAsia="仿宋_GB2312"/>
          <w:sz w:val="32"/>
          <w:szCs w:val="32"/>
          <w:highlight w:val="none"/>
        </w:rPr>
      </w:pPr>
      <w:r>
        <w:rPr>
          <w:rFonts w:hint="eastAsia" w:ascii="仿宋_GB2312" w:hAnsi="宋体" w:eastAsia="仿宋_GB2312"/>
          <w:sz w:val="32"/>
          <w:szCs w:val="32"/>
          <w:highlight w:val="none"/>
        </w:rPr>
        <w:t>各类补偿资金拨付及时率，年初目标值为及时。</w:t>
      </w:r>
      <w:r>
        <w:rPr>
          <w:rFonts w:hint="eastAsia" w:ascii="仿宋_GB2312" w:hAnsi="宋体" w:eastAsia="仿宋_GB2312"/>
          <w:sz w:val="32"/>
          <w:szCs w:val="32"/>
          <w:highlight w:val="none"/>
          <w:lang w:val="en-US" w:eastAsia="zh-CN"/>
        </w:rPr>
        <w:t>经对过渡费发放记账凭证抽查，</w:t>
      </w:r>
      <w:r>
        <w:rPr>
          <w:rFonts w:hint="eastAsia" w:ascii="仿宋_GB2312" w:hAnsi="宋体" w:eastAsia="仿宋_GB2312"/>
          <w:sz w:val="32"/>
          <w:szCs w:val="32"/>
          <w:highlight w:val="none"/>
        </w:rPr>
        <w:t>本年度</w:t>
      </w:r>
      <w:r>
        <w:rPr>
          <w:rFonts w:hint="eastAsia" w:ascii="仿宋_GB2312" w:hAnsi="宋体" w:eastAsia="仿宋_GB2312"/>
          <w:sz w:val="32"/>
          <w:szCs w:val="32"/>
          <w:highlight w:val="none"/>
          <w:lang w:eastAsia="zh-CN"/>
        </w:rPr>
        <w:t>拆迁安置过渡费</w:t>
      </w:r>
      <w:r>
        <w:rPr>
          <w:rFonts w:hint="eastAsia" w:ascii="仿宋_GB2312" w:hAnsi="宋体" w:eastAsia="仿宋_GB2312"/>
          <w:sz w:val="32"/>
          <w:szCs w:val="32"/>
          <w:highlight w:val="none"/>
        </w:rPr>
        <w:t>均</w:t>
      </w:r>
      <w:r>
        <w:rPr>
          <w:rFonts w:hint="eastAsia" w:ascii="仿宋_GB2312" w:hAnsi="宋体" w:eastAsia="仿宋_GB2312"/>
          <w:sz w:val="32"/>
          <w:szCs w:val="32"/>
          <w:highlight w:val="none"/>
          <w:lang w:val="en-US" w:eastAsia="zh-CN"/>
        </w:rPr>
        <w:t>按季度在</w:t>
      </w:r>
      <w:r>
        <w:rPr>
          <w:rFonts w:hint="eastAsia" w:ascii="仿宋_GB2312" w:hAnsi="宋体" w:eastAsia="仿宋_GB2312"/>
          <w:sz w:val="32"/>
          <w:szCs w:val="32"/>
          <w:highlight w:val="none"/>
          <w:lang w:eastAsia="zh-CN"/>
        </w:rPr>
        <w:t>规定</w:t>
      </w:r>
      <w:r>
        <w:rPr>
          <w:rFonts w:hint="eastAsia" w:ascii="仿宋_GB2312" w:hAnsi="宋体" w:eastAsia="仿宋_GB2312"/>
          <w:sz w:val="32"/>
          <w:szCs w:val="32"/>
          <w:highlight w:val="none"/>
        </w:rPr>
        <w:t>时间内</w:t>
      </w:r>
      <w:r>
        <w:rPr>
          <w:rFonts w:hint="eastAsia" w:ascii="仿宋_GB2312" w:hAnsi="宋体" w:eastAsia="仿宋_GB2312"/>
          <w:sz w:val="32"/>
          <w:szCs w:val="32"/>
          <w:highlight w:val="none"/>
          <w:lang w:eastAsia="zh-CN"/>
        </w:rPr>
        <w:t>发放</w:t>
      </w:r>
      <w:r>
        <w:rPr>
          <w:rFonts w:hint="eastAsia" w:ascii="仿宋_GB2312" w:hAnsi="宋体" w:eastAsia="仿宋_GB2312"/>
          <w:sz w:val="32"/>
          <w:szCs w:val="32"/>
          <w:highlight w:val="none"/>
        </w:rPr>
        <w:t>，此指标得</w:t>
      </w:r>
      <w:r>
        <w:rPr>
          <w:rFonts w:hint="eastAsia" w:ascii="仿宋_GB2312" w:hAnsi="宋体" w:eastAsia="仿宋_GB2312"/>
          <w:sz w:val="32"/>
          <w:szCs w:val="32"/>
          <w:highlight w:val="none"/>
          <w:lang w:val="en-US" w:eastAsia="zh-CN"/>
        </w:rPr>
        <w:t>5.00</w:t>
      </w:r>
      <w:r>
        <w:rPr>
          <w:rFonts w:hint="eastAsia" w:ascii="仿宋_GB2312" w:hAnsi="宋体" w:eastAsia="仿宋_GB2312"/>
          <w:sz w:val="32"/>
          <w:szCs w:val="32"/>
          <w:highlight w:val="none"/>
        </w:rPr>
        <w:t>分。</w:t>
      </w:r>
    </w:p>
    <w:p>
      <w:pPr>
        <w:pStyle w:val="11"/>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④</w:t>
      </w:r>
      <w:r>
        <w:rPr>
          <w:rFonts w:hint="eastAsia" w:ascii="仿宋_GB2312" w:hAnsi="宋体" w:eastAsia="仿宋_GB2312"/>
          <w:sz w:val="32"/>
          <w:szCs w:val="32"/>
        </w:rPr>
        <w:t>社会效益指标</w:t>
      </w:r>
      <w:r>
        <w:rPr>
          <w:rFonts w:hint="eastAsia" w:ascii="仿宋_GB2312" w:hAnsi="宋体" w:eastAsia="仿宋_GB2312"/>
          <w:sz w:val="32"/>
          <w:szCs w:val="32"/>
          <w:lang w:val="en-US" w:eastAsia="zh-CN"/>
        </w:rPr>
        <w:t>完成情况分析</w:t>
      </w:r>
    </w:p>
    <w:p>
      <w:pPr>
        <w:pStyle w:val="11"/>
        <w:spacing w:line="56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highlight w:val="none"/>
        </w:rPr>
        <w:t>保障被搬迁户过渡期生活，年初目标值为</w:t>
      </w:r>
      <w:r>
        <w:rPr>
          <w:rFonts w:hint="eastAsia" w:ascii="仿宋_GB2312" w:hAnsi="宋体" w:eastAsia="仿宋_GB2312"/>
          <w:sz w:val="32"/>
          <w:szCs w:val="32"/>
          <w:highlight w:val="none"/>
          <w:lang w:val="en-US" w:eastAsia="zh-CN"/>
        </w:rPr>
        <w:t>保障</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2021年度慈惠街道办事处为</w:t>
      </w:r>
      <w:r>
        <w:rPr>
          <w:rFonts w:hint="eastAsia" w:ascii="仿宋_GB2312" w:hAnsi="宋体" w:eastAsia="仿宋_GB2312"/>
          <w:sz w:val="32"/>
          <w:szCs w:val="32"/>
          <w:lang w:eastAsia="zh-CN"/>
        </w:rPr>
        <w:t>沙咀大队、</w:t>
      </w:r>
      <w:r>
        <w:rPr>
          <w:rFonts w:hint="eastAsia" w:ascii="仿宋_GB2312" w:hAnsi="宋体" w:eastAsia="仿宋_GB2312"/>
          <w:sz w:val="32"/>
          <w:szCs w:val="32"/>
          <w:lang w:val="en-US" w:eastAsia="zh-CN"/>
        </w:rPr>
        <w:t>胡家坮大队、渔门大队等发放过渡费经费，保障了</w:t>
      </w:r>
      <w:r>
        <w:rPr>
          <w:rFonts w:hint="eastAsia" w:ascii="仿宋_GB2312" w:hAnsi="宋体" w:eastAsia="仿宋_GB2312"/>
          <w:sz w:val="32"/>
          <w:szCs w:val="32"/>
          <w:highlight w:val="none"/>
        </w:rPr>
        <w:t>搬迁户过渡期生活</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该指标得分10.00分。</w:t>
      </w:r>
    </w:p>
    <w:p>
      <w:pPr>
        <w:pStyle w:val="11"/>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社会稳定，年初目标值为</w:t>
      </w:r>
      <w:r>
        <w:rPr>
          <w:rFonts w:hint="eastAsia" w:ascii="仿宋_GB2312" w:hAnsi="宋体" w:eastAsia="仿宋_GB2312"/>
          <w:sz w:val="32"/>
          <w:szCs w:val="32"/>
          <w:lang w:eastAsia="zh-CN"/>
        </w:rPr>
        <w:t>稳定</w:t>
      </w:r>
      <w:r>
        <w:rPr>
          <w:rFonts w:hint="eastAsia" w:ascii="仿宋_GB2312" w:hAnsi="宋体" w:eastAsia="仿宋_GB2312"/>
          <w:sz w:val="32"/>
          <w:szCs w:val="32"/>
        </w:rPr>
        <w:t>。全街全年未出现因过渡费发放问题上访的情况，辖区内社会比较稳定</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该</w:t>
      </w:r>
      <w:r>
        <w:rPr>
          <w:rFonts w:hint="eastAsia" w:ascii="仿宋_GB2312" w:hAnsi="宋体" w:eastAsia="仿宋_GB2312"/>
          <w:sz w:val="32"/>
          <w:szCs w:val="32"/>
        </w:rPr>
        <w:t>指标得</w:t>
      </w:r>
      <w:r>
        <w:rPr>
          <w:rFonts w:hint="eastAsia" w:ascii="仿宋_GB2312" w:hAnsi="宋体" w:eastAsia="仿宋_GB2312"/>
          <w:sz w:val="32"/>
          <w:szCs w:val="32"/>
          <w:lang w:val="en-US" w:eastAsia="zh-CN"/>
        </w:rPr>
        <w:t>分10.00</w:t>
      </w:r>
      <w:r>
        <w:rPr>
          <w:rFonts w:hint="eastAsia" w:ascii="仿宋_GB2312" w:hAnsi="宋体" w:eastAsia="仿宋_GB2312"/>
          <w:sz w:val="32"/>
          <w:szCs w:val="32"/>
        </w:rPr>
        <w:t>分。</w:t>
      </w:r>
    </w:p>
    <w:p>
      <w:pPr>
        <w:pStyle w:val="11"/>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⑤</w:t>
      </w:r>
      <w:r>
        <w:rPr>
          <w:rFonts w:hint="eastAsia" w:ascii="仿宋_GB2312" w:hAnsi="宋体" w:eastAsia="仿宋_GB2312"/>
          <w:sz w:val="32"/>
          <w:szCs w:val="32"/>
        </w:rPr>
        <w:t>生态效益指标</w:t>
      </w:r>
      <w:r>
        <w:rPr>
          <w:rFonts w:hint="eastAsia" w:ascii="仿宋_GB2312" w:hAnsi="宋体" w:eastAsia="仿宋_GB2312"/>
          <w:sz w:val="32"/>
          <w:szCs w:val="32"/>
          <w:lang w:val="en-US" w:eastAsia="zh-CN"/>
        </w:rPr>
        <w:t>完成情况分析</w:t>
      </w:r>
    </w:p>
    <w:p>
      <w:pPr>
        <w:pStyle w:val="11"/>
        <w:spacing w:line="560" w:lineRule="exact"/>
        <w:ind w:firstLine="640" w:firstLineChars="200"/>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eastAsia="zh-CN"/>
        </w:rPr>
        <w:t>改善居住环境，</w:t>
      </w:r>
      <w:r>
        <w:rPr>
          <w:rFonts w:hint="eastAsia" w:ascii="仿宋_GB2312" w:hAnsi="宋体" w:eastAsia="仿宋_GB2312"/>
          <w:sz w:val="32"/>
          <w:szCs w:val="32"/>
          <w:highlight w:val="none"/>
        </w:rPr>
        <w:t>年初目标值为有所</w:t>
      </w:r>
      <w:r>
        <w:rPr>
          <w:rFonts w:hint="eastAsia" w:ascii="仿宋_GB2312" w:hAnsi="宋体" w:eastAsia="仿宋_GB2312"/>
          <w:sz w:val="32"/>
          <w:szCs w:val="32"/>
          <w:highlight w:val="none"/>
          <w:lang w:val="en-US" w:eastAsia="zh-CN"/>
        </w:rPr>
        <w:t>改善</w:t>
      </w:r>
      <w:r>
        <w:rPr>
          <w:rFonts w:hint="eastAsia" w:ascii="仿宋_GB2312" w:hAnsi="宋体" w:eastAsia="仿宋_GB2312"/>
          <w:sz w:val="32"/>
          <w:szCs w:val="32"/>
          <w:highlight w:val="none"/>
        </w:rPr>
        <w:t>。2021年完成对</w:t>
      </w:r>
      <w:r>
        <w:rPr>
          <w:rFonts w:hint="eastAsia" w:ascii="仿宋_GB2312" w:hAnsi="宋体" w:eastAsia="仿宋_GB2312"/>
          <w:sz w:val="32"/>
          <w:szCs w:val="32"/>
          <w:highlight w:val="none"/>
          <w:lang w:val="en-US" w:eastAsia="zh-CN"/>
        </w:rPr>
        <w:t>胡家坮大队</w:t>
      </w:r>
      <w:r>
        <w:rPr>
          <w:rFonts w:hint="eastAsia" w:ascii="仿宋_GB2312" w:hAnsi="宋体" w:eastAsia="仿宋_GB2312"/>
          <w:sz w:val="32"/>
          <w:szCs w:val="32"/>
          <w:highlight w:val="none"/>
        </w:rPr>
        <w:t>部分危房房屋拆除工作，</w:t>
      </w:r>
      <w:r>
        <w:rPr>
          <w:rFonts w:hint="eastAsia" w:ascii="仿宋_GB2312" w:hAnsi="宋体" w:eastAsia="仿宋_GB2312"/>
          <w:sz w:val="32"/>
          <w:szCs w:val="32"/>
          <w:highlight w:val="none"/>
          <w:lang w:val="en-US" w:eastAsia="zh-CN"/>
        </w:rPr>
        <w:t>改善了辖区居民的居住环境，该</w:t>
      </w:r>
      <w:r>
        <w:rPr>
          <w:rFonts w:hint="eastAsia" w:ascii="仿宋_GB2312" w:hAnsi="宋体" w:eastAsia="仿宋_GB2312"/>
          <w:sz w:val="32"/>
          <w:szCs w:val="32"/>
          <w:highlight w:val="none"/>
        </w:rPr>
        <w:t>指标得</w:t>
      </w:r>
      <w:r>
        <w:rPr>
          <w:rFonts w:hint="eastAsia" w:ascii="仿宋_GB2312" w:hAnsi="宋体" w:eastAsia="仿宋_GB2312"/>
          <w:sz w:val="32"/>
          <w:szCs w:val="32"/>
          <w:highlight w:val="none"/>
          <w:lang w:val="en-US" w:eastAsia="zh-CN"/>
        </w:rPr>
        <w:t>10.00</w:t>
      </w:r>
      <w:r>
        <w:rPr>
          <w:rFonts w:hint="eastAsia" w:ascii="仿宋_GB2312" w:hAnsi="宋体" w:eastAsia="仿宋_GB2312"/>
          <w:sz w:val="32"/>
          <w:szCs w:val="32"/>
          <w:highlight w:val="none"/>
        </w:rPr>
        <w:t>分。</w:t>
      </w:r>
    </w:p>
    <w:p>
      <w:pPr>
        <w:pStyle w:val="11"/>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（3）满意度指标完成情况</w:t>
      </w:r>
    </w:p>
    <w:p>
      <w:pPr>
        <w:spacing w:line="560" w:lineRule="exact"/>
        <w:ind w:firstLine="640" w:firstLineChars="200"/>
        <w:rPr>
          <w:rFonts w:ascii="仿宋_GB2312" w:hAnsi="仿宋" w:eastAsia="仿宋_GB2312"/>
          <w:sz w:val="32"/>
          <w:szCs w:val="32"/>
          <w:highlight w:val="none"/>
        </w:rPr>
      </w:pPr>
      <w:r>
        <w:rPr>
          <w:rFonts w:hint="eastAsia" w:ascii="仿宋_GB2312" w:hAnsi="宋体" w:eastAsia="仿宋_GB2312"/>
          <w:sz w:val="32"/>
          <w:szCs w:val="32"/>
          <w:highlight w:val="none"/>
        </w:rPr>
        <w:t>服务对象满意度指标：受益对象满意度，</w:t>
      </w:r>
      <w:r>
        <w:rPr>
          <w:rFonts w:hint="eastAsia" w:ascii="仿宋_GB2312" w:hAnsi="仿宋" w:eastAsia="仿宋_GB2312"/>
          <w:sz w:val="32"/>
          <w:szCs w:val="32"/>
          <w:highlight w:val="none"/>
        </w:rPr>
        <w:t>年初目标值为</w:t>
      </w:r>
      <w:r>
        <w:rPr>
          <w:rFonts w:hint="eastAsia" w:ascii="仿宋_GB2312" w:hAnsi="宋体" w:eastAsia="仿宋_GB2312"/>
          <w:sz w:val="32"/>
          <w:szCs w:val="32"/>
          <w:highlight w:val="none"/>
        </w:rPr>
        <w:t>≥</w:t>
      </w:r>
      <w:r>
        <w:rPr>
          <w:rFonts w:hint="eastAsia" w:ascii="仿宋_GB2312" w:hAnsi="仿宋" w:eastAsia="仿宋_GB2312"/>
          <w:sz w:val="32"/>
          <w:szCs w:val="32"/>
          <w:highlight w:val="none"/>
        </w:rPr>
        <w:t>9</w:t>
      </w:r>
      <w:r>
        <w:rPr>
          <w:rFonts w:hint="eastAsia" w:ascii="仿宋_GB2312" w:hAnsi="仿宋" w:eastAsia="仿宋_GB2312"/>
          <w:sz w:val="32"/>
          <w:szCs w:val="32"/>
          <w:highlight w:val="none"/>
          <w:lang w:val="en-US" w:eastAsia="zh-CN"/>
        </w:rPr>
        <w:t>8</w:t>
      </w:r>
      <w:r>
        <w:rPr>
          <w:rFonts w:hint="eastAsia" w:ascii="仿宋_GB2312" w:hAnsi="仿宋" w:eastAsia="仿宋_GB2312"/>
          <w:sz w:val="32"/>
          <w:szCs w:val="32"/>
          <w:highlight w:val="none"/>
        </w:rPr>
        <w:t>%。</w:t>
      </w:r>
      <w:r>
        <w:rPr>
          <w:rFonts w:hint="eastAsia" w:ascii="仿宋_GB2312" w:hAnsi="微软雅黑" w:eastAsia="仿宋_GB2312" w:cs="微软雅黑"/>
          <w:sz w:val="32"/>
          <w:szCs w:val="32"/>
          <w:highlight w:val="none"/>
          <w:lang w:val="en-US" w:eastAsia="zh-CN"/>
        </w:rPr>
        <w:t>经查阅双评议满意度，在149个评价对象中，</w:t>
      </w:r>
      <w:r>
        <w:rPr>
          <w:rFonts w:hint="eastAsia" w:ascii="仿宋_GB2312" w:hAnsi="微软雅黑" w:eastAsia="仿宋_GB2312" w:cs="微软雅黑"/>
          <w:sz w:val="32"/>
          <w:szCs w:val="32"/>
          <w:highlight w:val="none"/>
        </w:rPr>
        <w:t>受益对象</w:t>
      </w:r>
      <w:r>
        <w:rPr>
          <w:rFonts w:hint="eastAsia" w:ascii="仿宋_GB2312" w:hAnsi="微软雅黑" w:eastAsia="仿宋_GB2312" w:cs="微软雅黑"/>
          <w:sz w:val="32"/>
          <w:szCs w:val="32"/>
          <w:highlight w:val="none"/>
          <w:lang w:val="en-US" w:eastAsia="zh-CN"/>
        </w:rPr>
        <w:t>满意度100%，该</w:t>
      </w:r>
      <w:r>
        <w:rPr>
          <w:rFonts w:hint="eastAsia" w:ascii="仿宋_GB2312" w:hAnsi="宋体" w:eastAsia="仿宋_GB2312"/>
          <w:sz w:val="32"/>
          <w:szCs w:val="32"/>
          <w:highlight w:val="none"/>
        </w:rPr>
        <w:t>指标得10</w:t>
      </w:r>
      <w:r>
        <w:rPr>
          <w:rFonts w:hint="eastAsia" w:ascii="仿宋_GB2312" w:hAnsi="宋体" w:eastAsia="仿宋_GB2312"/>
          <w:sz w:val="32"/>
          <w:szCs w:val="32"/>
          <w:highlight w:val="none"/>
          <w:lang w:val="en-US" w:eastAsia="zh-CN"/>
        </w:rPr>
        <w:t>.00</w:t>
      </w:r>
      <w:r>
        <w:rPr>
          <w:rFonts w:hint="eastAsia" w:ascii="仿宋_GB2312" w:hAnsi="宋体" w:eastAsia="仿宋_GB2312"/>
          <w:sz w:val="32"/>
          <w:szCs w:val="32"/>
          <w:highlight w:val="none"/>
        </w:rPr>
        <w:t>分</w:t>
      </w:r>
      <w:r>
        <w:rPr>
          <w:rFonts w:hint="eastAsia" w:ascii="仿宋_GB2312" w:hAnsi="仿宋" w:eastAsia="仿宋_GB2312"/>
          <w:sz w:val="32"/>
          <w:szCs w:val="32"/>
          <w:highlight w:val="none"/>
        </w:rPr>
        <w:t>。</w:t>
      </w:r>
    </w:p>
    <w:p>
      <w:pPr>
        <w:pStyle w:val="11"/>
        <w:spacing w:line="560" w:lineRule="exact"/>
        <w:ind w:firstLine="643" w:firstLineChars="200"/>
        <w:outlineLvl w:val="1"/>
        <w:rPr>
          <w:rFonts w:hint="eastAsia" w:ascii="仿宋_GB2312" w:hAnsi="宋体" w:eastAsia="仿宋_GB2312"/>
          <w:b/>
          <w:bCs/>
          <w:sz w:val="32"/>
          <w:szCs w:val="32"/>
        </w:rPr>
      </w:pPr>
      <w:r>
        <w:rPr>
          <w:rFonts w:hint="eastAsia" w:ascii="仿宋_GB2312" w:hAnsi="宋体" w:eastAsia="仿宋_GB2312"/>
          <w:b/>
          <w:bCs/>
          <w:sz w:val="32"/>
          <w:szCs w:val="32"/>
        </w:rPr>
        <w:t>（四）上年度项目自评结果应用情况</w:t>
      </w:r>
    </w:p>
    <w:p>
      <w:pPr>
        <w:pStyle w:val="11"/>
        <w:numPr>
          <w:ilvl w:val="0"/>
          <w:numId w:val="0"/>
        </w:numPr>
        <w:spacing w:line="560" w:lineRule="exact"/>
        <w:ind w:firstLine="640" w:firstLineChars="200"/>
        <w:jc w:val="both"/>
        <w:outlineLvl w:val="1"/>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1.上年度自评结果</w:t>
      </w:r>
    </w:p>
    <w:p>
      <w:pPr>
        <w:pStyle w:val="11"/>
        <w:numPr>
          <w:ilvl w:val="0"/>
          <w:numId w:val="0"/>
        </w:numPr>
        <w:spacing w:line="560" w:lineRule="exact"/>
        <w:ind w:firstLine="640" w:firstLineChars="200"/>
        <w:jc w:val="both"/>
        <w:outlineLvl w:val="1"/>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rPr>
        <w:t>2020年度</w:t>
      </w:r>
      <w:r>
        <w:rPr>
          <w:rFonts w:hint="eastAsia" w:ascii="仿宋_GB2312" w:hAnsi="宋体" w:eastAsia="仿宋_GB2312"/>
          <w:sz w:val="32"/>
          <w:szCs w:val="32"/>
          <w:highlight w:val="none"/>
          <w:lang w:val="en-US" w:eastAsia="zh-CN"/>
        </w:rPr>
        <w:t>一般行政管理事务</w:t>
      </w:r>
      <w:r>
        <w:rPr>
          <w:rFonts w:hint="eastAsia" w:ascii="仿宋_GB2312" w:hAnsi="宋体" w:eastAsia="仿宋_GB2312"/>
          <w:sz w:val="32"/>
          <w:szCs w:val="32"/>
          <w:highlight w:val="none"/>
        </w:rPr>
        <w:t>项目绩效综合评价得分</w:t>
      </w:r>
      <w:r>
        <w:rPr>
          <w:rFonts w:hint="eastAsia" w:ascii="仿宋_GB2312" w:hAnsi="宋体" w:eastAsia="仿宋_GB2312"/>
          <w:sz w:val="32"/>
          <w:szCs w:val="32"/>
          <w:highlight w:val="none"/>
          <w:lang w:val="en-US" w:eastAsia="zh-CN"/>
        </w:rPr>
        <w:t>80.00</w:t>
      </w:r>
      <w:r>
        <w:rPr>
          <w:rFonts w:hint="eastAsia" w:ascii="仿宋_GB2312" w:hAnsi="宋体" w:eastAsia="仿宋_GB2312"/>
          <w:sz w:val="32"/>
          <w:szCs w:val="32"/>
          <w:highlight w:val="none"/>
        </w:rPr>
        <w:t>分，其中预算执行情况</w:t>
      </w:r>
      <w:r>
        <w:rPr>
          <w:rFonts w:hint="eastAsia" w:ascii="仿宋_GB2312" w:hAnsi="宋体" w:eastAsia="仿宋_GB2312"/>
          <w:sz w:val="32"/>
          <w:szCs w:val="32"/>
          <w:highlight w:val="none"/>
          <w:lang w:val="en-US" w:eastAsia="zh-CN"/>
        </w:rPr>
        <w:t>18.00</w:t>
      </w:r>
      <w:r>
        <w:rPr>
          <w:rFonts w:hint="eastAsia" w:ascii="仿宋_GB2312" w:hAnsi="宋体" w:eastAsia="仿宋_GB2312"/>
          <w:sz w:val="32"/>
          <w:szCs w:val="32"/>
          <w:highlight w:val="none"/>
        </w:rPr>
        <w:t>分，产出指标</w:t>
      </w:r>
      <w:r>
        <w:rPr>
          <w:rFonts w:hint="eastAsia" w:ascii="仿宋_GB2312" w:hAnsi="黑体" w:eastAsia="仿宋_GB2312"/>
          <w:kern w:val="2"/>
          <w:sz w:val="32"/>
          <w:szCs w:val="32"/>
          <w:highlight w:val="none"/>
          <w:lang w:val="en-US" w:eastAsia="zh-CN"/>
        </w:rPr>
        <w:t>34.00</w:t>
      </w:r>
      <w:r>
        <w:rPr>
          <w:rFonts w:hint="eastAsia" w:ascii="仿宋_GB2312" w:hAnsi="宋体" w:eastAsia="仿宋_GB2312"/>
          <w:sz w:val="32"/>
          <w:szCs w:val="32"/>
          <w:highlight w:val="none"/>
        </w:rPr>
        <w:t>分，效益指标</w:t>
      </w:r>
      <w:r>
        <w:rPr>
          <w:rFonts w:hint="eastAsia" w:ascii="仿宋_GB2312" w:hAnsi="黑体" w:eastAsia="仿宋_GB2312"/>
          <w:kern w:val="2"/>
          <w:sz w:val="32"/>
          <w:szCs w:val="32"/>
          <w:highlight w:val="none"/>
          <w:lang w:val="en-US" w:eastAsia="zh-CN"/>
        </w:rPr>
        <w:t>18</w:t>
      </w:r>
      <w:r>
        <w:rPr>
          <w:rFonts w:hint="eastAsia" w:ascii="仿宋_GB2312" w:hAnsi="黑体" w:eastAsia="仿宋_GB2312"/>
          <w:kern w:val="2"/>
          <w:sz w:val="32"/>
          <w:szCs w:val="32"/>
          <w:highlight w:val="none"/>
        </w:rPr>
        <w:t>.00</w:t>
      </w:r>
      <w:r>
        <w:rPr>
          <w:rFonts w:hint="eastAsia" w:ascii="仿宋_GB2312" w:hAnsi="宋体" w:eastAsia="仿宋_GB2312"/>
          <w:sz w:val="32"/>
          <w:szCs w:val="32"/>
          <w:highlight w:val="none"/>
        </w:rPr>
        <w:t>分，满意度指标</w:t>
      </w:r>
      <w:r>
        <w:rPr>
          <w:rFonts w:hint="eastAsia" w:ascii="仿宋_GB2312" w:hAnsi="宋体" w:eastAsia="仿宋_GB2312"/>
          <w:sz w:val="32"/>
          <w:szCs w:val="32"/>
          <w:highlight w:val="none"/>
          <w:lang w:val="en-US" w:eastAsia="zh-CN"/>
        </w:rPr>
        <w:t>10.00</w:t>
      </w:r>
      <w:r>
        <w:rPr>
          <w:rFonts w:hint="eastAsia" w:ascii="仿宋_GB2312" w:hAnsi="宋体" w:eastAsia="仿宋_GB2312"/>
          <w:sz w:val="32"/>
          <w:szCs w:val="32"/>
          <w:highlight w:val="none"/>
        </w:rPr>
        <w:t>分。</w:t>
      </w:r>
    </w:p>
    <w:p>
      <w:pPr>
        <w:pStyle w:val="11"/>
        <w:numPr>
          <w:ilvl w:val="0"/>
          <w:numId w:val="0"/>
        </w:numPr>
        <w:spacing w:line="560" w:lineRule="exact"/>
        <w:ind w:firstLine="640" w:firstLineChars="200"/>
        <w:jc w:val="both"/>
        <w:outlineLvl w:val="1"/>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2.上年度存在的问题</w:t>
      </w:r>
    </w:p>
    <w:p>
      <w:pPr>
        <w:pStyle w:val="11"/>
        <w:numPr>
          <w:ilvl w:val="0"/>
          <w:numId w:val="0"/>
        </w:numPr>
        <w:spacing w:line="560" w:lineRule="exact"/>
        <w:ind w:firstLine="640" w:firstLineChars="200"/>
        <w:jc w:val="both"/>
        <w:outlineLvl w:val="1"/>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lang w:eastAsia="zh-CN"/>
        </w:rPr>
        <w:t xml:space="preserve">）绩效目标编制、管理方面存在的问题 </w:t>
      </w:r>
    </w:p>
    <w:p>
      <w:pPr>
        <w:pStyle w:val="11"/>
        <w:numPr>
          <w:ilvl w:val="0"/>
          <w:numId w:val="0"/>
        </w:numPr>
        <w:spacing w:line="560" w:lineRule="exact"/>
        <w:ind w:firstLine="320" w:firstLineChars="100"/>
        <w:jc w:val="both"/>
        <w:outlineLvl w:val="1"/>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eastAsia="zh-CN"/>
        </w:rPr>
        <w:t>年初编制部门预算时设置预算绩效目标管理台账方面不够完善，未全面定期编制预算绩效目标完成情况报表以反映单位预算绩效目标完成情况。</w:t>
      </w:r>
    </w:p>
    <w:p>
      <w:pPr>
        <w:pStyle w:val="11"/>
        <w:numPr>
          <w:ilvl w:val="0"/>
          <w:numId w:val="0"/>
        </w:numPr>
        <w:spacing w:line="560" w:lineRule="exact"/>
        <w:ind w:firstLine="640" w:firstLineChars="200"/>
        <w:jc w:val="both"/>
        <w:outlineLvl w:val="1"/>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3.上年度拟改进措施</w:t>
      </w:r>
    </w:p>
    <w:p>
      <w:pPr>
        <w:pStyle w:val="11"/>
        <w:numPr>
          <w:ilvl w:val="0"/>
          <w:numId w:val="0"/>
        </w:numPr>
        <w:spacing w:line="560" w:lineRule="exact"/>
        <w:ind w:firstLine="640" w:firstLineChars="200"/>
        <w:jc w:val="both"/>
        <w:outlineLvl w:val="1"/>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eastAsia="zh-CN"/>
        </w:rPr>
        <w:t>（1）管理改进。</w:t>
      </w:r>
    </w:p>
    <w:p>
      <w:pPr>
        <w:pStyle w:val="11"/>
        <w:numPr>
          <w:ilvl w:val="0"/>
          <w:numId w:val="0"/>
        </w:numPr>
        <w:spacing w:line="560" w:lineRule="exact"/>
        <w:ind w:firstLine="320" w:firstLineChars="100"/>
        <w:jc w:val="both"/>
        <w:outlineLvl w:val="1"/>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eastAsia="zh-CN"/>
        </w:rPr>
        <w:t>完善绩效目标及绩效指标的设定，特别是产出指标的成本指标和设定不合适。</w:t>
      </w:r>
    </w:p>
    <w:p>
      <w:pPr>
        <w:pStyle w:val="11"/>
        <w:numPr>
          <w:ilvl w:val="0"/>
          <w:numId w:val="0"/>
        </w:numPr>
        <w:spacing w:line="560" w:lineRule="exact"/>
        <w:ind w:firstLine="640" w:firstLineChars="200"/>
        <w:jc w:val="both"/>
        <w:outlineLvl w:val="1"/>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eastAsia="zh-CN"/>
        </w:rPr>
        <w:t>（2）预算安排。</w:t>
      </w:r>
    </w:p>
    <w:p>
      <w:pPr>
        <w:pStyle w:val="11"/>
        <w:numPr>
          <w:ilvl w:val="0"/>
          <w:numId w:val="0"/>
        </w:numPr>
        <w:spacing w:line="560" w:lineRule="exact"/>
        <w:ind w:firstLine="320" w:firstLineChars="100"/>
        <w:jc w:val="both"/>
        <w:outlineLvl w:val="1"/>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eastAsia="zh-CN"/>
        </w:rPr>
        <w:t>安照预算执行情况调整到下年预算安排。</w:t>
      </w:r>
    </w:p>
    <w:p>
      <w:pPr>
        <w:pStyle w:val="11"/>
        <w:numPr>
          <w:ilvl w:val="0"/>
          <w:numId w:val="0"/>
        </w:numPr>
        <w:spacing w:line="560" w:lineRule="exact"/>
        <w:ind w:firstLine="640" w:firstLineChars="200"/>
        <w:jc w:val="both"/>
        <w:outlineLvl w:val="1"/>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eastAsia="zh-CN"/>
        </w:rPr>
        <w:t>（3）政策调整。</w:t>
      </w:r>
    </w:p>
    <w:p>
      <w:pPr>
        <w:pStyle w:val="11"/>
        <w:numPr>
          <w:ilvl w:val="0"/>
          <w:numId w:val="0"/>
        </w:numPr>
        <w:spacing w:line="560" w:lineRule="exact"/>
        <w:ind w:firstLine="320" w:firstLineChars="100"/>
        <w:jc w:val="both"/>
        <w:outlineLvl w:val="1"/>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eastAsia="zh-CN"/>
        </w:rPr>
        <w:t>根据政策调整预算。</w:t>
      </w:r>
    </w:p>
    <w:p>
      <w:pPr>
        <w:pStyle w:val="11"/>
        <w:spacing w:line="560" w:lineRule="exact"/>
        <w:ind w:firstLine="643" w:firstLineChars="200"/>
        <w:rPr>
          <w:rFonts w:ascii="仿宋_GB2312" w:hAnsi="宋体" w:eastAsia="仿宋_GB2312"/>
          <w:b/>
          <w:bCs/>
          <w:sz w:val="32"/>
          <w:szCs w:val="32"/>
        </w:rPr>
      </w:pPr>
      <w:r>
        <w:rPr>
          <w:rFonts w:hint="eastAsia" w:ascii="仿宋_GB2312" w:hAnsi="宋体" w:eastAsia="仿宋_GB2312"/>
          <w:b/>
          <w:bCs/>
          <w:sz w:val="32"/>
          <w:szCs w:val="32"/>
        </w:rPr>
        <w:t>（五）其他佐证材料</w:t>
      </w:r>
    </w:p>
    <w:p>
      <w:pPr>
        <w:pStyle w:val="11"/>
        <w:spacing w:line="560" w:lineRule="exact"/>
        <w:ind w:firstLine="640" w:firstLineChars="200"/>
        <w:rPr>
          <w:rFonts w:hint="eastAsia" w:ascii="仿宋_GB2312" w:hAnsi="宋体" w:eastAsia="仿宋_GB2312"/>
          <w:sz w:val="32"/>
          <w:szCs w:val="32"/>
          <w:lang w:eastAsia="zh-CN"/>
        </w:rPr>
      </w:pPr>
      <w:r>
        <w:rPr>
          <w:rFonts w:ascii="仿宋_GB2312" w:hAnsi="宋体" w:eastAsia="仿宋_GB2312"/>
          <w:sz w:val="32"/>
          <w:szCs w:val="32"/>
        </w:rPr>
        <w:t>无</w:t>
      </w:r>
      <w:r>
        <w:rPr>
          <w:rFonts w:hint="eastAsia" w:ascii="仿宋_GB2312" w:hAnsi="宋体" w:eastAsia="仿宋_GB2312"/>
          <w:sz w:val="32"/>
          <w:szCs w:val="32"/>
          <w:lang w:eastAsia="zh-CN"/>
        </w:rPr>
        <w:t>。</w:t>
      </w:r>
    </w:p>
    <w:p>
      <w:pPr>
        <w:pStyle w:val="11"/>
        <w:spacing w:line="540" w:lineRule="exact"/>
        <w:ind w:firstLine="585"/>
        <w:rPr>
          <w:rFonts w:ascii="仿宋_GB2312" w:hAnsi="宋体" w:eastAsia="仿宋_GB2312"/>
          <w:sz w:val="32"/>
          <w:szCs w:val="32"/>
        </w:rPr>
      </w:pPr>
    </w:p>
    <w:p>
      <w:pPr>
        <w:spacing w:line="540" w:lineRule="exact"/>
      </w:pPr>
    </w:p>
    <w:sectPr>
      <w:footerReference r:id="rId4" w:type="default"/>
      <w:pgSz w:w="11906" w:h="16838"/>
      <w:pgMar w:top="1474" w:right="1474" w:bottom="1474" w:left="1474" w:header="851" w:footer="992" w:gutter="34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公文小标宋简">
    <w:altName w:val="宋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66AB8D"/>
    <w:multiLevelType w:val="singleLevel"/>
    <w:tmpl w:val="D366AB8D"/>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5OTAyODA2MTg3Mjk1MGM0N2JlNzkzOTBhMjk4NjMifQ=="/>
  </w:docVars>
  <w:rsids>
    <w:rsidRoot w:val="00DA70E0"/>
    <w:rsid w:val="00000152"/>
    <w:rsid w:val="00003DA1"/>
    <w:rsid w:val="000055BE"/>
    <w:rsid w:val="0001191A"/>
    <w:rsid w:val="0001484C"/>
    <w:rsid w:val="00023850"/>
    <w:rsid w:val="00024FF4"/>
    <w:rsid w:val="0002586C"/>
    <w:rsid w:val="00027D50"/>
    <w:rsid w:val="00033D23"/>
    <w:rsid w:val="00035ECA"/>
    <w:rsid w:val="00050B2E"/>
    <w:rsid w:val="00054510"/>
    <w:rsid w:val="000558BD"/>
    <w:rsid w:val="00071547"/>
    <w:rsid w:val="00072270"/>
    <w:rsid w:val="00074AAA"/>
    <w:rsid w:val="000A09C5"/>
    <w:rsid w:val="000A34E4"/>
    <w:rsid w:val="000A4221"/>
    <w:rsid w:val="000B0921"/>
    <w:rsid w:val="000B11F9"/>
    <w:rsid w:val="000C224A"/>
    <w:rsid w:val="000C742B"/>
    <w:rsid w:val="000D15E0"/>
    <w:rsid w:val="000E28FC"/>
    <w:rsid w:val="000E4185"/>
    <w:rsid w:val="00101B41"/>
    <w:rsid w:val="001030AA"/>
    <w:rsid w:val="001036AD"/>
    <w:rsid w:val="001043A9"/>
    <w:rsid w:val="00106056"/>
    <w:rsid w:val="001114AF"/>
    <w:rsid w:val="00111F6C"/>
    <w:rsid w:val="0012125F"/>
    <w:rsid w:val="00123B23"/>
    <w:rsid w:val="001314E8"/>
    <w:rsid w:val="001343A0"/>
    <w:rsid w:val="00134C6F"/>
    <w:rsid w:val="00144752"/>
    <w:rsid w:val="001860B9"/>
    <w:rsid w:val="001862C3"/>
    <w:rsid w:val="00197B43"/>
    <w:rsid w:val="001C47EF"/>
    <w:rsid w:val="001D09EF"/>
    <w:rsid w:val="001D0B6D"/>
    <w:rsid w:val="001D487C"/>
    <w:rsid w:val="001D4F86"/>
    <w:rsid w:val="001D53C9"/>
    <w:rsid w:val="001D7B00"/>
    <w:rsid w:val="001E072D"/>
    <w:rsid w:val="001E2C0D"/>
    <w:rsid w:val="001E42C4"/>
    <w:rsid w:val="001E78B6"/>
    <w:rsid w:val="001F05FC"/>
    <w:rsid w:val="001F172B"/>
    <w:rsid w:val="001F1B3A"/>
    <w:rsid w:val="001F4774"/>
    <w:rsid w:val="001F4A89"/>
    <w:rsid w:val="001F62E5"/>
    <w:rsid w:val="00202861"/>
    <w:rsid w:val="00203B24"/>
    <w:rsid w:val="0020559E"/>
    <w:rsid w:val="00207E9D"/>
    <w:rsid w:val="00212A1A"/>
    <w:rsid w:val="00227A3F"/>
    <w:rsid w:val="0023107A"/>
    <w:rsid w:val="00233934"/>
    <w:rsid w:val="002346AF"/>
    <w:rsid w:val="002415F9"/>
    <w:rsid w:val="00250CDD"/>
    <w:rsid w:val="002529AD"/>
    <w:rsid w:val="00257555"/>
    <w:rsid w:val="00260C4C"/>
    <w:rsid w:val="00271947"/>
    <w:rsid w:val="002725FA"/>
    <w:rsid w:val="0027454C"/>
    <w:rsid w:val="002937BC"/>
    <w:rsid w:val="00294692"/>
    <w:rsid w:val="002A2276"/>
    <w:rsid w:val="002B063E"/>
    <w:rsid w:val="002B6BF8"/>
    <w:rsid w:val="002C66D0"/>
    <w:rsid w:val="002D6915"/>
    <w:rsid w:val="002E4793"/>
    <w:rsid w:val="002F5D91"/>
    <w:rsid w:val="003037C6"/>
    <w:rsid w:val="0030401E"/>
    <w:rsid w:val="003121EC"/>
    <w:rsid w:val="00313C99"/>
    <w:rsid w:val="0032089C"/>
    <w:rsid w:val="0032199B"/>
    <w:rsid w:val="00357D50"/>
    <w:rsid w:val="00365A01"/>
    <w:rsid w:val="003670FD"/>
    <w:rsid w:val="00381718"/>
    <w:rsid w:val="00382CC3"/>
    <w:rsid w:val="0038638A"/>
    <w:rsid w:val="00390209"/>
    <w:rsid w:val="00390F08"/>
    <w:rsid w:val="00397DD3"/>
    <w:rsid w:val="003A00C6"/>
    <w:rsid w:val="003A5BF4"/>
    <w:rsid w:val="003B7281"/>
    <w:rsid w:val="003C3BAF"/>
    <w:rsid w:val="003C4E99"/>
    <w:rsid w:val="003D51DF"/>
    <w:rsid w:val="003E6D34"/>
    <w:rsid w:val="003F2F51"/>
    <w:rsid w:val="00405263"/>
    <w:rsid w:val="00411BCE"/>
    <w:rsid w:val="00415369"/>
    <w:rsid w:val="0042231F"/>
    <w:rsid w:val="00423165"/>
    <w:rsid w:val="00433089"/>
    <w:rsid w:val="004401D7"/>
    <w:rsid w:val="004411DE"/>
    <w:rsid w:val="00452DF7"/>
    <w:rsid w:val="004556D6"/>
    <w:rsid w:val="00456970"/>
    <w:rsid w:val="00457B35"/>
    <w:rsid w:val="00462D5F"/>
    <w:rsid w:val="0047361D"/>
    <w:rsid w:val="00483A45"/>
    <w:rsid w:val="004924A7"/>
    <w:rsid w:val="00492E51"/>
    <w:rsid w:val="004A3B44"/>
    <w:rsid w:val="004C30BB"/>
    <w:rsid w:val="004E3F5C"/>
    <w:rsid w:val="004F2265"/>
    <w:rsid w:val="005053EC"/>
    <w:rsid w:val="005064AE"/>
    <w:rsid w:val="00513777"/>
    <w:rsid w:val="00513BB1"/>
    <w:rsid w:val="0051479E"/>
    <w:rsid w:val="005255E4"/>
    <w:rsid w:val="00535082"/>
    <w:rsid w:val="005472FB"/>
    <w:rsid w:val="005561C6"/>
    <w:rsid w:val="0056053D"/>
    <w:rsid w:val="0056054D"/>
    <w:rsid w:val="00576136"/>
    <w:rsid w:val="00582C0F"/>
    <w:rsid w:val="005A06BF"/>
    <w:rsid w:val="005A6DCB"/>
    <w:rsid w:val="005D15F9"/>
    <w:rsid w:val="005D3432"/>
    <w:rsid w:val="005D6C4C"/>
    <w:rsid w:val="005E223F"/>
    <w:rsid w:val="005E2CC6"/>
    <w:rsid w:val="005E584B"/>
    <w:rsid w:val="005E77CF"/>
    <w:rsid w:val="005F141F"/>
    <w:rsid w:val="005F4A3A"/>
    <w:rsid w:val="00600EBC"/>
    <w:rsid w:val="00601604"/>
    <w:rsid w:val="00622505"/>
    <w:rsid w:val="0064417B"/>
    <w:rsid w:val="0065441F"/>
    <w:rsid w:val="006566FC"/>
    <w:rsid w:val="006577F2"/>
    <w:rsid w:val="006704AB"/>
    <w:rsid w:val="00684F51"/>
    <w:rsid w:val="00685BE5"/>
    <w:rsid w:val="006919F0"/>
    <w:rsid w:val="00692E49"/>
    <w:rsid w:val="00695857"/>
    <w:rsid w:val="006A22D9"/>
    <w:rsid w:val="006A39C0"/>
    <w:rsid w:val="006A462D"/>
    <w:rsid w:val="006A5789"/>
    <w:rsid w:val="006A582F"/>
    <w:rsid w:val="006A59D0"/>
    <w:rsid w:val="006A7A1E"/>
    <w:rsid w:val="006D2346"/>
    <w:rsid w:val="006D58BF"/>
    <w:rsid w:val="006E0D10"/>
    <w:rsid w:val="006E1AC4"/>
    <w:rsid w:val="006E28D4"/>
    <w:rsid w:val="006E350A"/>
    <w:rsid w:val="006F539F"/>
    <w:rsid w:val="006F75D8"/>
    <w:rsid w:val="0070027E"/>
    <w:rsid w:val="00707597"/>
    <w:rsid w:val="00717AAA"/>
    <w:rsid w:val="00735A00"/>
    <w:rsid w:val="007402AD"/>
    <w:rsid w:val="00743A3C"/>
    <w:rsid w:val="00746255"/>
    <w:rsid w:val="00770A0B"/>
    <w:rsid w:val="007723FE"/>
    <w:rsid w:val="00774A05"/>
    <w:rsid w:val="0078032D"/>
    <w:rsid w:val="00790520"/>
    <w:rsid w:val="00793CEA"/>
    <w:rsid w:val="00794BCD"/>
    <w:rsid w:val="0079534C"/>
    <w:rsid w:val="007A04CF"/>
    <w:rsid w:val="007B649A"/>
    <w:rsid w:val="007D1BAC"/>
    <w:rsid w:val="007E15D7"/>
    <w:rsid w:val="007E5087"/>
    <w:rsid w:val="007F7035"/>
    <w:rsid w:val="00807CCA"/>
    <w:rsid w:val="008165CD"/>
    <w:rsid w:val="008227CB"/>
    <w:rsid w:val="00825C42"/>
    <w:rsid w:val="00833DDD"/>
    <w:rsid w:val="00835373"/>
    <w:rsid w:val="00835519"/>
    <w:rsid w:val="008372F6"/>
    <w:rsid w:val="00850B35"/>
    <w:rsid w:val="00870F5E"/>
    <w:rsid w:val="00871148"/>
    <w:rsid w:val="00871813"/>
    <w:rsid w:val="00880E40"/>
    <w:rsid w:val="00890297"/>
    <w:rsid w:val="00891841"/>
    <w:rsid w:val="0089735C"/>
    <w:rsid w:val="008B4843"/>
    <w:rsid w:val="008C508D"/>
    <w:rsid w:val="008C628C"/>
    <w:rsid w:val="008D18AD"/>
    <w:rsid w:val="008D4903"/>
    <w:rsid w:val="008F3B69"/>
    <w:rsid w:val="009018F3"/>
    <w:rsid w:val="0090672F"/>
    <w:rsid w:val="00921746"/>
    <w:rsid w:val="00927F78"/>
    <w:rsid w:val="00930DB1"/>
    <w:rsid w:val="00941FF5"/>
    <w:rsid w:val="009439AB"/>
    <w:rsid w:val="0094667D"/>
    <w:rsid w:val="00950087"/>
    <w:rsid w:val="0095301D"/>
    <w:rsid w:val="00953DB5"/>
    <w:rsid w:val="00961DF4"/>
    <w:rsid w:val="00964653"/>
    <w:rsid w:val="009746DB"/>
    <w:rsid w:val="00984CD9"/>
    <w:rsid w:val="009B1558"/>
    <w:rsid w:val="009C3320"/>
    <w:rsid w:val="009C5B93"/>
    <w:rsid w:val="009D454D"/>
    <w:rsid w:val="009D5EF0"/>
    <w:rsid w:val="009E06AE"/>
    <w:rsid w:val="009E31C4"/>
    <w:rsid w:val="009E3C8F"/>
    <w:rsid w:val="009F07FE"/>
    <w:rsid w:val="009F0DAE"/>
    <w:rsid w:val="009F2C08"/>
    <w:rsid w:val="00A025EC"/>
    <w:rsid w:val="00A04D49"/>
    <w:rsid w:val="00A302A6"/>
    <w:rsid w:val="00A40172"/>
    <w:rsid w:val="00A42582"/>
    <w:rsid w:val="00A502BA"/>
    <w:rsid w:val="00A50686"/>
    <w:rsid w:val="00A5085E"/>
    <w:rsid w:val="00A51676"/>
    <w:rsid w:val="00A65801"/>
    <w:rsid w:val="00A65820"/>
    <w:rsid w:val="00A66CDF"/>
    <w:rsid w:val="00A67CE1"/>
    <w:rsid w:val="00A913E6"/>
    <w:rsid w:val="00A91B37"/>
    <w:rsid w:val="00A93C87"/>
    <w:rsid w:val="00A93DB7"/>
    <w:rsid w:val="00A94B24"/>
    <w:rsid w:val="00AA38D7"/>
    <w:rsid w:val="00AA4820"/>
    <w:rsid w:val="00AB630E"/>
    <w:rsid w:val="00AC4191"/>
    <w:rsid w:val="00AC5472"/>
    <w:rsid w:val="00AC67FE"/>
    <w:rsid w:val="00AC7067"/>
    <w:rsid w:val="00AD5B8E"/>
    <w:rsid w:val="00AD5D82"/>
    <w:rsid w:val="00AD76D3"/>
    <w:rsid w:val="00AE3C89"/>
    <w:rsid w:val="00AF5CD7"/>
    <w:rsid w:val="00B01528"/>
    <w:rsid w:val="00B12906"/>
    <w:rsid w:val="00B24F6A"/>
    <w:rsid w:val="00B313D0"/>
    <w:rsid w:val="00B34172"/>
    <w:rsid w:val="00B3716B"/>
    <w:rsid w:val="00B45ED7"/>
    <w:rsid w:val="00B53EC2"/>
    <w:rsid w:val="00B575E4"/>
    <w:rsid w:val="00B60A77"/>
    <w:rsid w:val="00B66BEB"/>
    <w:rsid w:val="00B70581"/>
    <w:rsid w:val="00B72CA7"/>
    <w:rsid w:val="00B77B26"/>
    <w:rsid w:val="00B80A6C"/>
    <w:rsid w:val="00BA28DC"/>
    <w:rsid w:val="00BB249F"/>
    <w:rsid w:val="00BB5F45"/>
    <w:rsid w:val="00BD09AE"/>
    <w:rsid w:val="00BE0D1C"/>
    <w:rsid w:val="00BE357E"/>
    <w:rsid w:val="00BE470B"/>
    <w:rsid w:val="00BF1562"/>
    <w:rsid w:val="00BF6924"/>
    <w:rsid w:val="00BF7A1B"/>
    <w:rsid w:val="00C05A57"/>
    <w:rsid w:val="00C07BFE"/>
    <w:rsid w:val="00C2068E"/>
    <w:rsid w:val="00C23062"/>
    <w:rsid w:val="00C42A5D"/>
    <w:rsid w:val="00C44945"/>
    <w:rsid w:val="00C473FA"/>
    <w:rsid w:val="00C504A0"/>
    <w:rsid w:val="00C5566F"/>
    <w:rsid w:val="00C70583"/>
    <w:rsid w:val="00C7341B"/>
    <w:rsid w:val="00C84273"/>
    <w:rsid w:val="00C84F98"/>
    <w:rsid w:val="00C909C3"/>
    <w:rsid w:val="00CA27BF"/>
    <w:rsid w:val="00CA3FE7"/>
    <w:rsid w:val="00CC4EE3"/>
    <w:rsid w:val="00CD0D2C"/>
    <w:rsid w:val="00CD24D4"/>
    <w:rsid w:val="00CE438E"/>
    <w:rsid w:val="00CE6B32"/>
    <w:rsid w:val="00CF4804"/>
    <w:rsid w:val="00D002DA"/>
    <w:rsid w:val="00D0242D"/>
    <w:rsid w:val="00D031FD"/>
    <w:rsid w:val="00D105A7"/>
    <w:rsid w:val="00D128AC"/>
    <w:rsid w:val="00D12F0B"/>
    <w:rsid w:val="00D2150D"/>
    <w:rsid w:val="00D30169"/>
    <w:rsid w:val="00D41222"/>
    <w:rsid w:val="00D454CE"/>
    <w:rsid w:val="00D45528"/>
    <w:rsid w:val="00D47DEA"/>
    <w:rsid w:val="00D63412"/>
    <w:rsid w:val="00D76EB7"/>
    <w:rsid w:val="00D972CF"/>
    <w:rsid w:val="00DA22D5"/>
    <w:rsid w:val="00DA64E7"/>
    <w:rsid w:val="00DA70E0"/>
    <w:rsid w:val="00DA76B7"/>
    <w:rsid w:val="00DB2F76"/>
    <w:rsid w:val="00DC3EB4"/>
    <w:rsid w:val="00DD279E"/>
    <w:rsid w:val="00DE01A7"/>
    <w:rsid w:val="00DE4ADF"/>
    <w:rsid w:val="00E0243D"/>
    <w:rsid w:val="00E23D74"/>
    <w:rsid w:val="00E23FFE"/>
    <w:rsid w:val="00E32890"/>
    <w:rsid w:val="00E3379E"/>
    <w:rsid w:val="00E35065"/>
    <w:rsid w:val="00E50724"/>
    <w:rsid w:val="00E53B05"/>
    <w:rsid w:val="00E65846"/>
    <w:rsid w:val="00E706D5"/>
    <w:rsid w:val="00E72AE2"/>
    <w:rsid w:val="00E84282"/>
    <w:rsid w:val="00E84D0D"/>
    <w:rsid w:val="00E91DC6"/>
    <w:rsid w:val="00E92513"/>
    <w:rsid w:val="00E97B98"/>
    <w:rsid w:val="00E97E2A"/>
    <w:rsid w:val="00EA1478"/>
    <w:rsid w:val="00EC5DF9"/>
    <w:rsid w:val="00ED207B"/>
    <w:rsid w:val="00EE41F2"/>
    <w:rsid w:val="00EE4D9A"/>
    <w:rsid w:val="00EF20EE"/>
    <w:rsid w:val="00EF33A4"/>
    <w:rsid w:val="00F00F57"/>
    <w:rsid w:val="00F07AC6"/>
    <w:rsid w:val="00F11CED"/>
    <w:rsid w:val="00F13062"/>
    <w:rsid w:val="00F136DE"/>
    <w:rsid w:val="00F140C5"/>
    <w:rsid w:val="00F149E4"/>
    <w:rsid w:val="00F3268A"/>
    <w:rsid w:val="00F61E1C"/>
    <w:rsid w:val="00F65EB0"/>
    <w:rsid w:val="00F71929"/>
    <w:rsid w:val="00F72E7C"/>
    <w:rsid w:val="00F86C42"/>
    <w:rsid w:val="00F96EBF"/>
    <w:rsid w:val="00FA0251"/>
    <w:rsid w:val="00FA44B8"/>
    <w:rsid w:val="00FB29CB"/>
    <w:rsid w:val="00FC31E5"/>
    <w:rsid w:val="00FD2653"/>
    <w:rsid w:val="00FD39CB"/>
    <w:rsid w:val="00FE45DF"/>
    <w:rsid w:val="00FE64BB"/>
    <w:rsid w:val="00FF5CBF"/>
    <w:rsid w:val="032B09E8"/>
    <w:rsid w:val="03505EE9"/>
    <w:rsid w:val="03936A9A"/>
    <w:rsid w:val="03A762C0"/>
    <w:rsid w:val="045B2C88"/>
    <w:rsid w:val="045D2E23"/>
    <w:rsid w:val="0462668B"/>
    <w:rsid w:val="06A05249"/>
    <w:rsid w:val="081F2868"/>
    <w:rsid w:val="08AA081D"/>
    <w:rsid w:val="0AD47F26"/>
    <w:rsid w:val="0B2F1AE0"/>
    <w:rsid w:val="0B986792"/>
    <w:rsid w:val="0C8A02C0"/>
    <w:rsid w:val="0D497A1D"/>
    <w:rsid w:val="0F154E96"/>
    <w:rsid w:val="0F742064"/>
    <w:rsid w:val="10093E5F"/>
    <w:rsid w:val="10BF625D"/>
    <w:rsid w:val="119D0D03"/>
    <w:rsid w:val="119D51A7"/>
    <w:rsid w:val="143E4CE3"/>
    <w:rsid w:val="153E73C1"/>
    <w:rsid w:val="155671E5"/>
    <w:rsid w:val="173B4839"/>
    <w:rsid w:val="17DF2075"/>
    <w:rsid w:val="181124EE"/>
    <w:rsid w:val="18770500"/>
    <w:rsid w:val="18AA7551"/>
    <w:rsid w:val="18E54002"/>
    <w:rsid w:val="1AE53C86"/>
    <w:rsid w:val="1B966EEF"/>
    <w:rsid w:val="1BBA6BAD"/>
    <w:rsid w:val="1BF63E31"/>
    <w:rsid w:val="1C884FA5"/>
    <w:rsid w:val="1DE72E9D"/>
    <w:rsid w:val="1EDB183D"/>
    <w:rsid w:val="1F022F5F"/>
    <w:rsid w:val="204607B7"/>
    <w:rsid w:val="2081478E"/>
    <w:rsid w:val="21B06830"/>
    <w:rsid w:val="22EF3CAF"/>
    <w:rsid w:val="22FB7F7F"/>
    <w:rsid w:val="23EA3F5D"/>
    <w:rsid w:val="28F95357"/>
    <w:rsid w:val="29AA1DB7"/>
    <w:rsid w:val="29FF65A7"/>
    <w:rsid w:val="2A5E151F"/>
    <w:rsid w:val="2B4D3342"/>
    <w:rsid w:val="2C3835D1"/>
    <w:rsid w:val="2C9002B8"/>
    <w:rsid w:val="2D712DB8"/>
    <w:rsid w:val="2DC2659D"/>
    <w:rsid w:val="2E7C293D"/>
    <w:rsid w:val="2EFD49EF"/>
    <w:rsid w:val="2F2C1457"/>
    <w:rsid w:val="2FD47B8E"/>
    <w:rsid w:val="3039067F"/>
    <w:rsid w:val="30395C43"/>
    <w:rsid w:val="312319EE"/>
    <w:rsid w:val="322F4323"/>
    <w:rsid w:val="3287538B"/>
    <w:rsid w:val="32C4792B"/>
    <w:rsid w:val="33667C0C"/>
    <w:rsid w:val="34E70363"/>
    <w:rsid w:val="35150A2C"/>
    <w:rsid w:val="36AA5AEC"/>
    <w:rsid w:val="3C850DB7"/>
    <w:rsid w:val="3DE55269"/>
    <w:rsid w:val="3E105FA6"/>
    <w:rsid w:val="3E6A2A38"/>
    <w:rsid w:val="3FE742EB"/>
    <w:rsid w:val="40363F4D"/>
    <w:rsid w:val="40975FB2"/>
    <w:rsid w:val="40B76E3C"/>
    <w:rsid w:val="42BA1F04"/>
    <w:rsid w:val="4337289D"/>
    <w:rsid w:val="45570E93"/>
    <w:rsid w:val="461A4BA6"/>
    <w:rsid w:val="461C55B1"/>
    <w:rsid w:val="476E5A44"/>
    <w:rsid w:val="4852301F"/>
    <w:rsid w:val="4AB12B4E"/>
    <w:rsid w:val="4AE66C9B"/>
    <w:rsid w:val="4C0911A5"/>
    <w:rsid w:val="4D4A49E0"/>
    <w:rsid w:val="4D5D0D6B"/>
    <w:rsid w:val="4D6820FD"/>
    <w:rsid w:val="4D8E2DC7"/>
    <w:rsid w:val="4EDE2A1F"/>
    <w:rsid w:val="4F3855EC"/>
    <w:rsid w:val="4F544685"/>
    <w:rsid w:val="508452F1"/>
    <w:rsid w:val="50B35645"/>
    <w:rsid w:val="52397F0C"/>
    <w:rsid w:val="52463E29"/>
    <w:rsid w:val="534704F3"/>
    <w:rsid w:val="53511372"/>
    <w:rsid w:val="548D0188"/>
    <w:rsid w:val="54FA484B"/>
    <w:rsid w:val="55630EE8"/>
    <w:rsid w:val="57B91294"/>
    <w:rsid w:val="58150BC0"/>
    <w:rsid w:val="584D2F1D"/>
    <w:rsid w:val="59CA59DA"/>
    <w:rsid w:val="5A3317D1"/>
    <w:rsid w:val="5A5A0B0C"/>
    <w:rsid w:val="5AF2343A"/>
    <w:rsid w:val="5B424797"/>
    <w:rsid w:val="5BC13A1C"/>
    <w:rsid w:val="5CA77F23"/>
    <w:rsid w:val="5DCF5ECB"/>
    <w:rsid w:val="5E702917"/>
    <w:rsid w:val="5EA20EBE"/>
    <w:rsid w:val="5F5F0972"/>
    <w:rsid w:val="5FFC0CC5"/>
    <w:rsid w:val="60C74A21"/>
    <w:rsid w:val="61F5736C"/>
    <w:rsid w:val="62AE40EB"/>
    <w:rsid w:val="64664551"/>
    <w:rsid w:val="647E7AED"/>
    <w:rsid w:val="66B9305E"/>
    <w:rsid w:val="66DE618F"/>
    <w:rsid w:val="67524011"/>
    <w:rsid w:val="68F05053"/>
    <w:rsid w:val="6A331379"/>
    <w:rsid w:val="6AEF34F2"/>
    <w:rsid w:val="6B7721B5"/>
    <w:rsid w:val="6C3E5DED"/>
    <w:rsid w:val="6C8B7ADD"/>
    <w:rsid w:val="6D4B0788"/>
    <w:rsid w:val="6DD16C99"/>
    <w:rsid w:val="6E4771A1"/>
    <w:rsid w:val="6EB20ABF"/>
    <w:rsid w:val="6EF463D2"/>
    <w:rsid w:val="6FB00821"/>
    <w:rsid w:val="6FD961A9"/>
    <w:rsid w:val="71741D5A"/>
    <w:rsid w:val="72963252"/>
    <w:rsid w:val="73766A44"/>
    <w:rsid w:val="77B70EF4"/>
    <w:rsid w:val="77FA32C7"/>
    <w:rsid w:val="780670E2"/>
    <w:rsid w:val="78396D56"/>
    <w:rsid w:val="78664126"/>
    <w:rsid w:val="78782D79"/>
    <w:rsid w:val="78A07BDA"/>
    <w:rsid w:val="79927E6B"/>
    <w:rsid w:val="79936024"/>
    <w:rsid w:val="7CFB1883"/>
    <w:rsid w:val="7DDF15C1"/>
    <w:rsid w:val="7E374B3D"/>
    <w:rsid w:val="7F1B4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style>
  <w:style w:type="paragraph" w:styleId="3">
    <w:name w:val="Balloon Text"/>
    <w:basedOn w:val="1"/>
    <w:link w:val="13"/>
    <w:semiHidden/>
    <w:unhideWhenUsed/>
    <w:qFormat/>
    <w:uiPriority w:val="99"/>
    <w:pPr>
      <w:spacing w:after="0"/>
    </w:pPr>
    <w:rPr>
      <w:sz w:val="18"/>
      <w:szCs w:val="18"/>
    </w:rPr>
  </w:style>
  <w:style w:type="paragraph" w:styleId="4">
    <w:name w:val="footer"/>
    <w:basedOn w:val="1"/>
    <w:link w:val="10"/>
    <w:unhideWhenUsed/>
    <w:qFormat/>
    <w:uiPriority w:val="99"/>
    <w:pPr>
      <w:tabs>
        <w:tab w:val="center" w:pos="4153"/>
        <w:tab w:val="right" w:pos="8306"/>
      </w:tabs>
    </w:pPr>
    <w:rPr>
      <w:sz w:val="18"/>
    </w:rPr>
  </w:style>
  <w:style w:type="paragraph" w:styleId="5">
    <w:name w:val="header"/>
    <w:basedOn w:val="1"/>
    <w:link w:val="12"/>
    <w:unhideWhenUsed/>
    <w:qFormat/>
    <w:uiPriority w:val="99"/>
    <w:pPr>
      <w:pBdr>
        <w:bottom w:val="single" w:color="auto" w:sz="6" w:space="1"/>
      </w:pBdr>
      <w:tabs>
        <w:tab w:val="center" w:pos="4153"/>
        <w:tab w:val="right" w:pos="8306"/>
      </w:tabs>
      <w:jc w:val="center"/>
    </w:pPr>
    <w:rPr>
      <w:sz w:val="18"/>
      <w:szCs w:val="18"/>
    </w:rPr>
  </w:style>
  <w:style w:type="paragraph" w:styleId="6">
    <w:name w:val="annotation subject"/>
    <w:basedOn w:val="2"/>
    <w:next w:val="2"/>
    <w:link w:val="15"/>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脚 字符"/>
    <w:basedOn w:val="8"/>
    <w:link w:val="4"/>
    <w:qFormat/>
    <w:uiPriority w:val="99"/>
    <w:rPr>
      <w:rFonts w:ascii="Tahoma" w:hAnsi="Tahoma" w:eastAsia="微软雅黑" w:cs="Times New Roman"/>
      <w:kern w:val="0"/>
      <w:sz w:val="18"/>
    </w:rPr>
  </w:style>
  <w:style w:type="paragraph" w:styleId="11">
    <w:name w:val="No Spacing"/>
    <w:qFormat/>
    <w:uiPriority w:val="1"/>
    <w:pPr>
      <w:adjustRightInd w:val="0"/>
      <w:snapToGrid w:val="0"/>
    </w:pPr>
    <w:rPr>
      <w:rFonts w:ascii="Tahoma" w:hAnsi="Tahoma" w:eastAsia="微软雅黑" w:cs="Times New Roman"/>
      <w:sz w:val="22"/>
      <w:szCs w:val="22"/>
      <w:lang w:val="en-US" w:eastAsia="zh-CN" w:bidi="ar-SA"/>
    </w:rPr>
  </w:style>
  <w:style w:type="character" w:customStyle="1" w:styleId="12">
    <w:name w:val="页眉 字符"/>
    <w:basedOn w:val="8"/>
    <w:link w:val="5"/>
    <w:qFormat/>
    <w:uiPriority w:val="99"/>
    <w:rPr>
      <w:rFonts w:ascii="Tahoma" w:hAnsi="Tahoma" w:eastAsia="微软雅黑" w:cs="Times New Roman"/>
      <w:kern w:val="0"/>
      <w:sz w:val="18"/>
      <w:szCs w:val="18"/>
    </w:rPr>
  </w:style>
  <w:style w:type="character" w:customStyle="1" w:styleId="13">
    <w:name w:val="批注框文本 字符"/>
    <w:basedOn w:val="8"/>
    <w:link w:val="3"/>
    <w:semiHidden/>
    <w:qFormat/>
    <w:uiPriority w:val="99"/>
    <w:rPr>
      <w:rFonts w:ascii="Tahoma" w:hAnsi="Tahoma" w:eastAsia="微软雅黑" w:cs="Times New Roman"/>
      <w:kern w:val="0"/>
      <w:sz w:val="18"/>
      <w:szCs w:val="18"/>
    </w:rPr>
  </w:style>
  <w:style w:type="character" w:customStyle="1" w:styleId="14">
    <w:name w:val="批注文字 字符"/>
    <w:basedOn w:val="8"/>
    <w:link w:val="2"/>
    <w:semiHidden/>
    <w:qFormat/>
    <w:uiPriority w:val="99"/>
    <w:rPr>
      <w:rFonts w:ascii="Tahoma" w:hAnsi="Tahoma"/>
      <w:sz w:val="22"/>
      <w:szCs w:val="22"/>
    </w:rPr>
  </w:style>
  <w:style w:type="character" w:customStyle="1" w:styleId="15">
    <w:name w:val="批注主题 字符"/>
    <w:basedOn w:val="14"/>
    <w:link w:val="6"/>
    <w:semiHidden/>
    <w:qFormat/>
    <w:uiPriority w:val="99"/>
    <w:rPr>
      <w:rFonts w:ascii="Tahoma" w:hAnsi="Tahoma"/>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240E06-DB00-465B-925F-5AD51AC01B05}">
  <ds:schemaRefs/>
</ds:datastoreItem>
</file>

<file path=docProps/app.xml><?xml version="1.0" encoding="utf-8"?>
<Properties xmlns="http://schemas.openxmlformats.org/officeDocument/2006/extended-properties" xmlns:vt="http://schemas.openxmlformats.org/officeDocument/2006/docPropsVTypes">
  <Template>Normal</Template>
  <Pages>7</Pages>
  <Words>2477</Words>
  <Characters>2838</Characters>
  <Lines>19</Lines>
  <Paragraphs>5</Paragraphs>
  <TotalTime>8</TotalTime>
  <ScaleCrop>false</ScaleCrop>
  <LinksUpToDate>false</LinksUpToDate>
  <CharactersWithSpaces>2840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2021-05-30T09:04:00Z</dcterms:created>
  <dc:creator>564410557@qq.com</dc:creator>
  <cp:lastModifiedBy>小确幸</cp:lastModifiedBy>
  <cp:lastPrinted>2021-06-17T02:46:00Z</cp:lastPrinted>
  <dcterms:modified xsi:type="dcterms:W3CDTF">2022-05-25T12:11:33Z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4C3E2C64DE61419A8C94ECD9904033E7</vt:lpwstr>
  </property>
  <property fmtid="{D5CDD505-2E9C-101B-9397-08002B2CF9AE}" pid="4" name="commondata">
    <vt:lpwstr>eyJoZGlkIjoiMDYyM2U4ODFlMTQ5NTY5NGJjODljZDM3NTc3NzE2OTMifQ==</vt:lpwstr>
  </property>
</Properties>
</file>