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附件1：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社会治安综合治理激励性</w:t>
      </w:r>
    </w:p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转移资金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center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综治办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 xml:space="preserve">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2021年4月21日</w:t>
      </w:r>
    </w:p>
    <w:tbl>
      <w:tblPr>
        <w:tblStyle w:val="4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社会治安综合治理激励性转移资金（专项资金）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综治办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综治办</w:t>
            </w:r>
            <w:r>
              <w:rPr>
                <w:rFonts w:hint="eastAsia" w:ascii="宋体" w:hAnsi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</w:rPr>
              <w:sym w:font="Wingdings 2" w:char="00A3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</w:rPr>
              <w:sym w:font="Wingdings 2" w:char="00A3"/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cs="仿宋_GB2312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hint="eastAsia" w:ascii="宋体" w:hAnsi="宋体" w:cs="仿宋_GB2312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hint="eastAsia" w:ascii="宋体" w:hAnsi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4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4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</w:rPr>
              <w:t>80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hint="eastAsia" w:ascii="宋体" w:hAnsi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hint="eastAsia" w:ascii="宋体" w:hAnsi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产出指标</w:t>
            </w:r>
          </w:p>
          <w:p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（40分）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数量指标（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铁路护路宣传海报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5分</w:t>
            </w:r>
            <w:r>
              <w:rPr>
                <w:rFonts w:hint="eastAsia" w:ascii="宋体" w:hAnsi="宋体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</w:rPr>
              <w:t>≥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6000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1500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防电信诈骗宣传品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5分</w:t>
            </w:r>
            <w:r>
              <w:rPr>
                <w:rFonts w:hint="eastAsia" w:ascii="宋体" w:hAnsi="宋体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</w:rPr>
              <w:t>≥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6000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12000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普法宣传教育活动开展场次（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</w:rPr>
              <w:t>≥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6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9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质量指标（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铁路沿线重大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安全事故（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5分</w:t>
            </w:r>
            <w:r>
              <w:rPr>
                <w:rFonts w:hint="eastAsia" w:ascii="宋体" w:hAnsi="宋体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无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无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电信诈骗刑事警情数与去年同比情况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5分</w:t>
            </w:r>
            <w:r>
              <w:rPr>
                <w:rFonts w:hint="eastAsia" w:ascii="宋体" w:hAnsi="宋体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有所降低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基本持平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时效指标（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铁路沿线安全隐患处置及时率（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社会效益指标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群众受普法教育人数（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15分</w:t>
            </w:r>
            <w:r>
              <w:rPr>
                <w:rFonts w:hint="eastAsia" w:ascii="宋体" w:hAnsi="宋体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</w:rPr>
              <w:t>≥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2000人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约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2200人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防电信诈骗宣传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覆盖率（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15分</w:t>
            </w:r>
            <w:r>
              <w:rPr>
                <w:rFonts w:hint="eastAsia" w:ascii="宋体" w:hAnsi="宋体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10</w:t>
            </w:r>
            <w:r>
              <w:rPr>
                <w:rFonts w:hint="eastAsia" w:ascii="宋体" w:hAnsi="宋体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服务对象满意度指标（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群众对平安宣传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的满意度（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满意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kern w:val="0"/>
                <w:lang w:eastAsia="zh-CN"/>
              </w:rPr>
              <w:t>满意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2020年因受疫情影响，网络电信诈骗案件发生率较往年有上升趋势，经大力宣传得到了有效控制，但因上半年案件存量较多，故本年度电信诈骗案件与去年同比基本持平。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6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进一步加强财政预算绩效目标考核管理，合理运用每年上级部门拨付的专项资金开展综治宣传，有力提升群众的安全感。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单位主要负责人</w:t>
            </w:r>
          </w:p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      月      日</w:t>
            </w: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</w:t>
            </w:r>
          </w:p>
        </w:tc>
      </w:tr>
    </w:tbl>
    <w:p>
      <w:pPr>
        <w:widowControl/>
        <w:rPr>
          <w:rFonts w:ascii="宋体" w:hAnsi="宋体"/>
          <w:kern w:val="0"/>
        </w:rPr>
      </w:pPr>
      <w:r>
        <w:rPr>
          <w:rFonts w:hint="eastAsia" w:ascii="宋体" w:hAnsi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1.</w:t>
      </w:r>
      <w:r>
        <w:rPr>
          <w:rFonts w:hint="eastAsia" w:ascii="宋体" w:hAnsi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2.</w:t>
      </w:r>
      <w:r>
        <w:rPr>
          <w:rFonts w:hint="eastAsia" w:ascii="宋体" w:hAnsi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cs="仿宋_GB2312"/>
          <w:kern w:val="0"/>
        </w:rPr>
        <w:t>X,</w:t>
      </w:r>
      <w:r>
        <w:rPr>
          <w:rFonts w:hint="eastAsia" w:ascii="宋体" w:hAnsi="宋体" w:cs="仿宋_GB2312"/>
          <w:kern w:val="0"/>
        </w:rPr>
        <w:t>得分</w:t>
      </w:r>
      <w:r>
        <w:rPr>
          <w:rFonts w:ascii="宋体" w:hAnsi="宋体" w:cs="仿宋_GB2312"/>
          <w:kern w:val="0"/>
        </w:rPr>
        <w:t>=</w:t>
      </w:r>
      <w:r>
        <w:rPr>
          <w:rFonts w:hint="eastAsia" w:ascii="宋体" w:hAnsi="宋体" w:cs="仿宋_GB2312"/>
          <w:kern w:val="0"/>
        </w:rPr>
        <w:t>权重</w:t>
      </w:r>
      <w:r>
        <w:rPr>
          <w:rFonts w:ascii="宋体" w:hAnsi="宋体" w:cs="仿宋_GB2312"/>
          <w:kern w:val="0"/>
        </w:rPr>
        <w:t>*B/A</w:t>
      </w:r>
      <w:r>
        <w:rPr>
          <w:rFonts w:hint="eastAsia" w:ascii="宋体" w:hAnsi="宋体" w:cs="仿宋_GB2312"/>
          <w:kern w:val="0"/>
        </w:rPr>
        <w:t>），反向指标（即目标值为≤</w:t>
      </w:r>
      <w:r>
        <w:rPr>
          <w:rFonts w:ascii="宋体" w:hAnsi="宋体" w:cs="仿宋_GB2312"/>
          <w:kern w:val="0"/>
        </w:rPr>
        <w:t>X</w:t>
      </w:r>
      <w:r>
        <w:rPr>
          <w:rFonts w:hint="eastAsia" w:ascii="宋体" w:hAnsi="宋体" w:cs="仿宋_GB2312"/>
          <w:kern w:val="0"/>
        </w:rPr>
        <w:t>，得分</w:t>
      </w:r>
      <w:r>
        <w:rPr>
          <w:rFonts w:ascii="宋体" w:hAnsi="宋体" w:cs="仿宋_GB2312"/>
          <w:kern w:val="0"/>
        </w:rPr>
        <w:t>=</w:t>
      </w:r>
      <w:r>
        <w:rPr>
          <w:rFonts w:hint="eastAsia" w:ascii="宋体" w:hAnsi="宋体" w:cs="仿宋_GB2312"/>
          <w:kern w:val="0"/>
        </w:rPr>
        <w:t>权重</w:t>
      </w:r>
      <w:r>
        <w:rPr>
          <w:rFonts w:ascii="宋体" w:hAnsi="宋体" w:cs="仿宋_GB2312"/>
          <w:kern w:val="0"/>
        </w:rPr>
        <w:t>*A/B）</w:t>
      </w:r>
      <w:r>
        <w:rPr>
          <w:rFonts w:hint="eastAsia" w:ascii="宋体" w:hAnsi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ascii="宋体" w:hAnsi="宋体" w:cs="仿宋_GB2312"/>
          <w:kern w:val="0"/>
        </w:rPr>
      </w:pPr>
      <w:r>
        <w:rPr>
          <w:rFonts w:ascii="宋体" w:hAnsi="宋体" w:cs="仿宋_GB2312"/>
          <w:kern w:val="0"/>
        </w:rPr>
        <w:t>3.</w:t>
      </w:r>
      <w:r>
        <w:rPr>
          <w:rFonts w:hint="eastAsia" w:ascii="宋体" w:hAnsi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cs="仿宋_GB2312"/>
          <w:kern w:val="0"/>
        </w:rPr>
        <w:t>100-80%</w:t>
      </w:r>
      <w:r>
        <w:rPr>
          <w:rFonts w:hint="eastAsia" w:ascii="宋体" w:hAnsi="宋体" w:cs="仿宋_GB2312"/>
          <w:kern w:val="0"/>
        </w:rPr>
        <w:t>（含</w:t>
      </w:r>
      <w:r>
        <w:rPr>
          <w:rFonts w:ascii="宋体" w:hAnsi="宋体" w:cs="仿宋_GB2312"/>
          <w:kern w:val="0"/>
        </w:rPr>
        <w:t>80%</w:t>
      </w:r>
      <w:r>
        <w:rPr>
          <w:rFonts w:hint="eastAsia" w:ascii="宋体" w:hAnsi="宋体" w:cs="仿宋_GB2312"/>
          <w:kern w:val="0"/>
        </w:rPr>
        <w:t>）、</w:t>
      </w:r>
      <w:r>
        <w:rPr>
          <w:rFonts w:ascii="宋体" w:hAnsi="宋体" w:cs="仿宋_GB2312"/>
          <w:kern w:val="0"/>
        </w:rPr>
        <w:t>80-50%</w:t>
      </w:r>
      <w:r>
        <w:rPr>
          <w:rFonts w:hint="eastAsia" w:ascii="宋体" w:hAnsi="宋体" w:cs="仿宋_GB2312"/>
          <w:kern w:val="0"/>
        </w:rPr>
        <w:t>（含</w:t>
      </w:r>
      <w:r>
        <w:rPr>
          <w:rFonts w:ascii="宋体" w:hAnsi="宋体" w:cs="仿宋_GB2312"/>
          <w:kern w:val="0"/>
        </w:rPr>
        <w:t>50%</w:t>
      </w:r>
      <w:r>
        <w:rPr>
          <w:rFonts w:hint="eastAsia" w:ascii="宋体" w:hAnsi="宋体" w:cs="仿宋_GB2312"/>
          <w:kern w:val="0"/>
        </w:rPr>
        <w:t>）、</w:t>
      </w:r>
      <w:r>
        <w:rPr>
          <w:rFonts w:ascii="宋体" w:hAnsi="宋体" w:cs="仿宋_GB2312"/>
          <w:kern w:val="0"/>
        </w:rPr>
        <w:t>50-0</w:t>
      </w:r>
      <w:r>
        <w:rPr>
          <w:rFonts w:hint="eastAsia" w:ascii="宋体" w:hAnsi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ascii="宋体" w:hAnsi="宋体" w:cs="仿宋_GB2312"/>
          <w:kern w:val="0"/>
        </w:rPr>
      </w:pPr>
      <w:r>
        <w:rPr>
          <w:rFonts w:hint="eastAsia" w:ascii="宋体" w:hAnsi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left"/>
        <w:rPr>
          <w:rFonts w:ascii="黑体" w:hAnsi="黑体" w:eastAsia="黑体" w:cs="宋体"/>
          <w:color w:val="000000"/>
          <w:kern w:val="0"/>
          <w:sz w:val="28"/>
          <w:szCs w:val="28"/>
        </w:rPr>
      </w:pPr>
    </w:p>
    <w:p>
      <w:pPr>
        <w:widowControl/>
        <w:spacing w:line="432" w:lineRule="atLeast"/>
        <w:jc w:val="left"/>
        <w:rPr>
          <w:rFonts w:ascii="方正小标宋简体" w:hAnsi="方正小标宋简体" w:eastAsia="方正小标宋简体" w:cs="方正小标宋简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附件3：</w:t>
      </w:r>
    </w:p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××年度××项目自评结果（格式）</w:t>
      </w:r>
    </w:p>
    <w:p>
      <w:pPr>
        <w:widowControl/>
        <w:spacing w:line="432" w:lineRule="atLeast"/>
        <w:jc w:val="center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（缩略版）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　</w:t>
      </w:r>
      <w:r>
        <w:rPr>
          <w:rFonts w:hint="eastAsia" w:ascii="黑体" w:hAnsi="黑体" w:eastAsia="黑体" w:cs="宋体"/>
          <w:color w:val="000000"/>
          <w:kern w:val="0"/>
          <w:sz w:val="24"/>
          <w:szCs w:val="24"/>
        </w:rPr>
        <w:t>　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一、自评结论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（一）自评得分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（二）绩效目标完成情况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1.执行率情况。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2.完成的绩效目标。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3.未完成的绩效目标。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（三）存在的问题和原因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包括核实和评述上年度结果应用情况，列举本年度绩效问题和原因。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（四）下一步拟改进措施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1.下一步拟改进措施，包括项目整改和绩效目标调整完善等相关内容。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2.拟与预算安排相结合情况。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附件：××年度××项目自评表（附后，格式参见附1）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　　二、佐证材料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（一）基本情况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1.简要概述项目立项目的和年度绩效目标。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2.简要概述项目资金情况（包括资金结构、投向、用途、分配方式、结果等相关情况，常年性项目说明年度情况，延续性项目说明周期情况）。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（二）部门自评工作开展情况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简要概述部门自评组织实施过程等相关情况。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（三）绩效目标完成情况分析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1.预算执行情况分析（包括完成情况和偏离原因等）。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2.绩效目标完成情况分析（包括完成情况和偏离原因等）。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（1）产出指标完成情况分析。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（2）效益指标完成情况分析。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（3）满意度指标完成情况分析。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（四）上年度部门自评结果应用情况</w:t>
      </w: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（五）其他佐证材料</w:t>
      </w: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注：缩略版建议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6000字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以内。</w:t>
      </w: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</w:p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××年度××项目自评结果（格式）</w:t>
      </w:r>
    </w:p>
    <w:p>
      <w:pPr>
        <w:widowControl/>
        <w:spacing w:line="432" w:lineRule="atLeast"/>
        <w:jc w:val="center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（摘要版）</w:t>
      </w:r>
    </w:p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>
      <w:pPr>
        <w:widowControl/>
        <w:spacing w:after="240"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　　摘要版只保留缩略版的第一部分，精简到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1500字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左右。</w:t>
      </w:r>
    </w:p>
    <w:p>
      <w:pPr>
        <w:widowControl/>
        <w:spacing w:after="240"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>
      <w:r>
        <w:rPr>
          <w:rFonts w:ascii="黑体" w:hAnsi="黑体" w:eastAsia="黑体" w:cs="宋体"/>
          <w:color w:val="000000"/>
          <w:kern w:val="0"/>
          <w:sz w:val="24"/>
          <w:szCs w:val="24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C9B"/>
    <w:rsid w:val="00590587"/>
    <w:rsid w:val="005C2E1B"/>
    <w:rsid w:val="00773083"/>
    <w:rsid w:val="00A84C9B"/>
    <w:rsid w:val="00D9072C"/>
    <w:rsid w:val="17542A15"/>
    <w:rsid w:val="5F454303"/>
    <w:rsid w:val="63C71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6</Pages>
  <Words>230</Words>
  <Characters>1311</Characters>
  <Lines>10</Lines>
  <Paragraphs>3</Paragraphs>
  <TotalTime>7</TotalTime>
  <ScaleCrop>false</ScaleCrop>
  <LinksUpToDate>false</LinksUpToDate>
  <CharactersWithSpaces>1538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2021-04-12T01:04:00Z</dcterms:created>
  <dc:creator>USER-</dc:creator>
  <cp:lastModifiedBy>Administrator</cp:lastModifiedBy>
  <cp:lastPrinted>2021-04-12T07:52:00Z</cp:lastPrinted>
  <dcterms:modified xsi:type="dcterms:W3CDTF">2021-04-22T00:47:31Z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7DFDEEF3034F4BC091A55FC0EFEEB297</vt:lpwstr>
  </property>
</Properties>
</file>