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ind w:left="3205" w:leftChars="608" w:hanging="1928" w:hangingChars="600"/>
        <w:jc w:val="both"/>
        <w:rPr>
          <w:rFonts w:hint="eastAsia" w:ascii="宋体" w:hAnsi="宋体" w:eastAsia="宋体" w:cs="宋体"/>
          <w:b/>
          <w:color w:val="000000"/>
          <w:kern w:val="0"/>
          <w:sz w:val="32"/>
          <w:szCs w:val="32"/>
          <w:lang w:val="en-US" w:eastAsia="zh-CN"/>
        </w:rPr>
      </w:pPr>
      <w:bookmarkStart w:id="0" w:name="RANGE!A1:H57"/>
      <w:r>
        <w:rPr>
          <w:rFonts w:hint="eastAsia" w:ascii="宋体" w:hAnsi="宋体" w:eastAsia="宋体" w:cs="宋体"/>
          <w:b/>
          <w:color w:val="000000"/>
          <w:kern w:val="0"/>
          <w:sz w:val="32"/>
          <w:szCs w:val="32"/>
        </w:rPr>
        <w:t>2020年度</w:t>
      </w:r>
      <w:r>
        <w:rPr>
          <w:rFonts w:hint="eastAsia" w:ascii="宋体" w:hAnsi="宋体" w:eastAsia="宋体" w:cs="宋体"/>
          <w:b/>
          <w:color w:val="000000"/>
          <w:kern w:val="0"/>
          <w:sz w:val="32"/>
          <w:szCs w:val="32"/>
          <w:lang w:val="en-US" w:eastAsia="zh-CN"/>
        </w:rPr>
        <w:t>武汉市东西湖区柏泉街道办事处</w:t>
      </w:r>
    </w:p>
    <w:p>
      <w:pPr>
        <w:widowControl/>
        <w:ind w:left="3192" w:leftChars="1520" w:firstLine="0" w:firstLineChars="0"/>
        <w:jc w:val="both"/>
        <w:rPr>
          <w:rFonts w:hint="eastAsia" w:ascii="宋体" w:hAnsi="宋体" w:eastAsia="宋体" w:cs="宋体"/>
          <w:b/>
          <w:color w:val="000000"/>
          <w:kern w:val="0"/>
          <w:sz w:val="32"/>
          <w:szCs w:val="32"/>
        </w:rPr>
      </w:pPr>
      <w:r>
        <w:rPr>
          <w:rFonts w:hint="eastAsia" w:ascii="宋体" w:hAnsi="宋体" w:eastAsia="宋体" w:cs="宋体"/>
          <w:b/>
          <w:color w:val="000000"/>
          <w:kern w:val="0"/>
          <w:sz w:val="32"/>
          <w:szCs w:val="32"/>
        </w:rPr>
        <w:t>整体绩效自评表</w:t>
      </w:r>
    </w:p>
    <w:p>
      <w:pPr>
        <w:widowControl/>
        <w:jc w:val="both"/>
        <w:rPr>
          <w:rFonts w:hint="eastAsia"/>
        </w:rPr>
      </w:pPr>
      <w:r>
        <w:rPr>
          <w:rFonts w:hint="eastAsia" w:ascii="楷体" w:hAnsi="楷体" w:eastAsia="楷体" w:cs="宋体"/>
          <w:kern w:val="0"/>
          <w:sz w:val="22"/>
          <w:szCs w:val="22"/>
        </w:rPr>
        <w:t>单位名称：</w:t>
      </w:r>
      <w:r>
        <w:rPr>
          <w:rFonts w:hint="eastAsia" w:ascii="楷体" w:hAnsi="楷体" w:eastAsia="楷体" w:cs="宋体"/>
          <w:kern w:val="0"/>
          <w:sz w:val="22"/>
          <w:szCs w:val="22"/>
          <w:lang w:val="en-US" w:eastAsia="zh-CN"/>
        </w:rPr>
        <w:t>武汉市东西湖区东西湖区柏泉街道办事处</w:t>
      </w:r>
      <w:r>
        <w:rPr>
          <w:rFonts w:hint="eastAsia" w:ascii="楷体" w:hAnsi="楷体" w:eastAsia="楷体" w:cs="宋体"/>
          <w:kern w:val="0"/>
          <w:sz w:val="22"/>
          <w:szCs w:val="22"/>
        </w:rPr>
        <w:t xml:space="preserve">  </w:t>
      </w:r>
      <w:r>
        <w:rPr>
          <w:rFonts w:hint="eastAsia" w:ascii="楷体" w:hAnsi="楷体" w:eastAsia="楷体" w:cs="宋体"/>
          <w:kern w:val="0"/>
          <w:sz w:val="22"/>
          <w:szCs w:val="22"/>
          <w:lang w:val="en-US" w:eastAsia="zh-CN"/>
        </w:rPr>
        <w:t xml:space="preserve"> </w:t>
      </w:r>
      <w:r>
        <w:rPr>
          <w:rFonts w:hint="eastAsia" w:ascii="楷体" w:hAnsi="楷体" w:eastAsia="楷体" w:cs="宋体"/>
          <w:kern w:val="0"/>
          <w:sz w:val="22"/>
          <w:szCs w:val="22"/>
        </w:rPr>
        <w:t>填报日期：2021年</w:t>
      </w:r>
      <w:r>
        <w:rPr>
          <w:rFonts w:hint="eastAsia" w:ascii="楷体" w:hAnsi="楷体" w:eastAsia="楷体" w:cs="宋体"/>
          <w:kern w:val="0"/>
          <w:sz w:val="22"/>
          <w:szCs w:val="22"/>
          <w:lang w:val="en-US" w:eastAsia="zh-CN"/>
        </w:rPr>
        <w:t>6</w:t>
      </w:r>
      <w:r>
        <w:rPr>
          <w:rFonts w:hint="eastAsia" w:ascii="楷体" w:hAnsi="楷体" w:eastAsia="楷体" w:cs="宋体"/>
          <w:kern w:val="0"/>
          <w:sz w:val="22"/>
          <w:szCs w:val="22"/>
        </w:rPr>
        <w:t>月</w:t>
      </w:r>
      <w:r>
        <w:rPr>
          <w:rFonts w:hint="eastAsia" w:ascii="楷体" w:hAnsi="楷体" w:eastAsia="楷体" w:cs="宋体"/>
          <w:kern w:val="0"/>
          <w:sz w:val="22"/>
          <w:szCs w:val="22"/>
          <w:lang w:val="en-US" w:eastAsia="zh-CN"/>
        </w:rPr>
        <w:t>2</w:t>
      </w:r>
      <w:r>
        <w:rPr>
          <w:rFonts w:hint="eastAsia" w:ascii="楷体" w:hAnsi="楷体" w:eastAsia="楷体" w:cs="宋体"/>
          <w:kern w:val="0"/>
          <w:sz w:val="22"/>
          <w:szCs w:val="22"/>
        </w:rPr>
        <w:t xml:space="preserve">日 </w:t>
      </w:r>
      <w:r>
        <w:rPr>
          <w:rFonts w:hint="eastAsia" w:ascii="楷体" w:hAnsi="楷体" w:eastAsia="楷体" w:cs="宋体"/>
          <w:kern w:val="0"/>
          <w:sz w:val="24"/>
          <w:szCs w:val="24"/>
        </w:rPr>
        <w:t xml:space="preserve">   </w:t>
      </w:r>
    </w:p>
    <w:bookmarkEnd w:id="0"/>
    <w:tbl>
      <w:tblPr>
        <w:tblStyle w:val="5"/>
        <w:tblW w:w="5034" w:type="pct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0"/>
        <w:gridCol w:w="780"/>
        <w:gridCol w:w="1229"/>
        <w:gridCol w:w="1131"/>
        <w:gridCol w:w="1670"/>
        <w:gridCol w:w="21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9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单位名称</w:t>
            </w:r>
          </w:p>
        </w:tc>
        <w:tc>
          <w:tcPr>
            <w:tcW w:w="4061" w:type="pct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楷体" w:hAnsi="楷体" w:eastAsia="楷体" w:cs="宋体"/>
                <w:kern w:val="0"/>
                <w:sz w:val="24"/>
                <w:szCs w:val="24"/>
                <w:lang w:val="en-US" w:eastAsia="zh-CN"/>
              </w:rPr>
              <w:t>武汉市东西湖区东西湖区柏泉街道办事处</w:t>
            </w:r>
            <w:r>
              <w:rPr>
                <w:rFonts w:hint="eastAsia" w:ascii="楷体" w:hAnsi="楷体" w:eastAsia="楷体" w:cs="宋体"/>
                <w:kern w:val="0"/>
                <w:sz w:val="24"/>
                <w:szCs w:val="24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9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基本支出总额（万元）</w:t>
            </w:r>
          </w:p>
        </w:tc>
        <w:tc>
          <w:tcPr>
            <w:tcW w:w="1170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5751.07</w:t>
            </w:r>
          </w:p>
        </w:tc>
        <w:tc>
          <w:tcPr>
            <w:tcW w:w="1632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项目支出总额</w:t>
            </w:r>
          </w:p>
        </w:tc>
        <w:tc>
          <w:tcPr>
            <w:tcW w:w="1258" w:type="pct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val="en-US" w:eastAsia="zh-CN"/>
              </w:rPr>
              <w:t>40295.94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938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预算执行情况</w:t>
            </w: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（万元）</w:t>
            </w: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（20分）</w:t>
            </w:r>
          </w:p>
        </w:tc>
        <w:tc>
          <w:tcPr>
            <w:tcW w:w="454" w:type="pct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部门整体支出总额</w:t>
            </w:r>
          </w:p>
        </w:tc>
        <w:tc>
          <w:tcPr>
            <w:tcW w:w="71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预算</w:t>
            </w: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val="en-US" w:eastAsia="zh-CN"/>
              </w:rPr>
              <w:t>数</w:t>
            </w: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（A）</w:t>
            </w:r>
          </w:p>
        </w:tc>
        <w:tc>
          <w:tcPr>
            <w:tcW w:w="65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执行数</w:t>
            </w: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（B）</w:t>
            </w:r>
          </w:p>
        </w:tc>
        <w:tc>
          <w:tcPr>
            <w:tcW w:w="9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执行率（B/A）</w:t>
            </w:r>
          </w:p>
        </w:tc>
        <w:tc>
          <w:tcPr>
            <w:tcW w:w="125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得分</w:t>
            </w: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（20分*执行率）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  <w:jc w:val="center"/>
        </w:trPr>
        <w:tc>
          <w:tcPr>
            <w:tcW w:w="93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454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71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val="en-US" w:eastAsia="zh-CN"/>
              </w:rPr>
              <w:t>49331.27</w:t>
            </w:r>
          </w:p>
        </w:tc>
        <w:tc>
          <w:tcPr>
            <w:tcW w:w="65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val="en-US" w:eastAsia="zh-CN"/>
              </w:rPr>
              <w:t>46047.01</w:t>
            </w:r>
          </w:p>
        </w:tc>
        <w:tc>
          <w:tcPr>
            <w:tcW w:w="9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val="en-US" w:eastAsia="zh-CN"/>
              </w:rPr>
              <w:t>93.34%</w:t>
            </w:r>
          </w:p>
        </w:tc>
        <w:tc>
          <w:tcPr>
            <w:tcW w:w="1258" w:type="pct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val="en-US" w:eastAsia="zh-CN"/>
              </w:rPr>
              <w:t>18.67分</w:t>
            </w:r>
          </w:p>
        </w:tc>
      </w:tr>
    </w:tbl>
    <w:p/>
    <w:tbl>
      <w:tblPr>
        <w:tblStyle w:val="5"/>
        <w:tblW w:w="5042" w:type="pct"/>
        <w:jc w:val="center"/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9"/>
        <w:gridCol w:w="487"/>
        <w:gridCol w:w="334"/>
        <w:gridCol w:w="742"/>
        <w:gridCol w:w="1599"/>
        <w:gridCol w:w="1656"/>
        <w:gridCol w:w="1291"/>
        <w:gridCol w:w="1366"/>
      </w:tblGrid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  <w:jc w:val="center"/>
        </w:trPr>
        <w:tc>
          <w:tcPr>
            <w:tcW w:w="93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年度目标1：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(20分)</w:t>
            </w:r>
          </w:p>
        </w:tc>
        <w:tc>
          <w:tcPr>
            <w:tcW w:w="4065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0"/>
                <w:lang w:val="en-US" w:eastAsia="zh-CN"/>
              </w:rPr>
              <w:t>加强党的建设，提升廉洁高效政府形象。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  <w:jc w:val="center"/>
        </w:trPr>
        <w:tc>
          <w:tcPr>
            <w:tcW w:w="6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目标</w:t>
            </w:r>
          </w:p>
        </w:tc>
        <w:tc>
          <w:tcPr>
            <w:tcW w:w="477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val="en-US" w:eastAsia="zh-CN"/>
              </w:rPr>
              <w:t>一级指标</w:t>
            </w:r>
          </w:p>
        </w:tc>
        <w:tc>
          <w:tcPr>
            <w:tcW w:w="4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val="en-US" w:eastAsia="zh-CN"/>
              </w:rPr>
              <w:t>二级指标</w:t>
            </w:r>
          </w:p>
        </w:tc>
        <w:tc>
          <w:tcPr>
            <w:tcW w:w="9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val="en-US" w:eastAsia="zh-CN"/>
              </w:rPr>
              <w:t>指标内容</w:t>
            </w:r>
          </w:p>
        </w:tc>
        <w:tc>
          <w:tcPr>
            <w:tcW w:w="9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val="en-US" w:eastAsia="zh-CN"/>
              </w:rPr>
              <w:t>年初指标值</w:t>
            </w:r>
          </w:p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（A）</w:t>
            </w:r>
          </w:p>
        </w:tc>
        <w:tc>
          <w:tcPr>
            <w:tcW w:w="7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实际完成值（B）</w:t>
            </w:r>
          </w:p>
        </w:tc>
        <w:tc>
          <w:tcPr>
            <w:tcW w:w="794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4" w:hRule="atLeast"/>
          <w:jc w:val="center"/>
        </w:trPr>
        <w:tc>
          <w:tcPr>
            <w:tcW w:w="651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年度绩效指标</w:t>
            </w:r>
          </w:p>
        </w:tc>
        <w:tc>
          <w:tcPr>
            <w:tcW w:w="477" w:type="pct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val="en-US" w:eastAsia="zh-CN"/>
              </w:rPr>
              <w:t>产出指标（10分）</w:t>
            </w:r>
          </w:p>
        </w:tc>
        <w:tc>
          <w:tcPr>
            <w:tcW w:w="4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val="en-US" w:eastAsia="zh-CN"/>
              </w:rPr>
              <w:t>数量指标</w:t>
            </w:r>
          </w:p>
        </w:tc>
        <w:tc>
          <w:tcPr>
            <w:tcW w:w="9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val="en-US" w:eastAsia="zh-CN"/>
              </w:rPr>
              <w:t>各类培训学习（工委中心组、党员专项培训等）参训率</w:t>
            </w:r>
          </w:p>
        </w:tc>
        <w:tc>
          <w:tcPr>
            <w:tcW w:w="9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100%</w:t>
            </w:r>
          </w:p>
        </w:tc>
        <w:tc>
          <w:tcPr>
            <w:tcW w:w="7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val="en-US" w:eastAsia="zh-CN"/>
              </w:rPr>
              <w:t>100%</w:t>
            </w:r>
          </w:p>
        </w:tc>
        <w:tc>
          <w:tcPr>
            <w:tcW w:w="794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" w:hAnsi="仿宋" w:eastAsia="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val="en-US" w:eastAsia="zh-CN"/>
              </w:rPr>
              <w:t>2.5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4" w:hRule="atLeast"/>
          <w:jc w:val="center"/>
        </w:trPr>
        <w:tc>
          <w:tcPr>
            <w:tcW w:w="651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77" w:type="pct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  <w:lang w:val="en-US" w:eastAsia="zh-CN"/>
              </w:rPr>
            </w:pPr>
          </w:p>
        </w:tc>
        <w:tc>
          <w:tcPr>
            <w:tcW w:w="4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tabs>
                <w:tab w:val="left" w:pos="202"/>
              </w:tabs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val="en-US" w:eastAsia="zh-CN"/>
              </w:rPr>
              <w:t>数量指标</w:t>
            </w:r>
          </w:p>
        </w:tc>
        <w:tc>
          <w:tcPr>
            <w:tcW w:w="9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val="en-US" w:eastAsia="zh-CN"/>
              </w:rPr>
              <w:t>组织主题党建活动次数</w:t>
            </w:r>
          </w:p>
        </w:tc>
        <w:tc>
          <w:tcPr>
            <w:tcW w:w="9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12次 </w:t>
            </w:r>
          </w:p>
        </w:tc>
        <w:tc>
          <w:tcPr>
            <w:tcW w:w="7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val="en-US" w:eastAsia="zh-CN"/>
              </w:rPr>
              <w:t>12</w:t>
            </w:r>
          </w:p>
        </w:tc>
        <w:tc>
          <w:tcPr>
            <w:tcW w:w="794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val="en-US" w:eastAsia="zh-CN"/>
              </w:rPr>
              <w:t>2.5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4" w:hRule="atLeast"/>
          <w:jc w:val="center"/>
        </w:trPr>
        <w:tc>
          <w:tcPr>
            <w:tcW w:w="651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77" w:type="pct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  <w:lang w:val="en-US" w:eastAsia="zh-CN"/>
              </w:rPr>
            </w:pPr>
          </w:p>
        </w:tc>
        <w:tc>
          <w:tcPr>
            <w:tcW w:w="4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val="en-US" w:eastAsia="zh-CN"/>
              </w:rPr>
              <w:t>质量指标</w:t>
            </w:r>
          </w:p>
        </w:tc>
        <w:tc>
          <w:tcPr>
            <w:tcW w:w="9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val="en-US" w:eastAsia="zh-CN"/>
              </w:rPr>
              <w:t>深化“红色引擎工程”</w:t>
            </w:r>
          </w:p>
        </w:tc>
        <w:tc>
          <w:tcPr>
            <w:tcW w:w="9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符合要求</w:t>
            </w:r>
          </w:p>
        </w:tc>
        <w:tc>
          <w:tcPr>
            <w:tcW w:w="7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val="en-US" w:eastAsia="zh-CN"/>
              </w:rPr>
              <w:t>完成</w:t>
            </w:r>
          </w:p>
        </w:tc>
        <w:tc>
          <w:tcPr>
            <w:tcW w:w="794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val="en-US" w:eastAsia="zh-CN"/>
              </w:rPr>
              <w:t>2.5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4" w:hRule="atLeast"/>
          <w:jc w:val="center"/>
        </w:trPr>
        <w:tc>
          <w:tcPr>
            <w:tcW w:w="651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77" w:type="pct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  <w:lang w:val="en-US" w:eastAsia="zh-CN"/>
              </w:rPr>
            </w:pPr>
          </w:p>
        </w:tc>
        <w:tc>
          <w:tcPr>
            <w:tcW w:w="4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val="en-US" w:eastAsia="zh-CN"/>
              </w:rPr>
              <w:t>时效指标</w:t>
            </w:r>
          </w:p>
        </w:tc>
        <w:tc>
          <w:tcPr>
            <w:tcW w:w="9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val="en-US" w:eastAsia="zh-CN"/>
              </w:rPr>
              <w:t>软弱涣散村（社区）整顿及时性</w:t>
            </w:r>
          </w:p>
        </w:tc>
        <w:tc>
          <w:tcPr>
            <w:tcW w:w="9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100%</w:t>
            </w:r>
          </w:p>
        </w:tc>
        <w:tc>
          <w:tcPr>
            <w:tcW w:w="7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100%</w:t>
            </w:r>
          </w:p>
        </w:tc>
        <w:tc>
          <w:tcPr>
            <w:tcW w:w="794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val="en-US" w:eastAsia="zh-CN"/>
              </w:rPr>
              <w:t>2.5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4" w:hRule="atLeast"/>
          <w:jc w:val="center"/>
        </w:trPr>
        <w:tc>
          <w:tcPr>
            <w:tcW w:w="651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77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val="en-US" w:eastAsia="zh-CN"/>
              </w:rPr>
              <w:t>效益指标</w:t>
            </w:r>
          </w:p>
        </w:tc>
        <w:tc>
          <w:tcPr>
            <w:tcW w:w="4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val="en-US" w:eastAsia="zh-CN"/>
              </w:rPr>
              <w:t>社会效益指标</w:t>
            </w:r>
          </w:p>
        </w:tc>
        <w:tc>
          <w:tcPr>
            <w:tcW w:w="9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val="en-US" w:eastAsia="zh-CN"/>
              </w:rPr>
              <w:t>党风廉政建设意识加强、廉洁办公为民服务意识增加强、加强监督执纪问责能力加强</w:t>
            </w:r>
          </w:p>
        </w:tc>
        <w:tc>
          <w:tcPr>
            <w:tcW w:w="9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得到加强</w:t>
            </w:r>
          </w:p>
        </w:tc>
        <w:tc>
          <w:tcPr>
            <w:tcW w:w="7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eastAsia="zh-CN"/>
              </w:rPr>
              <w:t>完成</w:t>
            </w:r>
          </w:p>
        </w:tc>
        <w:tc>
          <w:tcPr>
            <w:tcW w:w="794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val="en-US" w:eastAsia="zh-CN"/>
              </w:rPr>
              <w:t>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4" w:hRule="atLeast"/>
          <w:jc w:val="center"/>
        </w:trPr>
        <w:tc>
          <w:tcPr>
            <w:tcW w:w="651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77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val="en-US" w:eastAsia="zh-CN"/>
              </w:rPr>
              <w:t>满意度</w:t>
            </w:r>
          </w:p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val="en-US" w:eastAsia="zh-CN"/>
              </w:rPr>
              <w:t>指标</w:t>
            </w:r>
          </w:p>
        </w:tc>
        <w:tc>
          <w:tcPr>
            <w:tcW w:w="4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val="en-US" w:eastAsia="zh-CN"/>
              </w:rPr>
              <w:t>满意度指标</w:t>
            </w:r>
          </w:p>
        </w:tc>
        <w:tc>
          <w:tcPr>
            <w:tcW w:w="9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val="en-US" w:eastAsia="zh-CN"/>
              </w:rPr>
              <w:t>群众满意度</w:t>
            </w:r>
          </w:p>
        </w:tc>
        <w:tc>
          <w:tcPr>
            <w:tcW w:w="9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90%</w:t>
            </w:r>
          </w:p>
        </w:tc>
        <w:tc>
          <w:tcPr>
            <w:tcW w:w="7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90%</w:t>
            </w:r>
          </w:p>
        </w:tc>
        <w:tc>
          <w:tcPr>
            <w:tcW w:w="794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val="en-US" w:eastAsia="zh-CN"/>
              </w:rPr>
              <w:t>5</w:t>
            </w:r>
          </w:p>
        </w:tc>
      </w:tr>
    </w:tbl>
    <w:p/>
    <w:tbl>
      <w:tblPr>
        <w:tblStyle w:val="5"/>
        <w:tblW w:w="5042" w:type="pct"/>
        <w:jc w:val="center"/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9"/>
        <w:gridCol w:w="487"/>
        <w:gridCol w:w="334"/>
        <w:gridCol w:w="742"/>
        <w:gridCol w:w="1599"/>
        <w:gridCol w:w="1720"/>
        <w:gridCol w:w="1227"/>
        <w:gridCol w:w="1366"/>
      </w:tblGrid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  <w:jc w:val="center"/>
        </w:trPr>
        <w:tc>
          <w:tcPr>
            <w:tcW w:w="93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年度目标2：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(20分)</w:t>
            </w:r>
          </w:p>
        </w:tc>
        <w:tc>
          <w:tcPr>
            <w:tcW w:w="4065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0"/>
                <w:lang w:val="en-US" w:eastAsia="zh-CN"/>
              </w:rPr>
              <w:t>做好民生和社会保障工作，推进社会稳定提升民生福祉。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  <w:jc w:val="center"/>
        </w:trPr>
        <w:tc>
          <w:tcPr>
            <w:tcW w:w="651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年度绩效指标</w:t>
            </w:r>
          </w:p>
        </w:tc>
        <w:tc>
          <w:tcPr>
            <w:tcW w:w="47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val="en-US" w:eastAsia="zh-CN"/>
              </w:rPr>
              <w:t>一级指标</w:t>
            </w:r>
          </w:p>
        </w:tc>
        <w:tc>
          <w:tcPr>
            <w:tcW w:w="4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val="en-US" w:eastAsia="zh-CN"/>
              </w:rPr>
              <w:t>二级指标</w:t>
            </w:r>
          </w:p>
        </w:tc>
        <w:tc>
          <w:tcPr>
            <w:tcW w:w="9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val="en-US" w:eastAsia="zh-CN"/>
              </w:rPr>
              <w:t>指标内容</w:t>
            </w:r>
          </w:p>
        </w:tc>
        <w:tc>
          <w:tcPr>
            <w:tcW w:w="10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val="en-US" w:eastAsia="zh-CN"/>
              </w:rPr>
              <w:t>年初指标值</w:t>
            </w:r>
          </w:p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（A）</w:t>
            </w:r>
          </w:p>
        </w:tc>
        <w:tc>
          <w:tcPr>
            <w:tcW w:w="7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实际完成值（B）</w:t>
            </w:r>
          </w:p>
        </w:tc>
        <w:tc>
          <w:tcPr>
            <w:tcW w:w="7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  <w:jc w:val="center"/>
        </w:trPr>
        <w:tc>
          <w:tcPr>
            <w:tcW w:w="651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77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产出指标（10分）</w:t>
            </w:r>
          </w:p>
        </w:tc>
        <w:tc>
          <w:tcPr>
            <w:tcW w:w="4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 指标</w:t>
            </w:r>
          </w:p>
        </w:tc>
        <w:tc>
          <w:tcPr>
            <w:tcW w:w="9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城乡居民社会保险覆盖率2</w:t>
            </w:r>
          </w:p>
        </w:tc>
        <w:tc>
          <w:tcPr>
            <w:tcW w:w="10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100%</w:t>
            </w:r>
          </w:p>
        </w:tc>
        <w:tc>
          <w:tcPr>
            <w:tcW w:w="7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1430人</w:t>
            </w:r>
          </w:p>
        </w:tc>
        <w:tc>
          <w:tcPr>
            <w:tcW w:w="7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  <w:jc w:val="center"/>
        </w:trPr>
        <w:tc>
          <w:tcPr>
            <w:tcW w:w="651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77" w:type="pct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 指标</w:t>
            </w:r>
          </w:p>
        </w:tc>
        <w:tc>
          <w:tcPr>
            <w:tcW w:w="9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群众性文艺活动场次1</w:t>
            </w:r>
          </w:p>
        </w:tc>
        <w:tc>
          <w:tcPr>
            <w:tcW w:w="10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30场</w:t>
            </w:r>
          </w:p>
        </w:tc>
        <w:tc>
          <w:tcPr>
            <w:tcW w:w="7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12场</w:t>
            </w:r>
          </w:p>
        </w:tc>
        <w:tc>
          <w:tcPr>
            <w:tcW w:w="7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4" w:hRule="atLeast"/>
          <w:jc w:val="center"/>
        </w:trPr>
        <w:tc>
          <w:tcPr>
            <w:tcW w:w="651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77" w:type="pct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9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农村灯路厕改造建设任务完成率1</w:t>
            </w:r>
          </w:p>
        </w:tc>
        <w:tc>
          <w:tcPr>
            <w:tcW w:w="1000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100%</w:t>
            </w:r>
          </w:p>
        </w:tc>
        <w:tc>
          <w:tcPr>
            <w:tcW w:w="7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7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bookmarkStart w:id="1" w:name="_GoBack"/>
            <w:bookmarkEnd w:id="1"/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4" w:hRule="atLeast"/>
          <w:jc w:val="center"/>
        </w:trPr>
        <w:tc>
          <w:tcPr>
            <w:tcW w:w="651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77" w:type="pct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9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发放平安创建宣传资料2</w:t>
            </w:r>
          </w:p>
        </w:tc>
        <w:tc>
          <w:tcPr>
            <w:tcW w:w="1000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2万份</w:t>
            </w:r>
          </w:p>
        </w:tc>
        <w:tc>
          <w:tcPr>
            <w:tcW w:w="7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2万份</w:t>
            </w:r>
          </w:p>
        </w:tc>
        <w:tc>
          <w:tcPr>
            <w:tcW w:w="7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4" w:hRule="atLeast"/>
          <w:jc w:val="center"/>
        </w:trPr>
        <w:tc>
          <w:tcPr>
            <w:tcW w:w="651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77" w:type="pct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9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城乡低保保障待遇发放率2</w:t>
            </w:r>
          </w:p>
        </w:tc>
        <w:tc>
          <w:tcPr>
            <w:tcW w:w="1000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100%</w:t>
            </w:r>
          </w:p>
        </w:tc>
        <w:tc>
          <w:tcPr>
            <w:tcW w:w="7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完成</w:t>
            </w:r>
          </w:p>
        </w:tc>
        <w:tc>
          <w:tcPr>
            <w:tcW w:w="7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4" w:hRule="atLeast"/>
          <w:jc w:val="center"/>
        </w:trPr>
        <w:tc>
          <w:tcPr>
            <w:tcW w:w="651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77" w:type="pct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9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精准扶贫政策落实率1</w:t>
            </w:r>
          </w:p>
        </w:tc>
        <w:tc>
          <w:tcPr>
            <w:tcW w:w="1000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100%</w:t>
            </w:r>
          </w:p>
        </w:tc>
        <w:tc>
          <w:tcPr>
            <w:tcW w:w="7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完成</w:t>
            </w:r>
          </w:p>
        </w:tc>
        <w:tc>
          <w:tcPr>
            <w:tcW w:w="7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4" w:hRule="atLeast"/>
          <w:jc w:val="center"/>
        </w:trPr>
        <w:tc>
          <w:tcPr>
            <w:tcW w:w="651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77" w:type="pct"/>
            <w:gridSpan w:val="2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9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就业培训任务完成率1</w:t>
            </w:r>
          </w:p>
        </w:tc>
        <w:tc>
          <w:tcPr>
            <w:tcW w:w="1000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100%</w:t>
            </w:r>
          </w:p>
        </w:tc>
        <w:tc>
          <w:tcPr>
            <w:tcW w:w="7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完成</w:t>
            </w:r>
          </w:p>
        </w:tc>
        <w:tc>
          <w:tcPr>
            <w:tcW w:w="7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4" w:hRule="atLeast"/>
          <w:jc w:val="center"/>
        </w:trPr>
        <w:tc>
          <w:tcPr>
            <w:tcW w:w="651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77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4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9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社区“居家养老”受益人数</w:t>
            </w:r>
          </w:p>
        </w:tc>
        <w:tc>
          <w:tcPr>
            <w:tcW w:w="1000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比上年增长</w:t>
            </w:r>
          </w:p>
        </w:tc>
        <w:tc>
          <w:tcPr>
            <w:tcW w:w="7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完成</w:t>
            </w:r>
          </w:p>
        </w:tc>
        <w:tc>
          <w:tcPr>
            <w:tcW w:w="7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4" w:hRule="atLeast"/>
          <w:jc w:val="center"/>
        </w:trPr>
        <w:tc>
          <w:tcPr>
            <w:tcW w:w="651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77" w:type="pct"/>
            <w:gridSpan w:val="2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9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群众“一感两度两率”</w:t>
            </w:r>
          </w:p>
        </w:tc>
        <w:tc>
          <w:tcPr>
            <w:tcW w:w="1000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达到市级平均数</w:t>
            </w:r>
          </w:p>
        </w:tc>
        <w:tc>
          <w:tcPr>
            <w:tcW w:w="7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完成</w:t>
            </w:r>
          </w:p>
        </w:tc>
        <w:tc>
          <w:tcPr>
            <w:tcW w:w="7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4" w:hRule="atLeast"/>
          <w:jc w:val="center"/>
        </w:trPr>
        <w:tc>
          <w:tcPr>
            <w:tcW w:w="651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7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满意度</w:t>
            </w:r>
          </w:p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</w:t>
            </w:r>
          </w:p>
        </w:tc>
        <w:tc>
          <w:tcPr>
            <w:tcW w:w="4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9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受益对象满意度</w:t>
            </w:r>
          </w:p>
        </w:tc>
        <w:tc>
          <w:tcPr>
            <w:tcW w:w="1000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90%</w:t>
            </w:r>
          </w:p>
        </w:tc>
        <w:tc>
          <w:tcPr>
            <w:tcW w:w="7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90%</w:t>
            </w:r>
          </w:p>
        </w:tc>
        <w:tc>
          <w:tcPr>
            <w:tcW w:w="7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</w:tr>
    </w:tbl>
    <w:p/>
    <w:p/>
    <w:tbl>
      <w:tblPr>
        <w:tblStyle w:val="5"/>
        <w:tblW w:w="5058" w:type="pct"/>
        <w:jc w:val="center"/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"/>
        <w:gridCol w:w="747"/>
        <w:gridCol w:w="332"/>
        <w:gridCol w:w="395"/>
        <w:gridCol w:w="172"/>
        <w:gridCol w:w="15"/>
        <w:gridCol w:w="239"/>
        <w:gridCol w:w="742"/>
        <w:gridCol w:w="1599"/>
        <w:gridCol w:w="1720"/>
        <w:gridCol w:w="1227"/>
        <w:gridCol w:w="1366"/>
        <w:gridCol w:w="28"/>
      </w:tblGrid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pct"/>
          <w:trHeight w:val="633" w:hRule="atLeast"/>
          <w:jc w:val="center"/>
        </w:trPr>
        <w:tc>
          <w:tcPr>
            <w:tcW w:w="977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年度目标3：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(20分)</w:t>
            </w:r>
          </w:p>
        </w:tc>
        <w:tc>
          <w:tcPr>
            <w:tcW w:w="4006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0"/>
                <w:lang w:val="en-US" w:eastAsia="zh-CN"/>
              </w:rPr>
              <w:t>推进基础设施建设、重大项目建设和综合环境整治，完善交通体系和城镇功能改造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pct"/>
          <w:trHeight w:val="633" w:hRule="atLeast"/>
          <w:jc w:val="center"/>
        </w:trPr>
        <w:tc>
          <w:tcPr>
            <w:tcW w:w="648" w:type="pct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年度绩效指标</w:t>
            </w:r>
          </w:p>
        </w:tc>
        <w:tc>
          <w:tcPr>
            <w:tcW w:w="476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4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9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指标内容</w:t>
            </w:r>
          </w:p>
        </w:tc>
        <w:tc>
          <w:tcPr>
            <w:tcW w:w="9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val="en-US" w:eastAsia="zh-CN"/>
              </w:rPr>
              <w:t>年初指标值</w:t>
            </w:r>
          </w:p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（A）</w:t>
            </w:r>
          </w:p>
        </w:tc>
        <w:tc>
          <w:tcPr>
            <w:tcW w:w="7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实际完成值（B）</w:t>
            </w:r>
          </w:p>
        </w:tc>
        <w:tc>
          <w:tcPr>
            <w:tcW w:w="7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pct"/>
          <w:trHeight w:val="633" w:hRule="atLeast"/>
          <w:jc w:val="center"/>
        </w:trPr>
        <w:tc>
          <w:tcPr>
            <w:tcW w:w="648" w:type="pct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76" w:type="pct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产出指标（10分）</w:t>
            </w:r>
          </w:p>
        </w:tc>
        <w:tc>
          <w:tcPr>
            <w:tcW w:w="4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 指标</w:t>
            </w:r>
          </w:p>
        </w:tc>
        <w:tc>
          <w:tcPr>
            <w:tcW w:w="927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重点项目工作完成率</w:t>
            </w:r>
          </w:p>
        </w:tc>
        <w:tc>
          <w:tcPr>
            <w:tcW w:w="9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100%（2）</w:t>
            </w:r>
          </w:p>
        </w:tc>
        <w:tc>
          <w:tcPr>
            <w:tcW w:w="7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完成</w:t>
            </w:r>
          </w:p>
        </w:tc>
        <w:tc>
          <w:tcPr>
            <w:tcW w:w="7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pct"/>
          <w:trHeight w:val="633" w:hRule="atLeast"/>
          <w:jc w:val="center"/>
        </w:trPr>
        <w:tc>
          <w:tcPr>
            <w:tcW w:w="648" w:type="pct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76" w:type="pct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 指标</w:t>
            </w:r>
          </w:p>
        </w:tc>
        <w:tc>
          <w:tcPr>
            <w:tcW w:w="927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道路基础设施建设</w:t>
            </w:r>
          </w:p>
        </w:tc>
        <w:tc>
          <w:tcPr>
            <w:tcW w:w="9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吴新干线西湖段道路刷黑、连一大队破损道路维修、连二大队六顺路东段道路硬化、西湖围堤路总干沟段安全护栏、零星破损道路维修（2）</w:t>
            </w:r>
          </w:p>
        </w:tc>
        <w:tc>
          <w:tcPr>
            <w:tcW w:w="7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完成</w:t>
            </w:r>
          </w:p>
        </w:tc>
        <w:tc>
          <w:tcPr>
            <w:tcW w:w="7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pct"/>
          <w:trHeight w:val="944" w:hRule="atLeast"/>
          <w:jc w:val="center"/>
        </w:trPr>
        <w:tc>
          <w:tcPr>
            <w:tcW w:w="648" w:type="pct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76" w:type="pct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 指标</w:t>
            </w:r>
          </w:p>
        </w:tc>
        <w:tc>
          <w:tcPr>
            <w:tcW w:w="927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房屋维修改造</w:t>
            </w:r>
          </w:p>
        </w:tc>
        <w:tc>
          <w:tcPr>
            <w:tcW w:w="9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新苑社区、新农村建设指挥部、办公楼、其他公用房（2）</w:t>
            </w:r>
          </w:p>
        </w:tc>
        <w:tc>
          <w:tcPr>
            <w:tcW w:w="7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完成80%</w:t>
            </w:r>
          </w:p>
        </w:tc>
        <w:tc>
          <w:tcPr>
            <w:tcW w:w="7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pct"/>
          <w:trHeight w:val="633" w:hRule="atLeast"/>
          <w:jc w:val="center"/>
        </w:trPr>
        <w:tc>
          <w:tcPr>
            <w:tcW w:w="648" w:type="pct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76" w:type="pct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 指标</w:t>
            </w:r>
          </w:p>
        </w:tc>
        <w:tc>
          <w:tcPr>
            <w:tcW w:w="927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环境整治完成率</w:t>
            </w:r>
          </w:p>
        </w:tc>
        <w:tc>
          <w:tcPr>
            <w:tcW w:w="9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100%（1）</w:t>
            </w:r>
          </w:p>
        </w:tc>
        <w:tc>
          <w:tcPr>
            <w:tcW w:w="7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完成</w:t>
            </w:r>
          </w:p>
        </w:tc>
        <w:tc>
          <w:tcPr>
            <w:tcW w:w="7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pct"/>
          <w:trHeight w:val="633" w:hRule="atLeast"/>
          <w:jc w:val="center"/>
        </w:trPr>
        <w:tc>
          <w:tcPr>
            <w:tcW w:w="648" w:type="pct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76" w:type="pct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927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项目竣工质量合格率</w:t>
            </w:r>
          </w:p>
        </w:tc>
        <w:tc>
          <w:tcPr>
            <w:tcW w:w="9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100%（1）</w:t>
            </w:r>
          </w:p>
        </w:tc>
        <w:tc>
          <w:tcPr>
            <w:tcW w:w="7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  <w:tc>
          <w:tcPr>
            <w:tcW w:w="7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pct"/>
          <w:trHeight w:val="633" w:hRule="atLeast"/>
          <w:jc w:val="center"/>
        </w:trPr>
        <w:tc>
          <w:tcPr>
            <w:tcW w:w="648" w:type="pct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76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927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改造拆迁新建工程预算节约率</w:t>
            </w:r>
          </w:p>
        </w:tc>
        <w:tc>
          <w:tcPr>
            <w:tcW w:w="9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≥5%（1）</w:t>
            </w:r>
          </w:p>
        </w:tc>
        <w:tc>
          <w:tcPr>
            <w:tcW w:w="7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完成</w:t>
            </w:r>
          </w:p>
        </w:tc>
        <w:tc>
          <w:tcPr>
            <w:tcW w:w="7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pct"/>
          <w:trHeight w:val="633" w:hRule="atLeast"/>
          <w:jc w:val="center"/>
        </w:trPr>
        <w:tc>
          <w:tcPr>
            <w:tcW w:w="648" w:type="pct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76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927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项目按期完成率</w:t>
            </w:r>
          </w:p>
        </w:tc>
        <w:tc>
          <w:tcPr>
            <w:tcW w:w="9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100%（1）</w:t>
            </w:r>
          </w:p>
        </w:tc>
        <w:tc>
          <w:tcPr>
            <w:tcW w:w="7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完成</w:t>
            </w:r>
          </w:p>
        </w:tc>
        <w:tc>
          <w:tcPr>
            <w:tcW w:w="7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pct"/>
          <w:trHeight w:val="944" w:hRule="atLeast"/>
          <w:jc w:val="center"/>
        </w:trPr>
        <w:tc>
          <w:tcPr>
            <w:tcW w:w="648" w:type="pct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76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效益指标（8分）</w:t>
            </w:r>
          </w:p>
        </w:tc>
        <w:tc>
          <w:tcPr>
            <w:tcW w:w="4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9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基础设施完善程度、环境水平</w:t>
            </w:r>
          </w:p>
        </w:tc>
        <w:tc>
          <w:tcPr>
            <w:tcW w:w="997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提升</w:t>
            </w:r>
          </w:p>
        </w:tc>
        <w:tc>
          <w:tcPr>
            <w:tcW w:w="7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提升</w:t>
            </w:r>
          </w:p>
        </w:tc>
        <w:tc>
          <w:tcPr>
            <w:tcW w:w="7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pct"/>
          <w:trHeight w:val="944" w:hRule="atLeast"/>
          <w:jc w:val="center"/>
        </w:trPr>
        <w:tc>
          <w:tcPr>
            <w:tcW w:w="648" w:type="pct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76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满意度</w:t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指标（2分）</w:t>
            </w:r>
          </w:p>
        </w:tc>
        <w:tc>
          <w:tcPr>
            <w:tcW w:w="4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9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问卷调查满意度</w:t>
            </w:r>
          </w:p>
        </w:tc>
        <w:tc>
          <w:tcPr>
            <w:tcW w:w="997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90%</w:t>
            </w:r>
          </w:p>
        </w:tc>
        <w:tc>
          <w:tcPr>
            <w:tcW w:w="7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90%</w:t>
            </w:r>
          </w:p>
        </w:tc>
        <w:tc>
          <w:tcPr>
            <w:tcW w:w="7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pct"/>
          <w:trHeight w:val="322" w:hRule="atLeast"/>
          <w:jc w:val="center"/>
        </w:trPr>
        <w:tc>
          <w:tcPr>
            <w:tcW w:w="986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年度目标4：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(20分)</w:t>
            </w:r>
          </w:p>
        </w:tc>
        <w:tc>
          <w:tcPr>
            <w:tcW w:w="3997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0"/>
                <w:lang w:val="en-US" w:eastAsia="zh-CN"/>
              </w:rPr>
              <w:t>加大招商引资力度，推进经济高质量发展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pct"/>
          <w:trHeight w:val="633" w:hRule="atLeast"/>
          <w:jc w:val="center"/>
        </w:trPr>
        <w:tc>
          <w:tcPr>
            <w:tcW w:w="648" w:type="pct"/>
            <w:gridSpan w:val="3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年度绩效指标</w:t>
            </w:r>
          </w:p>
        </w:tc>
        <w:tc>
          <w:tcPr>
            <w:tcW w:w="476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4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9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指标内容</w:t>
            </w:r>
          </w:p>
        </w:tc>
        <w:tc>
          <w:tcPr>
            <w:tcW w:w="9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val="en-US" w:eastAsia="zh-CN"/>
              </w:rPr>
              <w:t>年初指标值</w:t>
            </w:r>
          </w:p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（A）</w:t>
            </w:r>
          </w:p>
        </w:tc>
        <w:tc>
          <w:tcPr>
            <w:tcW w:w="7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实际完成值（B）</w:t>
            </w:r>
          </w:p>
        </w:tc>
        <w:tc>
          <w:tcPr>
            <w:tcW w:w="7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pct"/>
          <w:trHeight w:val="881" w:hRule="atLeast"/>
          <w:jc w:val="center"/>
        </w:trPr>
        <w:tc>
          <w:tcPr>
            <w:tcW w:w="648" w:type="pct"/>
            <w:gridSpan w:val="3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76" w:type="pct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产出指标（12分）</w:t>
            </w:r>
          </w:p>
        </w:tc>
        <w:tc>
          <w:tcPr>
            <w:tcW w:w="4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  指标</w:t>
            </w:r>
          </w:p>
        </w:tc>
        <w:tc>
          <w:tcPr>
            <w:tcW w:w="9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规模以上工业产值增速</w:t>
            </w:r>
          </w:p>
        </w:tc>
        <w:tc>
          <w:tcPr>
            <w:tcW w:w="9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14%</w:t>
            </w:r>
          </w:p>
        </w:tc>
        <w:tc>
          <w:tcPr>
            <w:tcW w:w="7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15%</w:t>
            </w:r>
          </w:p>
        </w:tc>
        <w:tc>
          <w:tcPr>
            <w:tcW w:w="7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pct"/>
          <w:trHeight w:val="848" w:hRule="atLeast"/>
          <w:jc w:val="center"/>
        </w:trPr>
        <w:tc>
          <w:tcPr>
            <w:tcW w:w="648" w:type="pct"/>
            <w:gridSpan w:val="3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76" w:type="pct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  指标</w:t>
            </w:r>
          </w:p>
        </w:tc>
        <w:tc>
          <w:tcPr>
            <w:tcW w:w="9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高新技术产业产值增速</w:t>
            </w:r>
          </w:p>
        </w:tc>
        <w:tc>
          <w:tcPr>
            <w:tcW w:w="9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15%</w:t>
            </w:r>
          </w:p>
        </w:tc>
        <w:tc>
          <w:tcPr>
            <w:tcW w:w="7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15%</w:t>
            </w:r>
          </w:p>
        </w:tc>
        <w:tc>
          <w:tcPr>
            <w:tcW w:w="7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pct"/>
          <w:trHeight w:val="704" w:hRule="atLeast"/>
          <w:jc w:val="center"/>
        </w:trPr>
        <w:tc>
          <w:tcPr>
            <w:tcW w:w="648" w:type="pct"/>
            <w:gridSpan w:val="3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76" w:type="pct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  指标</w:t>
            </w:r>
          </w:p>
        </w:tc>
        <w:tc>
          <w:tcPr>
            <w:tcW w:w="9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招才引智工作完成率</w:t>
            </w:r>
          </w:p>
        </w:tc>
        <w:tc>
          <w:tcPr>
            <w:tcW w:w="9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100%</w:t>
            </w:r>
          </w:p>
        </w:tc>
        <w:tc>
          <w:tcPr>
            <w:tcW w:w="7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100%</w:t>
            </w:r>
          </w:p>
        </w:tc>
        <w:tc>
          <w:tcPr>
            <w:tcW w:w="7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pct"/>
          <w:trHeight w:val="944" w:hRule="atLeast"/>
          <w:jc w:val="center"/>
        </w:trPr>
        <w:tc>
          <w:tcPr>
            <w:tcW w:w="648" w:type="pct"/>
            <w:gridSpan w:val="3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76" w:type="pct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  指标</w:t>
            </w:r>
          </w:p>
        </w:tc>
        <w:tc>
          <w:tcPr>
            <w:tcW w:w="9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商贸企业销售额增长率</w:t>
            </w:r>
          </w:p>
        </w:tc>
        <w:tc>
          <w:tcPr>
            <w:tcW w:w="9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15%</w:t>
            </w:r>
          </w:p>
        </w:tc>
        <w:tc>
          <w:tcPr>
            <w:tcW w:w="7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15%</w:t>
            </w:r>
          </w:p>
        </w:tc>
        <w:tc>
          <w:tcPr>
            <w:tcW w:w="7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pct"/>
          <w:trHeight w:val="804" w:hRule="atLeast"/>
          <w:jc w:val="center"/>
        </w:trPr>
        <w:tc>
          <w:tcPr>
            <w:tcW w:w="648" w:type="pct"/>
            <w:gridSpan w:val="3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76" w:type="pct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质量  指标</w:t>
            </w:r>
          </w:p>
        </w:tc>
        <w:tc>
          <w:tcPr>
            <w:tcW w:w="9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重点工业项目（工程）开工率</w:t>
            </w:r>
          </w:p>
        </w:tc>
        <w:tc>
          <w:tcPr>
            <w:tcW w:w="9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100%</w:t>
            </w:r>
          </w:p>
        </w:tc>
        <w:tc>
          <w:tcPr>
            <w:tcW w:w="7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完成</w:t>
            </w:r>
          </w:p>
        </w:tc>
        <w:tc>
          <w:tcPr>
            <w:tcW w:w="7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pct"/>
          <w:trHeight w:val="860" w:hRule="atLeast"/>
          <w:jc w:val="center"/>
        </w:trPr>
        <w:tc>
          <w:tcPr>
            <w:tcW w:w="648" w:type="pct"/>
            <w:gridSpan w:val="3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76" w:type="pct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质量  指标</w:t>
            </w:r>
          </w:p>
        </w:tc>
        <w:tc>
          <w:tcPr>
            <w:tcW w:w="9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项目竣工质量合格率</w:t>
            </w:r>
          </w:p>
        </w:tc>
        <w:tc>
          <w:tcPr>
            <w:tcW w:w="9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100%</w:t>
            </w:r>
          </w:p>
        </w:tc>
        <w:tc>
          <w:tcPr>
            <w:tcW w:w="7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完成</w:t>
            </w:r>
          </w:p>
        </w:tc>
        <w:tc>
          <w:tcPr>
            <w:tcW w:w="7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pct"/>
          <w:trHeight w:val="944" w:hRule="atLeast"/>
          <w:jc w:val="center"/>
        </w:trPr>
        <w:tc>
          <w:tcPr>
            <w:tcW w:w="648" w:type="pct"/>
            <w:gridSpan w:val="3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76" w:type="pct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9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产业园区专项督办工作完成及时性</w:t>
            </w:r>
          </w:p>
        </w:tc>
        <w:tc>
          <w:tcPr>
            <w:tcW w:w="9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100%</w:t>
            </w:r>
          </w:p>
        </w:tc>
        <w:tc>
          <w:tcPr>
            <w:tcW w:w="7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完成</w:t>
            </w:r>
          </w:p>
        </w:tc>
        <w:tc>
          <w:tcPr>
            <w:tcW w:w="7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pct"/>
          <w:trHeight w:val="944" w:hRule="atLeast"/>
          <w:jc w:val="center"/>
        </w:trPr>
        <w:tc>
          <w:tcPr>
            <w:tcW w:w="648" w:type="pct"/>
            <w:gridSpan w:val="3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76" w:type="pct"/>
            <w:gridSpan w:val="4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效益指标（8分）</w:t>
            </w:r>
          </w:p>
        </w:tc>
        <w:tc>
          <w:tcPr>
            <w:tcW w:w="4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9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财政收入完成率</w:t>
            </w:r>
          </w:p>
        </w:tc>
        <w:tc>
          <w:tcPr>
            <w:tcW w:w="997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≥100%</w:t>
            </w:r>
          </w:p>
        </w:tc>
        <w:tc>
          <w:tcPr>
            <w:tcW w:w="7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84.4%</w:t>
            </w:r>
          </w:p>
        </w:tc>
        <w:tc>
          <w:tcPr>
            <w:tcW w:w="7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pct"/>
          <w:trHeight w:val="732" w:hRule="atLeast"/>
          <w:jc w:val="center"/>
        </w:trPr>
        <w:tc>
          <w:tcPr>
            <w:tcW w:w="648" w:type="pct"/>
            <w:gridSpan w:val="3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76" w:type="pct"/>
            <w:gridSpan w:val="4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9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规上工业总产值</w:t>
            </w:r>
          </w:p>
        </w:tc>
        <w:tc>
          <w:tcPr>
            <w:tcW w:w="997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增加</w:t>
            </w:r>
          </w:p>
        </w:tc>
        <w:tc>
          <w:tcPr>
            <w:tcW w:w="7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完成</w:t>
            </w:r>
          </w:p>
        </w:tc>
        <w:tc>
          <w:tcPr>
            <w:tcW w:w="7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pct"/>
          <w:trHeight w:val="814" w:hRule="atLeast"/>
          <w:jc w:val="center"/>
        </w:trPr>
        <w:tc>
          <w:tcPr>
            <w:tcW w:w="648" w:type="pct"/>
            <w:gridSpan w:val="3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76" w:type="pct"/>
            <w:gridSpan w:val="4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9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就业综合指数</w:t>
            </w:r>
          </w:p>
        </w:tc>
        <w:tc>
          <w:tcPr>
            <w:tcW w:w="997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85分以上</w:t>
            </w:r>
          </w:p>
        </w:tc>
        <w:tc>
          <w:tcPr>
            <w:tcW w:w="7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完成</w:t>
            </w:r>
          </w:p>
        </w:tc>
        <w:tc>
          <w:tcPr>
            <w:tcW w:w="7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pct"/>
          <w:trHeight w:val="954" w:hRule="atLeast"/>
          <w:jc w:val="center"/>
        </w:trPr>
        <w:tc>
          <w:tcPr>
            <w:tcW w:w="648" w:type="pct"/>
            <w:gridSpan w:val="3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76" w:type="pct"/>
            <w:gridSpan w:val="4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9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城镇居民可支配收入增长率</w:t>
            </w:r>
          </w:p>
        </w:tc>
        <w:tc>
          <w:tcPr>
            <w:tcW w:w="997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8%</w:t>
            </w:r>
          </w:p>
        </w:tc>
        <w:tc>
          <w:tcPr>
            <w:tcW w:w="7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完成</w:t>
            </w:r>
          </w:p>
        </w:tc>
        <w:tc>
          <w:tcPr>
            <w:tcW w:w="7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3" w:type="pct"/>
          <w:trHeight w:val="349" w:hRule="atLeast"/>
          <w:jc w:val="center"/>
        </w:trPr>
        <w:tc>
          <w:tcPr>
            <w:tcW w:w="43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4543" w:type="pct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仿宋" w:hAnsi="仿宋" w:eastAsia="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val="en-US" w:eastAsia="zh-CN"/>
              </w:rPr>
              <w:t>93.87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3" w:type="pct"/>
          <w:trHeight w:val="4504" w:hRule="atLeast"/>
          <w:jc w:val="center"/>
        </w:trPr>
        <w:tc>
          <w:tcPr>
            <w:tcW w:w="854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both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偏差大或</w:t>
            </w: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目标未完成</w:t>
            </w: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原因分析</w:t>
            </w:r>
          </w:p>
        </w:tc>
        <w:tc>
          <w:tcPr>
            <w:tcW w:w="4122" w:type="pct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仿宋" w:hAnsi="仿宋" w:eastAsia="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val="en-US" w:eastAsia="zh-CN"/>
              </w:rPr>
              <w:t>1.预算执行率未完成，其一原因为支付存在串项的现象；其二</w:t>
            </w:r>
            <w:r>
              <w:rPr>
                <w:rFonts w:hint="default" w:ascii="仿宋" w:hAnsi="仿宋" w:eastAsia="仿宋" w:cs="宋体"/>
                <w:color w:val="000000"/>
                <w:kern w:val="0"/>
                <w:szCs w:val="21"/>
                <w:lang w:val="zh-TW" w:eastAsia="zh-TW"/>
              </w:rPr>
              <w:t>由于因</w:t>
            </w: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val="en-US" w:eastAsia="zh-CN"/>
              </w:rPr>
              <w:t>上半年疫情影响及防汛工作的开展，导致部分工程未完工，</w:t>
            </w:r>
            <w:r>
              <w:rPr>
                <w:rFonts w:hint="default" w:ascii="仿宋" w:hAnsi="仿宋" w:eastAsia="仿宋" w:cs="宋体"/>
                <w:color w:val="000000"/>
                <w:kern w:val="0"/>
                <w:szCs w:val="21"/>
                <w:lang w:val="zh-TW" w:eastAsia="zh-TW"/>
              </w:rPr>
              <w:t>造成预算资金偏差大及目标未完成</w:t>
            </w: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val="zh-TW" w:eastAsia="zh-CN"/>
              </w:rPr>
              <w:t>。</w:t>
            </w:r>
          </w:p>
          <w:p>
            <w:pPr>
              <w:widowControl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  <w:lang w:val="zh-TW"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val="en-US" w:eastAsia="zh-CN"/>
              </w:rPr>
              <w:t>2.产出指标-数量指标计划目标值为党群服务中心建设1200平方米，实际情况为三合大队建设面积1225.76平方米，因疫情的原因2020年9月开工，2021年1月才完成，故该项得分3分；产出指标-数量指标建设举升平台计划目标值为建设举升平台10台被取消，未及时更改此项绩效指标，故该项得分被扣；</w:t>
            </w:r>
          </w:p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val="en-US" w:eastAsia="zh-CN"/>
              </w:rPr>
              <w:t>3.项目产出与支出明细不符。由于项目管理结算审计等原因，导致项目产出与项目支出明细不符。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3" w:type="pct"/>
          <w:trHeight w:val="2850" w:hRule="atLeast"/>
          <w:jc w:val="center"/>
        </w:trPr>
        <w:tc>
          <w:tcPr>
            <w:tcW w:w="963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改进措施及</w:t>
            </w: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结果应用方案</w:t>
            </w:r>
          </w:p>
        </w:tc>
        <w:tc>
          <w:tcPr>
            <w:tcW w:w="401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  <w:lang w:val="en-US" w:eastAsia="zh-CN"/>
              </w:rPr>
            </w:pPr>
          </w:p>
          <w:p>
            <w:pPr>
              <w:widowControl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val="en-US" w:eastAsia="zh-CN"/>
              </w:rPr>
              <w:t>1、年中根据预算执行情况，对预算进行适当调整。加强各科室《预算法》、《行政单位会计制度》等相关方面的业务培训学习，规范部门预算收支核算，严格按项目和进度执行预算，增强预算的约束力和严肃性。落实预算执行分析，及时了解预算执行差异，合理调整、纠正预算执行偏差，切实提高部门预算收支管理水平。</w:t>
            </w:r>
          </w:p>
          <w:p>
            <w:pPr>
              <w:widowControl/>
              <w:jc w:val="left"/>
              <w:rPr>
                <w:rFonts w:hint="eastAsia" w:ascii="仿宋" w:hAnsi="仿宋" w:eastAsia="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val="en-US" w:eastAsia="zh-CN"/>
              </w:rPr>
              <w:t>2、</w:t>
            </w:r>
            <w:r>
              <w:rPr>
                <w:rFonts w:hint="default" w:ascii="仿宋" w:hAnsi="仿宋" w:eastAsia="仿宋" w:cs="宋体"/>
                <w:color w:val="000000"/>
                <w:kern w:val="0"/>
                <w:szCs w:val="21"/>
                <w:lang w:val="zh-TW" w:eastAsia="zh-TW"/>
              </w:rPr>
              <w:t>建立健全绩效</w:t>
            </w: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val="en-US" w:eastAsia="zh-CN"/>
              </w:rPr>
              <w:t>目标</w:t>
            </w:r>
            <w:r>
              <w:rPr>
                <w:rFonts w:hint="default" w:ascii="仿宋" w:hAnsi="仿宋" w:eastAsia="仿宋" w:cs="宋体"/>
                <w:color w:val="000000"/>
                <w:kern w:val="0"/>
                <w:szCs w:val="21"/>
                <w:lang w:val="zh-TW" w:eastAsia="zh-TW"/>
              </w:rPr>
              <w:t>指标体系。根据自身项目特点，优先选择最能反映绩效管理要求的关键性指标。减除不重要的指标，增设项目资金投放比重高的业务产出指标</w:t>
            </w: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val="zh-TW" w:eastAsia="zh-CN"/>
              </w:rPr>
              <w:t>。</w:t>
            </w:r>
            <w:r>
              <w:rPr>
                <w:rFonts w:hint="default" w:ascii="仿宋" w:hAnsi="仿宋" w:eastAsia="仿宋" w:cs="宋体"/>
                <w:color w:val="000000"/>
                <w:kern w:val="0"/>
                <w:szCs w:val="21"/>
                <w:lang w:val="zh-TW" w:eastAsia="zh-TW"/>
              </w:rPr>
              <w:t>指标值设置需具有挑战性</w:t>
            </w: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val="en-US" w:eastAsia="zh-CN"/>
              </w:rPr>
              <w:t>和</w:t>
            </w:r>
            <w:r>
              <w:rPr>
                <w:rFonts w:hint="default" w:ascii="仿宋" w:hAnsi="仿宋" w:eastAsia="仿宋" w:cs="宋体"/>
                <w:color w:val="000000"/>
                <w:kern w:val="0"/>
                <w:szCs w:val="21"/>
                <w:lang w:val="zh-TW" w:eastAsia="zh-TW"/>
              </w:rPr>
              <w:t>适当压力性</w:t>
            </w: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val="zh-TW" w:eastAsia="zh-CN"/>
              </w:rPr>
              <w:t>，</w:t>
            </w: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val="en-US" w:eastAsia="zh-CN"/>
              </w:rPr>
              <w:t>同时还要考虑评价的可操作性。</w:t>
            </w:r>
          </w:p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75" w:afterAutospacing="0" w:line="278" w:lineRule="atLeast"/>
              <w:jc w:val="left"/>
              <w:rPr>
                <w:rFonts w:hint="default" w:ascii="仿宋" w:hAnsi="仿宋" w:eastAsia="仿宋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1"/>
                <w:szCs w:val="21"/>
                <w:lang w:val="en-US" w:eastAsia="zh-CN" w:bidi="ar-SA"/>
              </w:rPr>
              <w:t>3、</w:t>
            </w:r>
            <w:r>
              <w:rPr>
                <w:rFonts w:hint="default" w:ascii="仿宋" w:hAnsi="仿宋" w:eastAsia="仿宋" w:cs="宋体"/>
                <w:color w:val="000000"/>
                <w:kern w:val="0"/>
                <w:sz w:val="21"/>
                <w:szCs w:val="21"/>
                <w:lang w:val="en-US" w:eastAsia="zh-CN" w:bidi="ar-SA"/>
              </w:rPr>
              <w:t>强化绩效评价工作，规范绩效自评。各部门开展绩效自评时要明确绩效评价工作职责，对被评价项目及其绩效预期目标实现程度进行深入调查分析，在此基础上根据年初设置的绩效目标确定具体评价指标，确保绩效评价报告依据充分、内容完整、数据准确、分析透彻和客观公正。同时，主管部门应加强绩效自评的复评工作，对绩效报告有关情况进行核实，确保评价数据的真实性、完整性和准确性。</w:t>
            </w:r>
          </w:p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75" w:afterAutospacing="0" w:line="278" w:lineRule="atLeast"/>
              <w:jc w:val="left"/>
              <w:rPr>
                <w:rFonts w:hint="default" w:ascii="仿宋" w:hAnsi="仿宋" w:eastAsia="仿宋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3" w:type="pct"/>
          <w:trHeight w:val="2200" w:hRule="atLeast"/>
          <w:jc w:val="center"/>
        </w:trPr>
        <w:tc>
          <w:tcPr>
            <w:tcW w:w="963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单位主要负责人</w:t>
            </w: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签批意见</w:t>
            </w:r>
          </w:p>
        </w:tc>
        <w:tc>
          <w:tcPr>
            <w:tcW w:w="401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val="en-US" w:eastAsia="zh-CN"/>
              </w:rPr>
              <w:t xml:space="preserve">                                    </w:t>
            </w:r>
          </w:p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val="en-US" w:eastAsia="zh-CN"/>
              </w:rPr>
              <w:t xml:space="preserve">                              </w:t>
            </w:r>
          </w:p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  <w:lang w:val="en-US" w:eastAsia="zh-CN"/>
              </w:rPr>
            </w:pPr>
          </w:p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val="en-US" w:eastAsia="zh-CN"/>
              </w:rPr>
              <w:t xml:space="preserve">                                </w:t>
            </w:r>
          </w:p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  <w:lang w:val="en-US" w:eastAsia="zh-CN"/>
              </w:rPr>
            </w:pPr>
          </w:p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val="en-US" w:eastAsia="zh-CN"/>
              </w:rPr>
              <w:t xml:space="preserve">                                </w:t>
            </w: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签名：</w:t>
            </w: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 xml:space="preserve">                                        </w:t>
            </w:r>
          </w:p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val="en-US" w:eastAsia="zh-CN"/>
              </w:rPr>
              <w:t xml:space="preserve">                                       </w:t>
            </w: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 xml:space="preserve"> 年    月    日</w:t>
            </w:r>
          </w:p>
        </w:tc>
      </w:tr>
    </w:tbl>
    <w:p>
      <w:pPr>
        <w:widowControl/>
        <w:rPr>
          <w:rFonts w:hint="eastAsia" w:ascii="仿宋" w:hAnsi="仿宋" w:eastAsia="仿宋" w:cs="仿宋"/>
          <w:kern w:val="0"/>
        </w:rPr>
      </w:pPr>
      <w:r>
        <w:rPr>
          <w:rFonts w:hint="eastAsia" w:ascii="仿宋" w:hAnsi="仿宋" w:eastAsia="仿宋" w:cs="仿宋"/>
          <w:kern w:val="0"/>
        </w:rPr>
        <w:t>备注：</w:t>
      </w:r>
    </w:p>
    <w:p>
      <w:pPr>
        <w:widowControl/>
        <w:ind w:firstLine="420" w:firstLineChars="200"/>
        <w:rPr>
          <w:rFonts w:hint="eastAsia" w:ascii="仿宋" w:hAnsi="仿宋" w:eastAsia="仿宋" w:cs="仿宋"/>
          <w:kern w:val="0"/>
        </w:rPr>
      </w:pPr>
      <w:r>
        <w:rPr>
          <w:rFonts w:hint="eastAsia" w:ascii="仿宋" w:hAnsi="仿宋" w:eastAsia="仿宋" w:cs="仿宋"/>
          <w:kern w:val="0"/>
        </w:rPr>
        <w:t>1.预算执行情况口径：预算数为调整后财政资金总额（包括上年结余结转），执行数为资金使用单位财政资金实际支出数。</w:t>
      </w:r>
    </w:p>
    <w:p>
      <w:pPr>
        <w:widowControl/>
        <w:ind w:firstLine="420" w:firstLineChars="200"/>
        <w:rPr>
          <w:rFonts w:hint="eastAsia" w:ascii="仿宋" w:hAnsi="仿宋" w:eastAsia="仿宋" w:cs="仿宋"/>
          <w:kern w:val="0"/>
        </w:rPr>
      </w:pPr>
      <w:r>
        <w:rPr>
          <w:rFonts w:hint="eastAsia" w:ascii="仿宋" w:hAnsi="仿宋" w:eastAsia="仿宋" w:cs="仿宋"/>
          <w:kern w:val="0"/>
        </w:rPr>
        <w:t>2.定量指标完成数汇总原则：绝对值直接累加计算，相对值按照资金额度加权平均计算。定量指标计分原则：正向指标（即目标值为≥X,得分=权重*B/A），反向指标（即目标值为≤X，得分=权重*A/B），得分不得突破权重总额。定量指标先汇总完成数，再计算得分。</w:t>
      </w:r>
    </w:p>
    <w:p>
      <w:pPr>
        <w:widowControl/>
        <w:ind w:firstLine="420" w:firstLineChars="200"/>
        <w:rPr>
          <w:rFonts w:hint="eastAsia" w:ascii="仿宋" w:hAnsi="仿宋" w:eastAsia="仿宋" w:cs="仿宋"/>
          <w:kern w:val="0"/>
        </w:rPr>
      </w:pPr>
      <w:r>
        <w:rPr>
          <w:rFonts w:hint="eastAsia" w:ascii="仿宋" w:hAnsi="仿宋" w:eastAsia="仿宋" w:cs="仿宋"/>
          <w:kern w:val="0"/>
        </w:rPr>
        <w:t>3.定性指标计分原则：达成预期指标、部分达成预期指标并具有一定效果、未达成预期指标且效果较差三档，分别按照该指标对应分值区间100-80%（含80%）、80-50%（含50%）、50-0%合理确定分值。汇总时，以资金额度为权重，对分值进行加权平均计算。</w:t>
      </w:r>
    </w:p>
    <w:p>
      <w:pPr>
        <w:widowControl/>
        <w:ind w:firstLine="420" w:firstLineChars="200"/>
        <w:rPr>
          <w:rFonts w:hint="eastAsia" w:ascii="仿宋" w:hAnsi="仿宋" w:eastAsia="仿宋" w:cs="仿宋"/>
          <w:kern w:val="0"/>
        </w:rPr>
      </w:pPr>
      <w:r>
        <w:rPr>
          <w:rFonts w:hint="eastAsia" w:ascii="仿宋" w:hAnsi="仿宋" w:eastAsia="仿宋" w:cs="仿宋"/>
          <w:kern w:val="0"/>
        </w:rPr>
        <w:t>4.基于经济性和必要性等因素考虑，满意度指标暂可不作为必评指标。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A09542B"/>
    <w:rsid w:val="012E7172"/>
    <w:rsid w:val="0BCD15A4"/>
    <w:rsid w:val="1BA80DFD"/>
    <w:rsid w:val="1BFC7F6B"/>
    <w:rsid w:val="2D682865"/>
    <w:rsid w:val="34F95113"/>
    <w:rsid w:val="37741DEB"/>
    <w:rsid w:val="3F6B798C"/>
    <w:rsid w:val="4A09542B"/>
    <w:rsid w:val="4BDC5BA2"/>
    <w:rsid w:val="50AE0FF9"/>
    <w:rsid w:val="53DC347B"/>
    <w:rsid w:val="611C04DC"/>
    <w:rsid w:val="6BE47225"/>
    <w:rsid w:val="7B413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widowControl w:val="0"/>
      <w:spacing w:before="0" w:after="120"/>
      <w:ind w:left="420" w:leftChars="200" w:right="0" w:firstLine="420" w:firstLineChars="20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Body Text Indent"/>
    <w:basedOn w:val="1"/>
    <w:qFormat/>
    <w:uiPriority w:val="0"/>
    <w:pPr>
      <w:widowControl w:val="0"/>
      <w:spacing w:before="0" w:after="120"/>
      <w:ind w:left="420" w:leftChars="200" w:right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7">
    <w:name w:val="font31"/>
    <w:basedOn w:val="6"/>
    <w:qFormat/>
    <w:uiPriority w:val="0"/>
    <w:rPr>
      <w:rFonts w:hint="eastAsia" w:ascii="宋体" w:hAnsi="宋体" w:eastAsia="宋体" w:cs="宋体"/>
      <w:color w:val="000000"/>
      <w:sz w:val="24"/>
      <w:szCs w:val="24"/>
      <w:u w:val="single"/>
    </w:rPr>
  </w:style>
  <w:style w:type="character" w:customStyle="1" w:styleId="8">
    <w:name w:val="font01"/>
    <w:basedOn w:val="6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9">
    <w:name w:val="font51"/>
    <w:basedOn w:val="6"/>
    <w:qFormat/>
    <w:uiPriority w:val="0"/>
    <w:rPr>
      <w:rFonts w:hint="eastAsia" w:ascii="宋体" w:hAnsi="宋体" w:eastAsia="宋体" w:cs="宋体"/>
      <w:color w:val="000000"/>
      <w:sz w:val="22"/>
      <w:szCs w:val="22"/>
      <w:u w:val="single"/>
    </w:rPr>
  </w:style>
  <w:style w:type="character" w:customStyle="1" w:styleId="10">
    <w:name w:val="font21"/>
    <w:basedOn w:val="6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paragraph" w:customStyle="1" w:styleId="11">
    <w:name w:val="Body text|1"/>
    <w:basedOn w:val="1"/>
    <w:qFormat/>
    <w:uiPriority w:val="0"/>
    <w:pPr>
      <w:widowControl w:val="0"/>
      <w:shd w:val="clear" w:color="auto" w:fill="auto"/>
      <w:spacing w:line="437" w:lineRule="auto"/>
      <w:ind w:firstLine="400"/>
    </w:pPr>
    <w:rPr>
      <w:rFonts w:ascii="宋体" w:hAnsi="宋体" w:eastAsia="宋体" w:cs="宋体"/>
      <w:sz w:val="22"/>
      <w:szCs w:val="22"/>
      <w:u w:val="none"/>
      <w:shd w:val="clear" w:color="auto" w:fill="auto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18</TotalTime>
  <ScaleCrop>false</ScaleCrop>
  <LinksUpToDate>false</LinksUpToDate>
  <CharactersWithSpaces>0</CharactersWithSpaces>
  <Application>WPS Office_11.1.0.10578_F1E327BC-269C-435d-A152-05C5408002CA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2021-05-31T02:25:00Z</dcterms:created>
  <dc:creator>志</dc:creator>
  <cp:lastModifiedBy>Administrator</cp:lastModifiedBy>
  <cp:lastPrinted>2021-07-06T00:20:00Z</cp:lastPrinted>
  <dcterms:modified xsi:type="dcterms:W3CDTF">2021-07-06T05:25:37Z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990F8B9490584AD686CB0FD32E0E97E4</vt:lpwstr>
  </property>
</Properties>
</file>