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417E3">
      <w:pPr>
        <w:widowControl/>
        <w:spacing w:line="432" w:lineRule="atLeast"/>
        <w:jc w:val="left"/>
        <w:rPr>
          <w:color w:val="000000"/>
          <w:kern w:val="0"/>
          <w:sz w:val="28"/>
          <w:szCs w:val="28"/>
        </w:rPr>
      </w:pPr>
      <w:r>
        <w:rPr>
          <w:rFonts w:hAnsi="黑体" w:eastAsia="黑体"/>
          <w:color w:val="000000"/>
          <w:kern w:val="0"/>
          <w:sz w:val="28"/>
          <w:szCs w:val="28"/>
        </w:rPr>
        <w:t>附件</w:t>
      </w:r>
      <w:r>
        <w:rPr>
          <w:rFonts w:eastAsia="黑体"/>
          <w:color w:val="000000"/>
          <w:kern w:val="0"/>
          <w:sz w:val="28"/>
          <w:szCs w:val="28"/>
        </w:rPr>
        <w:t>1</w:t>
      </w:r>
      <w:r>
        <w:rPr>
          <w:rFonts w:hAnsi="黑体" w:eastAsia="黑体"/>
          <w:color w:val="000000"/>
          <w:kern w:val="0"/>
          <w:sz w:val="28"/>
          <w:szCs w:val="28"/>
        </w:rPr>
        <w:t>：</w:t>
      </w:r>
    </w:p>
    <w:p w14:paraId="52F120A0">
      <w:pPr>
        <w:widowControl/>
        <w:spacing w:line="432" w:lineRule="atLeast"/>
        <w:jc w:val="center"/>
        <w:rPr>
          <w:rFonts w:hAnsi="方正小标宋简体" w:eastAsia="方正小标宋简体"/>
          <w:color w:val="000000"/>
          <w:spacing w:val="-20"/>
          <w:kern w:val="0"/>
          <w:sz w:val="40"/>
          <w:szCs w:val="40"/>
        </w:rPr>
      </w:pPr>
      <w:r>
        <w:rPr>
          <w:rFonts w:eastAsia="方正小标宋简体"/>
          <w:color w:val="000000"/>
          <w:spacing w:val="-20"/>
          <w:kern w:val="0"/>
          <w:sz w:val="40"/>
          <w:szCs w:val="40"/>
        </w:rPr>
        <w:t>2024</w:t>
      </w:r>
      <w:r>
        <w:rPr>
          <w:rFonts w:hAnsi="方正小标宋简体" w:eastAsia="方正小标宋简体"/>
          <w:color w:val="000000"/>
          <w:spacing w:val="-20"/>
          <w:kern w:val="0"/>
          <w:sz w:val="40"/>
          <w:szCs w:val="40"/>
        </w:rPr>
        <w:t>年度</w:t>
      </w:r>
      <w:r>
        <w:rPr>
          <w:rFonts w:hint="eastAsia" w:hAnsi="方正小标宋简体" w:eastAsia="方正小标宋简体"/>
          <w:color w:val="000000"/>
          <w:spacing w:val="-20"/>
          <w:kern w:val="0"/>
          <w:sz w:val="40"/>
          <w:szCs w:val="40"/>
        </w:rPr>
        <w:t>自然资源调查</w:t>
      </w:r>
      <w:r>
        <w:rPr>
          <w:rFonts w:hint="eastAsia" w:eastAsia="方正小标宋简体"/>
          <w:color w:val="000000"/>
          <w:spacing w:val="-20"/>
          <w:kern w:val="0"/>
          <w:sz w:val="40"/>
          <w:szCs w:val="40"/>
        </w:rPr>
        <w:t>确权工作</w:t>
      </w:r>
      <w:r>
        <w:rPr>
          <w:rFonts w:hAnsi="方正小标宋简体" w:eastAsia="方正小标宋简体"/>
          <w:color w:val="000000"/>
          <w:spacing w:val="-20"/>
          <w:kern w:val="0"/>
          <w:sz w:val="40"/>
          <w:szCs w:val="40"/>
        </w:rPr>
        <w:t>项目绩效自评表</w:t>
      </w:r>
    </w:p>
    <w:p w14:paraId="60D5B125">
      <w:pPr>
        <w:widowControl/>
        <w:spacing w:line="432" w:lineRule="atLeast"/>
        <w:jc w:val="center"/>
        <w:rPr>
          <w:rFonts w:hAnsi="方正小标宋简体" w:eastAsia="方正小标宋简体"/>
          <w:color w:val="000000"/>
          <w:spacing w:val="-20"/>
          <w:kern w:val="0"/>
          <w:sz w:val="40"/>
          <w:szCs w:val="40"/>
        </w:rPr>
      </w:pPr>
    </w:p>
    <w:p w14:paraId="0E107435">
      <w:pPr>
        <w:widowControl/>
        <w:spacing w:line="432" w:lineRule="atLeast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单位名称：东西湖区自然资源和城乡建设局           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填报日期：2025.3.27</w:t>
      </w:r>
    </w:p>
    <w:tbl>
      <w:tblPr>
        <w:tblStyle w:val="5"/>
        <w:tblW w:w="93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076"/>
        <w:gridCol w:w="1247"/>
        <w:gridCol w:w="964"/>
        <w:gridCol w:w="777"/>
        <w:gridCol w:w="394"/>
        <w:gridCol w:w="1394"/>
        <w:gridCol w:w="732"/>
        <w:gridCol w:w="659"/>
        <w:gridCol w:w="1055"/>
      </w:tblGrid>
      <w:tr w14:paraId="4FB4B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80" w:type="dxa"/>
            <w:gridSpan w:val="2"/>
            <w:vAlign w:val="center"/>
          </w:tcPr>
          <w:p w14:paraId="2616D25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222" w:type="dxa"/>
            <w:gridSpan w:val="8"/>
            <w:vAlign w:val="center"/>
          </w:tcPr>
          <w:p w14:paraId="04A393C5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自然资源调查确权工作</w:t>
            </w:r>
          </w:p>
        </w:tc>
      </w:tr>
      <w:tr w14:paraId="6CC51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80" w:type="dxa"/>
            <w:gridSpan w:val="2"/>
            <w:vAlign w:val="center"/>
          </w:tcPr>
          <w:p w14:paraId="7DC66A0B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2988" w:type="dxa"/>
            <w:gridSpan w:val="3"/>
            <w:vAlign w:val="center"/>
          </w:tcPr>
          <w:p w14:paraId="01C173CD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东西湖区自然资源和城乡建设局</w:t>
            </w:r>
          </w:p>
        </w:tc>
        <w:tc>
          <w:tcPr>
            <w:tcW w:w="2520" w:type="dxa"/>
            <w:gridSpan w:val="3"/>
            <w:vAlign w:val="center"/>
          </w:tcPr>
          <w:p w14:paraId="0A0A3E52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714" w:type="dxa"/>
            <w:gridSpan w:val="2"/>
            <w:vAlign w:val="center"/>
          </w:tcPr>
          <w:p w14:paraId="1307E3BB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instrText xml:space="preserve"> HYPERLINK "http://dxh.wpl/loginafter/banner/index7.jsp" </w:instrTex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242424"/>
                <w:sz w:val="21"/>
                <w:szCs w:val="21"/>
              </w:rPr>
              <w:t>自然资源确权登记与生态修复科</w:t>
            </w:r>
            <w:r>
              <w:rPr>
                <w:rFonts w:hint="eastAsia" w:ascii="宋体" w:hAnsi="宋体" w:eastAsia="宋体" w:cs="宋体"/>
                <w:color w:val="242424"/>
                <w:sz w:val="21"/>
                <w:szCs w:val="21"/>
              </w:rPr>
              <w:fldChar w:fldCharType="end"/>
            </w:r>
          </w:p>
        </w:tc>
      </w:tr>
      <w:tr w14:paraId="3A58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80" w:type="dxa"/>
            <w:gridSpan w:val="2"/>
            <w:vAlign w:val="center"/>
          </w:tcPr>
          <w:p w14:paraId="3F92E4FB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222" w:type="dxa"/>
            <w:gridSpan w:val="8"/>
            <w:vAlign w:val="center"/>
          </w:tcPr>
          <w:p w14:paraId="0562B7A8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1、部门预算项目 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   2、区直专项   □ </w:t>
            </w:r>
          </w:p>
        </w:tc>
      </w:tr>
      <w:tr w14:paraId="35802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80" w:type="dxa"/>
            <w:gridSpan w:val="2"/>
            <w:vAlign w:val="center"/>
          </w:tcPr>
          <w:p w14:paraId="608C04A0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222" w:type="dxa"/>
            <w:gridSpan w:val="8"/>
            <w:vAlign w:val="center"/>
          </w:tcPr>
          <w:p w14:paraId="30B97C7A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1、持续性项目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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2、新增性项目 □ </w:t>
            </w:r>
          </w:p>
        </w:tc>
      </w:tr>
      <w:tr w14:paraId="6AF36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80" w:type="dxa"/>
            <w:gridSpan w:val="2"/>
            <w:vAlign w:val="center"/>
          </w:tcPr>
          <w:p w14:paraId="6FDB5B03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222" w:type="dxa"/>
            <w:gridSpan w:val="8"/>
            <w:vAlign w:val="center"/>
          </w:tcPr>
          <w:p w14:paraId="5071177D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1、常年性项目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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2、延续性项目 □      3、一次性项目 □</w:t>
            </w:r>
          </w:p>
        </w:tc>
      </w:tr>
      <w:tr w14:paraId="4B285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80" w:type="dxa"/>
            <w:gridSpan w:val="2"/>
            <w:vMerge w:val="restart"/>
            <w:vAlign w:val="center"/>
          </w:tcPr>
          <w:p w14:paraId="7C77BACF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预算执行</w:t>
            </w:r>
          </w:p>
          <w:p w14:paraId="743B4B63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情况（万元）</w:t>
            </w:r>
          </w:p>
          <w:p w14:paraId="2246E896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（20分）</w:t>
            </w:r>
          </w:p>
        </w:tc>
        <w:tc>
          <w:tcPr>
            <w:tcW w:w="1247" w:type="dxa"/>
            <w:vAlign w:val="center"/>
          </w:tcPr>
          <w:p w14:paraId="7B88054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7D9ADEAD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预算数（A）</w:t>
            </w:r>
          </w:p>
        </w:tc>
        <w:tc>
          <w:tcPr>
            <w:tcW w:w="1171" w:type="dxa"/>
            <w:gridSpan w:val="2"/>
            <w:vAlign w:val="center"/>
          </w:tcPr>
          <w:p w14:paraId="7741965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执行数</w:t>
            </w:r>
          </w:p>
          <w:p w14:paraId="11E5B9BB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（B）</w:t>
            </w:r>
          </w:p>
        </w:tc>
        <w:tc>
          <w:tcPr>
            <w:tcW w:w="1394" w:type="dxa"/>
            <w:vAlign w:val="center"/>
          </w:tcPr>
          <w:p w14:paraId="047E0F11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执行率</w:t>
            </w:r>
          </w:p>
          <w:p w14:paraId="0824A80F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（B/A）</w:t>
            </w:r>
          </w:p>
        </w:tc>
        <w:tc>
          <w:tcPr>
            <w:tcW w:w="2446" w:type="dxa"/>
            <w:gridSpan w:val="3"/>
            <w:vAlign w:val="center"/>
          </w:tcPr>
          <w:p w14:paraId="669B9EF5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得分</w:t>
            </w:r>
          </w:p>
          <w:p w14:paraId="1BA4669D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（20分*执行率）</w:t>
            </w:r>
          </w:p>
        </w:tc>
      </w:tr>
      <w:tr w14:paraId="5264D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80" w:type="dxa"/>
            <w:gridSpan w:val="2"/>
            <w:vMerge w:val="continue"/>
            <w:vAlign w:val="center"/>
          </w:tcPr>
          <w:p w14:paraId="164165D3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 w14:paraId="3654F933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964" w:type="dxa"/>
            <w:vAlign w:val="center"/>
          </w:tcPr>
          <w:p w14:paraId="544D3D02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396</w:t>
            </w:r>
          </w:p>
        </w:tc>
        <w:tc>
          <w:tcPr>
            <w:tcW w:w="1171" w:type="dxa"/>
            <w:gridSpan w:val="2"/>
            <w:vAlign w:val="center"/>
          </w:tcPr>
          <w:p w14:paraId="105B183B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210.92</w:t>
            </w:r>
          </w:p>
        </w:tc>
        <w:tc>
          <w:tcPr>
            <w:tcW w:w="1394" w:type="dxa"/>
            <w:vAlign w:val="center"/>
          </w:tcPr>
          <w:p w14:paraId="2B1AC293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53.26%</w:t>
            </w:r>
          </w:p>
        </w:tc>
        <w:tc>
          <w:tcPr>
            <w:tcW w:w="2446" w:type="dxa"/>
            <w:gridSpan w:val="3"/>
            <w:vAlign w:val="center"/>
          </w:tcPr>
          <w:p w14:paraId="46426270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10.65</w:t>
            </w:r>
          </w:p>
        </w:tc>
      </w:tr>
      <w:tr w14:paraId="0353C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vMerge w:val="restart"/>
            <w:vAlign w:val="center"/>
          </w:tcPr>
          <w:p w14:paraId="2C76EDBE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年度绩效目标</w:t>
            </w:r>
          </w:p>
          <w:p w14:paraId="1EEF33FC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（80分）</w:t>
            </w:r>
          </w:p>
        </w:tc>
        <w:tc>
          <w:tcPr>
            <w:tcW w:w="1076" w:type="dxa"/>
            <w:vAlign w:val="center"/>
          </w:tcPr>
          <w:p w14:paraId="25BABD75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47" w:type="dxa"/>
            <w:vAlign w:val="center"/>
          </w:tcPr>
          <w:p w14:paraId="049F6948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5" w:type="dxa"/>
            <w:gridSpan w:val="3"/>
            <w:vAlign w:val="center"/>
          </w:tcPr>
          <w:p w14:paraId="3CBE1BFB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394" w:type="dxa"/>
            <w:vAlign w:val="center"/>
          </w:tcPr>
          <w:p w14:paraId="7980577D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年初目标值（A）</w:t>
            </w:r>
          </w:p>
        </w:tc>
        <w:tc>
          <w:tcPr>
            <w:tcW w:w="1391" w:type="dxa"/>
            <w:gridSpan w:val="2"/>
            <w:vAlign w:val="center"/>
          </w:tcPr>
          <w:p w14:paraId="25147F72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实际完成值（B）</w:t>
            </w:r>
          </w:p>
        </w:tc>
        <w:tc>
          <w:tcPr>
            <w:tcW w:w="1055" w:type="dxa"/>
            <w:vAlign w:val="center"/>
          </w:tcPr>
          <w:p w14:paraId="1588FFCE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得分</w:t>
            </w:r>
          </w:p>
        </w:tc>
      </w:tr>
      <w:tr w14:paraId="2DF9E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04" w:type="dxa"/>
            <w:vMerge w:val="continue"/>
            <w:vAlign w:val="center"/>
          </w:tcPr>
          <w:p w14:paraId="1B74CB52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Merge w:val="restart"/>
            <w:vAlign w:val="center"/>
          </w:tcPr>
          <w:p w14:paraId="329D1947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产出指标</w:t>
            </w:r>
          </w:p>
          <w:p w14:paraId="46CA495F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（40分）</w:t>
            </w:r>
          </w:p>
        </w:tc>
        <w:tc>
          <w:tcPr>
            <w:tcW w:w="1247" w:type="dxa"/>
            <w:vMerge w:val="restart"/>
            <w:vAlign w:val="center"/>
          </w:tcPr>
          <w:p w14:paraId="643F6C4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5" w:type="dxa"/>
            <w:gridSpan w:val="3"/>
            <w:vAlign w:val="center"/>
          </w:tcPr>
          <w:p w14:paraId="4F7C9778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变更调查成果覆盖范围</w:t>
            </w:r>
          </w:p>
        </w:tc>
        <w:tc>
          <w:tcPr>
            <w:tcW w:w="1394" w:type="dxa"/>
            <w:vAlign w:val="center"/>
          </w:tcPr>
          <w:p w14:paraId="2A770CA5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东西湖区全域495平方公里</w:t>
            </w:r>
          </w:p>
        </w:tc>
        <w:tc>
          <w:tcPr>
            <w:tcW w:w="1391" w:type="dxa"/>
            <w:gridSpan w:val="2"/>
            <w:vAlign w:val="center"/>
          </w:tcPr>
          <w:p w14:paraId="4E067110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东西湖区全域495平方公里</w:t>
            </w:r>
          </w:p>
        </w:tc>
        <w:tc>
          <w:tcPr>
            <w:tcW w:w="1055" w:type="dxa"/>
            <w:vAlign w:val="center"/>
          </w:tcPr>
          <w:p w14:paraId="4BEFD5FC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</w:tr>
      <w:tr w14:paraId="2A563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04" w:type="dxa"/>
            <w:vMerge w:val="continue"/>
            <w:vAlign w:val="center"/>
          </w:tcPr>
          <w:p w14:paraId="7CD4D1EF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Merge w:val="continue"/>
            <w:vAlign w:val="center"/>
          </w:tcPr>
          <w:p w14:paraId="53022905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Merge w:val="continue"/>
            <w:vAlign w:val="center"/>
          </w:tcPr>
          <w:p w14:paraId="330F1EC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35" w:type="dxa"/>
            <w:gridSpan w:val="3"/>
            <w:vAlign w:val="center"/>
          </w:tcPr>
          <w:p w14:paraId="19EB8A55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自然资源确权成果</w:t>
            </w:r>
          </w:p>
        </w:tc>
        <w:tc>
          <w:tcPr>
            <w:tcW w:w="1394" w:type="dxa"/>
            <w:vAlign w:val="center"/>
          </w:tcPr>
          <w:p w14:paraId="1B9458C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6条河流和26个湖泊</w:t>
            </w:r>
          </w:p>
        </w:tc>
        <w:tc>
          <w:tcPr>
            <w:tcW w:w="1391" w:type="dxa"/>
            <w:gridSpan w:val="2"/>
            <w:vAlign w:val="center"/>
          </w:tcPr>
          <w:p w14:paraId="1931F307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6条河流和26个湖泊</w:t>
            </w:r>
          </w:p>
        </w:tc>
        <w:tc>
          <w:tcPr>
            <w:tcW w:w="1055" w:type="dxa"/>
            <w:vAlign w:val="center"/>
          </w:tcPr>
          <w:p w14:paraId="3BC08C9E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</w:tr>
      <w:tr w14:paraId="19DEA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004" w:type="dxa"/>
            <w:vMerge w:val="continue"/>
            <w:vAlign w:val="center"/>
          </w:tcPr>
          <w:p w14:paraId="694975AF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Merge w:val="continue"/>
            <w:vAlign w:val="center"/>
          </w:tcPr>
          <w:p w14:paraId="0EC51D9D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 w14:paraId="360501F5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5" w:type="dxa"/>
            <w:gridSpan w:val="3"/>
            <w:vAlign w:val="center"/>
          </w:tcPr>
          <w:p w14:paraId="13DA80FC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成果验收</w:t>
            </w:r>
          </w:p>
        </w:tc>
        <w:tc>
          <w:tcPr>
            <w:tcW w:w="1394" w:type="dxa"/>
            <w:vAlign w:val="center"/>
          </w:tcPr>
          <w:p w14:paraId="274DEFEC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100%符合省、部级验收要求</w:t>
            </w:r>
          </w:p>
        </w:tc>
        <w:tc>
          <w:tcPr>
            <w:tcW w:w="1391" w:type="dxa"/>
            <w:gridSpan w:val="2"/>
            <w:vAlign w:val="center"/>
          </w:tcPr>
          <w:p w14:paraId="6D0D06A7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100%符合省、部级验收要求</w:t>
            </w:r>
          </w:p>
        </w:tc>
        <w:tc>
          <w:tcPr>
            <w:tcW w:w="1055" w:type="dxa"/>
            <w:vAlign w:val="center"/>
          </w:tcPr>
          <w:p w14:paraId="43A88248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</w:tr>
      <w:tr w14:paraId="79F7F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004" w:type="dxa"/>
            <w:vMerge w:val="continue"/>
            <w:vAlign w:val="center"/>
          </w:tcPr>
          <w:p w14:paraId="189D007C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Merge w:val="continue"/>
            <w:vAlign w:val="center"/>
          </w:tcPr>
          <w:p w14:paraId="41E3C945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 w14:paraId="2C561EB4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5" w:type="dxa"/>
            <w:gridSpan w:val="3"/>
            <w:vAlign w:val="center"/>
          </w:tcPr>
          <w:p w14:paraId="7CA2B7E7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调查确权工作完成及时率</w:t>
            </w:r>
          </w:p>
        </w:tc>
        <w:tc>
          <w:tcPr>
            <w:tcW w:w="1394" w:type="dxa"/>
            <w:vAlign w:val="center"/>
          </w:tcPr>
          <w:p w14:paraId="7D5671A9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391" w:type="dxa"/>
            <w:gridSpan w:val="2"/>
            <w:vAlign w:val="center"/>
          </w:tcPr>
          <w:p w14:paraId="43EF3064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055" w:type="dxa"/>
            <w:vAlign w:val="center"/>
          </w:tcPr>
          <w:p w14:paraId="333A7167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</w:tr>
      <w:tr w14:paraId="0618A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004" w:type="dxa"/>
            <w:vMerge w:val="continue"/>
            <w:vAlign w:val="center"/>
          </w:tcPr>
          <w:p w14:paraId="4856A885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59963294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效益指标</w:t>
            </w:r>
          </w:p>
          <w:p w14:paraId="6790FFA4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（30分）</w:t>
            </w:r>
          </w:p>
        </w:tc>
        <w:tc>
          <w:tcPr>
            <w:tcW w:w="1247" w:type="dxa"/>
            <w:vAlign w:val="center"/>
          </w:tcPr>
          <w:p w14:paraId="3F441CD4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135" w:type="dxa"/>
            <w:gridSpan w:val="3"/>
            <w:vAlign w:val="center"/>
          </w:tcPr>
          <w:p w14:paraId="42E7BB3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为生态文明建设和自然资源管理提供数据支撑</w:t>
            </w:r>
          </w:p>
        </w:tc>
        <w:tc>
          <w:tcPr>
            <w:tcW w:w="1394" w:type="dxa"/>
            <w:vAlign w:val="center"/>
          </w:tcPr>
          <w:p w14:paraId="64A03B7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有所提升</w:t>
            </w:r>
          </w:p>
        </w:tc>
        <w:tc>
          <w:tcPr>
            <w:tcW w:w="1391" w:type="dxa"/>
            <w:gridSpan w:val="2"/>
            <w:vAlign w:val="center"/>
          </w:tcPr>
          <w:p w14:paraId="3E8E182D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有所提升</w:t>
            </w:r>
          </w:p>
        </w:tc>
        <w:tc>
          <w:tcPr>
            <w:tcW w:w="1055" w:type="dxa"/>
            <w:vAlign w:val="center"/>
          </w:tcPr>
          <w:p w14:paraId="6EDF3757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</w:t>
            </w:r>
          </w:p>
        </w:tc>
      </w:tr>
      <w:tr w14:paraId="34B5E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004" w:type="dxa"/>
            <w:vMerge w:val="continue"/>
            <w:vAlign w:val="center"/>
          </w:tcPr>
          <w:p w14:paraId="5946CC3C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543A24FC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满意度</w:t>
            </w:r>
          </w:p>
          <w:p w14:paraId="1C2C0D84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  <w:p w14:paraId="17017CDB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（10分）</w:t>
            </w:r>
          </w:p>
        </w:tc>
        <w:tc>
          <w:tcPr>
            <w:tcW w:w="1247" w:type="dxa"/>
            <w:vAlign w:val="center"/>
          </w:tcPr>
          <w:p w14:paraId="0AF2D89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服务对象满意度</w:t>
            </w:r>
          </w:p>
          <w:p w14:paraId="2F87D11B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5" w:type="dxa"/>
            <w:gridSpan w:val="3"/>
            <w:vAlign w:val="center"/>
          </w:tcPr>
          <w:p w14:paraId="18D5D6C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服务对象满意度</w:t>
            </w:r>
          </w:p>
        </w:tc>
        <w:tc>
          <w:tcPr>
            <w:tcW w:w="1394" w:type="dxa"/>
            <w:vAlign w:val="center"/>
          </w:tcPr>
          <w:p w14:paraId="217CD263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≥95%</w:t>
            </w:r>
          </w:p>
        </w:tc>
        <w:tc>
          <w:tcPr>
            <w:tcW w:w="1391" w:type="dxa"/>
            <w:gridSpan w:val="2"/>
            <w:vAlign w:val="center"/>
          </w:tcPr>
          <w:p w14:paraId="58E36218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≥95%</w:t>
            </w:r>
          </w:p>
        </w:tc>
        <w:tc>
          <w:tcPr>
            <w:tcW w:w="1055" w:type="dxa"/>
            <w:vAlign w:val="center"/>
          </w:tcPr>
          <w:p w14:paraId="67FC21CE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</w:tr>
      <w:tr w14:paraId="40387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vAlign w:val="center"/>
          </w:tcPr>
          <w:p w14:paraId="32997C7C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总分</w:t>
            </w:r>
          </w:p>
        </w:tc>
        <w:tc>
          <w:tcPr>
            <w:tcW w:w="8298" w:type="dxa"/>
            <w:gridSpan w:val="9"/>
            <w:vAlign w:val="center"/>
          </w:tcPr>
          <w:p w14:paraId="647E7C61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90.65</w:t>
            </w:r>
          </w:p>
        </w:tc>
      </w:tr>
      <w:tr w14:paraId="045FF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  <w:jc w:val="center"/>
        </w:trPr>
        <w:tc>
          <w:tcPr>
            <w:tcW w:w="2080" w:type="dxa"/>
            <w:gridSpan w:val="2"/>
            <w:vAlign w:val="center"/>
          </w:tcPr>
          <w:p w14:paraId="49A1598E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偏差大或</w:t>
            </w:r>
          </w:p>
          <w:p w14:paraId="169BB9D9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目标未完成</w:t>
            </w:r>
          </w:p>
          <w:p w14:paraId="45B16D25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原因分析</w:t>
            </w:r>
          </w:p>
        </w:tc>
        <w:tc>
          <w:tcPr>
            <w:tcW w:w="7222" w:type="dxa"/>
            <w:gridSpan w:val="8"/>
            <w:vAlign w:val="center"/>
          </w:tcPr>
          <w:p w14:paraId="2C5F5136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2</w:t>
            </w:r>
            <w:r>
              <w:rPr>
                <w:rFonts w:asciiTheme="minorEastAsia" w:hAnsiTheme="minorEastAsia" w:eastAsiaTheme="minorEastAsia"/>
                <w:kern w:val="0"/>
              </w:rPr>
              <w:t>024年度预算项目均已完成，但因财政资金紧张预算资金未能落实到位。</w:t>
            </w:r>
          </w:p>
        </w:tc>
      </w:tr>
      <w:tr w14:paraId="33B22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2080" w:type="dxa"/>
            <w:gridSpan w:val="2"/>
            <w:vAlign w:val="center"/>
          </w:tcPr>
          <w:p w14:paraId="50198BB2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改进措施及</w:t>
            </w:r>
          </w:p>
          <w:p w14:paraId="21626CF6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结果应用方案</w:t>
            </w:r>
          </w:p>
        </w:tc>
        <w:tc>
          <w:tcPr>
            <w:tcW w:w="7222" w:type="dxa"/>
            <w:gridSpan w:val="8"/>
            <w:vAlign w:val="center"/>
          </w:tcPr>
          <w:p w14:paraId="1195734F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1.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加强对资金预算和使用的监督，及时了解项目进展，协调落实项目预算资金，减少资金支付滞后的可能性，待财政资金到位后及时完成付款。</w:t>
            </w:r>
          </w:p>
          <w:p w14:paraId="0702D7D5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2.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进一步优化和改善指标体系，更科学的制定并细化绩效指标目标值，使绩效指标与实际工作结合更为紧密。</w:t>
            </w:r>
          </w:p>
        </w:tc>
      </w:tr>
      <w:tr w14:paraId="2A16F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2080" w:type="dxa"/>
            <w:gridSpan w:val="2"/>
            <w:vAlign w:val="center"/>
          </w:tcPr>
          <w:p w14:paraId="5CD6448C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单位主要负责人</w:t>
            </w:r>
          </w:p>
          <w:p w14:paraId="6BB1EEA1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签批意见</w:t>
            </w:r>
          </w:p>
        </w:tc>
        <w:tc>
          <w:tcPr>
            <w:tcW w:w="7222" w:type="dxa"/>
            <w:gridSpan w:val="8"/>
            <w:vAlign w:val="center"/>
          </w:tcPr>
          <w:p w14:paraId="2987FE3F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</w:p>
          <w:p w14:paraId="66791340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</w:p>
          <w:p w14:paraId="109BA05F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</w:p>
          <w:p w14:paraId="4BBE9DC1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</w:p>
          <w:p w14:paraId="6ABF656B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</w:p>
          <w:p w14:paraId="5D524E9A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</w:p>
          <w:p w14:paraId="5F813D5C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 xml:space="preserve">  </w:t>
            </w:r>
          </w:p>
          <w:p w14:paraId="5600B61E">
            <w:pPr>
              <w:widowControl/>
              <w:ind w:firstLine="4200" w:firstLineChars="2000"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 xml:space="preserve">签名：               </w:t>
            </w:r>
          </w:p>
          <w:p w14:paraId="5B4C214E">
            <w:pPr>
              <w:widowControl/>
              <w:ind w:firstLine="2100" w:firstLineChars="1000"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 xml:space="preserve"> </w:t>
            </w:r>
          </w:p>
          <w:p w14:paraId="4CB370D4">
            <w:pPr>
              <w:widowControl/>
              <w:ind w:firstLine="4620" w:firstLineChars="2200"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年      月      日</w:t>
            </w:r>
          </w:p>
          <w:p w14:paraId="2443DEC9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 xml:space="preserve"> </w:t>
            </w:r>
          </w:p>
        </w:tc>
      </w:tr>
    </w:tbl>
    <w:p w14:paraId="362F440C">
      <w:pPr>
        <w:widowControl/>
        <w:rPr>
          <w:kern w:val="0"/>
        </w:rPr>
      </w:pPr>
      <w:r>
        <w:rPr>
          <w:rFonts w:hAnsi="宋体"/>
          <w:kern w:val="0"/>
        </w:rPr>
        <w:t>备注：</w:t>
      </w:r>
    </w:p>
    <w:p w14:paraId="06500DB7">
      <w:pPr>
        <w:widowControl/>
        <w:ind w:firstLine="420" w:firstLineChars="200"/>
        <w:rPr>
          <w:kern w:val="0"/>
        </w:rPr>
      </w:pPr>
      <w:r>
        <w:rPr>
          <w:kern w:val="0"/>
        </w:rPr>
        <w:t>1.</w:t>
      </w:r>
      <w:r>
        <w:rPr>
          <w:rFonts w:hAnsi="宋体"/>
          <w:kern w:val="0"/>
        </w:rPr>
        <w:t>预算执行情况口径：预算数为调整后财政资金总额（包括上年结余结转），执行数为资金使用单位财政资金实际支出数。</w:t>
      </w:r>
    </w:p>
    <w:p w14:paraId="767575F4">
      <w:pPr>
        <w:widowControl/>
        <w:ind w:firstLine="420" w:firstLineChars="200"/>
        <w:rPr>
          <w:kern w:val="0"/>
        </w:rPr>
      </w:pPr>
      <w:r>
        <w:rPr>
          <w:kern w:val="0"/>
        </w:rPr>
        <w:t>2.</w:t>
      </w:r>
      <w:r>
        <w:rPr>
          <w:rFonts w:hAnsi="宋体"/>
          <w:kern w:val="0"/>
        </w:rPr>
        <w:t>定量指标完成数汇总原则：绝对值直接累加计算，相对值按照资金额度加权平均计算。定量指标计分原则：正向指标（即目标值为</w:t>
      </w:r>
      <w:r>
        <w:rPr>
          <w:kern w:val="0"/>
        </w:rPr>
        <w:t>≥X,</w:t>
      </w:r>
      <w:r>
        <w:rPr>
          <w:rFonts w:hAnsi="宋体"/>
          <w:kern w:val="0"/>
        </w:rPr>
        <w:t>得分</w:t>
      </w:r>
      <w:r>
        <w:rPr>
          <w:kern w:val="0"/>
        </w:rPr>
        <w:t>=</w:t>
      </w:r>
      <w:r>
        <w:rPr>
          <w:rFonts w:hAnsi="宋体"/>
          <w:kern w:val="0"/>
        </w:rPr>
        <w:t>权重</w:t>
      </w:r>
      <w:r>
        <w:rPr>
          <w:kern w:val="0"/>
        </w:rPr>
        <w:t>*B/A</w:t>
      </w:r>
      <w:r>
        <w:rPr>
          <w:rFonts w:hAnsi="宋体"/>
          <w:kern w:val="0"/>
        </w:rPr>
        <w:t>），反向指标（即目标值为</w:t>
      </w:r>
      <w:r>
        <w:rPr>
          <w:kern w:val="0"/>
        </w:rPr>
        <w:t>≤X</w:t>
      </w:r>
      <w:r>
        <w:rPr>
          <w:rFonts w:hAnsi="宋体"/>
          <w:kern w:val="0"/>
        </w:rPr>
        <w:t>，得分</w:t>
      </w:r>
      <w:r>
        <w:rPr>
          <w:kern w:val="0"/>
        </w:rPr>
        <w:t>=</w:t>
      </w:r>
      <w:r>
        <w:rPr>
          <w:rFonts w:hAnsi="宋体"/>
          <w:kern w:val="0"/>
        </w:rPr>
        <w:t>权重</w:t>
      </w:r>
      <w:r>
        <w:rPr>
          <w:kern w:val="0"/>
        </w:rPr>
        <w:t>*A/B</w:t>
      </w:r>
      <w:r>
        <w:rPr>
          <w:rFonts w:hAnsi="宋体"/>
          <w:kern w:val="0"/>
        </w:rPr>
        <w:t>），得分不得突破权重总额。定量指标先汇总完成数，再计算得分。</w:t>
      </w:r>
    </w:p>
    <w:p w14:paraId="60FCA1CE">
      <w:pPr>
        <w:widowControl/>
        <w:ind w:firstLine="420" w:firstLineChars="200"/>
        <w:rPr>
          <w:kern w:val="0"/>
        </w:rPr>
      </w:pPr>
      <w:r>
        <w:rPr>
          <w:kern w:val="0"/>
        </w:rPr>
        <w:t>3.</w:t>
      </w:r>
      <w:r>
        <w:rPr>
          <w:rFonts w:hAnsi="宋体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kern w:val="0"/>
        </w:rPr>
        <w:t>100-80%</w:t>
      </w:r>
      <w:r>
        <w:rPr>
          <w:rFonts w:hAnsi="宋体"/>
          <w:kern w:val="0"/>
        </w:rPr>
        <w:t>（含</w:t>
      </w:r>
      <w:r>
        <w:rPr>
          <w:kern w:val="0"/>
        </w:rPr>
        <w:t>80%</w:t>
      </w:r>
      <w:r>
        <w:rPr>
          <w:rFonts w:hAnsi="宋体"/>
          <w:kern w:val="0"/>
        </w:rPr>
        <w:t>）、</w:t>
      </w:r>
      <w:r>
        <w:rPr>
          <w:kern w:val="0"/>
        </w:rPr>
        <w:t>80-50%</w:t>
      </w:r>
      <w:r>
        <w:rPr>
          <w:rFonts w:hAnsi="宋体"/>
          <w:kern w:val="0"/>
        </w:rPr>
        <w:t>（含</w:t>
      </w:r>
      <w:r>
        <w:rPr>
          <w:kern w:val="0"/>
        </w:rPr>
        <w:t>50%</w:t>
      </w:r>
      <w:r>
        <w:rPr>
          <w:rFonts w:hAnsi="宋体"/>
          <w:kern w:val="0"/>
        </w:rPr>
        <w:t>）、</w:t>
      </w:r>
      <w:r>
        <w:rPr>
          <w:kern w:val="0"/>
        </w:rPr>
        <w:t>50-0%</w:t>
      </w:r>
      <w:r>
        <w:rPr>
          <w:rFonts w:hAnsi="宋体"/>
          <w:kern w:val="0"/>
        </w:rPr>
        <w:t>合理确定分值。汇总时，以资金额度为权重，对分值进行加权平均计算。</w:t>
      </w:r>
    </w:p>
    <w:p w14:paraId="00DCEBE3">
      <w:pPr>
        <w:widowControl/>
        <w:ind w:firstLine="420" w:firstLineChars="200"/>
        <w:rPr>
          <w:kern w:val="0"/>
        </w:rPr>
      </w:pPr>
      <w:r>
        <w:rPr>
          <w:kern w:val="0"/>
        </w:rPr>
        <w:t>4.</w:t>
      </w:r>
      <w:r>
        <w:rPr>
          <w:rFonts w:hAnsi="宋体"/>
          <w:kern w:val="0"/>
        </w:rPr>
        <w:t>基于经济性和必要性等因素考虑，满意度指标暂可不作为必评指标。</w:t>
      </w:r>
    </w:p>
    <w:p w14:paraId="0CDD4F7D"/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20"/>
    <w:rsid w:val="00031A10"/>
    <w:rsid w:val="000D7E8C"/>
    <w:rsid w:val="00157482"/>
    <w:rsid w:val="00161038"/>
    <w:rsid w:val="001D7900"/>
    <w:rsid w:val="003109DD"/>
    <w:rsid w:val="00413536"/>
    <w:rsid w:val="00431AE1"/>
    <w:rsid w:val="005C6DF5"/>
    <w:rsid w:val="005F4130"/>
    <w:rsid w:val="005F79EE"/>
    <w:rsid w:val="00781B20"/>
    <w:rsid w:val="007F754C"/>
    <w:rsid w:val="008125E7"/>
    <w:rsid w:val="00851934"/>
    <w:rsid w:val="008857D7"/>
    <w:rsid w:val="00937C78"/>
    <w:rsid w:val="00A4046A"/>
    <w:rsid w:val="00A72E26"/>
    <w:rsid w:val="00B04394"/>
    <w:rsid w:val="00B43A98"/>
    <w:rsid w:val="00BB05AA"/>
    <w:rsid w:val="00C763CC"/>
    <w:rsid w:val="00CA52F7"/>
    <w:rsid w:val="00CD5018"/>
    <w:rsid w:val="00D435AF"/>
    <w:rsid w:val="00E92B6D"/>
    <w:rsid w:val="00EC3658"/>
    <w:rsid w:val="00EC6ABC"/>
    <w:rsid w:val="00F117F1"/>
    <w:rsid w:val="14AD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951</Words>
  <Characters>1067</Characters>
  <Lines>9</Lines>
  <Paragraphs>2</Paragraphs>
  <TotalTime>19</TotalTime>
  <ScaleCrop>false</ScaleCrop>
  <LinksUpToDate>false</LinksUpToDate>
  <CharactersWithSpaces>1132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2024-04-16T01:44:00Z</dcterms:created>
  <dc:creator>KC-202307101412</dc:creator>
  <cp:lastModifiedBy>君肖肖_</cp:lastModifiedBy>
  <cp:lastPrinted>2025-03-28T02:31:00Z</cp:lastPrinted>
  <dcterms:modified xsi:type="dcterms:W3CDTF">2025-03-31T06:56:10Z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eyJoZGlkIjoiZGM3Yzk5ZmI2NThiOTcwNTk4ZDlmYmQ1MzYzMTRmNTciLCJ1c2VySWQiOiIxMDE1NDc3MzI0In0=</vt:lpwstr>
  </property>
  <property fmtid="{D5CDD505-2E9C-101B-9397-08002B2CF9AE}" pid="3" name="KSOProductBuildVer">
    <vt:lpwstr>2052-12.1.0.20305</vt:lpwstr>
  </property>
  <property fmtid="{D5CDD505-2E9C-101B-9397-08002B2CF9AE}" pid="4" name="ICV">
    <vt:lpwstr>B1C2EFFCE6FD45429C2753D1D3067A3F_12</vt:lpwstr>
  </property>
</Properties>
</file>