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399" w:type="dxa"/>
        <w:tblInd w:w="-34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4"/>
        <w:gridCol w:w="1127"/>
        <w:gridCol w:w="1236"/>
        <w:gridCol w:w="850"/>
        <w:gridCol w:w="858"/>
        <w:gridCol w:w="1483"/>
        <w:gridCol w:w="1388"/>
        <w:gridCol w:w="129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3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Style w:val="4"/>
                <w:lang w:val="en-US" w:eastAsia="zh-CN" w:bidi="ar"/>
              </w:rPr>
              <w:t>2021年度规划编制经费项目绩效自评表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3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武汉市</w:t>
            </w:r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东西湖区自然资源和规划局              填报日期：2022年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月20日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2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1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规划编制经费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2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9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东西湖区自然资源和规划局</w:t>
            </w:r>
          </w:p>
        </w:tc>
        <w:tc>
          <w:tcPr>
            <w:tcW w:w="2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国土空间规划和城市设计科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2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1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1、部门预算项目   ☑   2、区直专项    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2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1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1、持续性项目     ☑   2、新增性项目  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2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1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1、常年性项目     □   2、延续性项目  □      3、一次性项目  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29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预算数（A）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执行数（B）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执行率（B/A）</w:t>
            </w: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得分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（20分*执行率）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2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年度财政资金总额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1106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1106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6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</w:t>
            </w:r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绩效</w:t>
            </w:r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目标</w:t>
            </w:r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（80分）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7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实际完成值（B）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6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2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（40分）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7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规划编制数量（20分）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6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2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7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项目验收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合格率（10分）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6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2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7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项目按计划完成率（10分）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75%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16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2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</w:t>
            </w:r>
          </w:p>
        </w:tc>
        <w:tc>
          <w:tcPr>
            <w:tcW w:w="17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是否为规划管理提供依据 （10分）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16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2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</w:t>
            </w:r>
          </w:p>
        </w:tc>
        <w:tc>
          <w:tcPr>
            <w:tcW w:w="17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是否为生态保护和管理提供依据（10分）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6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2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影响指标</w:t>
            </w:r>
          </w:p>
        </w:tc>
        <w:tc>
          <w:tcPr>
            <w:tcW w:w="17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项目是否可持续发挥作用  （10分）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16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使用对象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7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双评议满意度（10分）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≥90%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91.92%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总分</w:t>
            </w:r>
          </w:p>
        </w:tc>
        <w:tc>
          <w:tcPr>
            <w:tcW w:w="82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0" w:hRule="atLeast"/>
        </w:trPr>
        <w:tc>
          <w:tcPr>
            <w:tcW w:w="22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1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40" w:firstLineChars="200"/>
              <w:jc w:val="left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东西湖区非集中建设区规划编制项目应按合同约定于合同签订日期2018年10月30日后30个日历天内完成所有工作内容并通过采购人验收，但该项编制2021年才通过验收，未按计划完成。原因是初步成果出来后经多次报批、修改，造成未按时完成。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2.项目绩效目标设置不够全面、细化，未根据项目实际特点设置绩效指标和目标，如数量指标，按四项规划编制项目个数设置目标值为4，实际其中东西湖区自然资源和规划局2021-2023年度城乡规划编制与研究论证技术服务项目，是对各具体地块的规划编制，与其他三项出具整体规划的成果形式存在差异，数量指标应结合实际并参考其合同规定的最低工作量单独设置；东西湖区国土空间总体规划（2021-2035年）项目有对规划编制的要求，也有对专题研究的要求，可增设专题研究数量的目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0" w:hRule="atLeast"/>
        </w:trPr>
        <w:tc>
          <w:tcPr>
            <w:tcW w:w="22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1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1、加强编制质量和进度的把控，按计划节点完成工作。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2、进一步优化和改善指标</w:t>
            </w:r>
            <w:bookmarkStart w:id="0" w:name="_GoBack"/>
            <w:bookmarkEnd w:id="0"/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体系，更科学的制定并细化绩效指标目标值，使绩效指标与实际工作结合更为紧密。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22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1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      年    月 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2" w:hRule="atLeast"/>
        </w:trPr>
        <w:tc>
          <w:tcPr>
            <w:tcW w:w="93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备注：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1.预算执行情况口径：预算数为调整后财政资金总额（包括上年结余结转），执行数为资金使用单位财政资金实际支出数。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B/A），反向指标（即目标值为≤X，得分=权重*A/B），得分不得突破权重总额。定量指标先汇总完成数，再计算得分。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5NWE4YzVkNzk4MzFjYjMwZmE1ZTdiNWE5Y2VkNWYifQ=="/>
  </w:docVars>
  <w:rsids>
    <w:rsidRoot w:val="689D6D79"/>
    <w:rsid w:val="140B208C"/>
    <w:rsid w:val="689D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uiPriority w:val="0"/>
    <w:rPr>
      <w:rFonts w:hint="default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5">
    <w:name w:val="font41"/>
    <w:basedOn w:val="3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6">
    <w:name w:val="font1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1178</Words>
  <Characters>1293</Characters>
  <Lines>0</Lines>
  <Paragraphs>0</Paragraphs>
  <TotalTime>15</TotalTime>
  <ScaleCrop>false</ScaleCrop>
  <LinksUpToDate>false</LinksUpToDate>
  <CharactersWithSpaces>1452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2022-06-14T00:58:00Z</dcterms:created>
  <dc:creator>Syeen</dc:creator>
  <cp:lastModifiedBy>老鼠</cp:lastModifiedBy>
  <dcterms:modified xsi:type="dcterms:W3CDTF">2022-06-15T01:01:45Z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4D67A773C010449DA9FF860398377A80</vt:lpwstr>
  </property>
</Properties>
</file>