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center"/>
        <w:textAlignment w:val="auto"/>
        <w:rPr>
          <w:rFonts w:hint="eastAsia" w:ascii="方正小标宋简体" w:hAnsi="方正小标宋简体" w:eastAsia="方正小标宋简体" w:cs="方正小标宋简体"/>
          <w:color w:val="000000"/>
          <w:spacing w:val="-11"/>
          <w:kern w:val="0"/>
          <w:sz w:val="36"/>
          <w:szCs w:val="36"/>
          <w:lang w:val="en-US" w:eastAsia="zh-CN"/>
        </w:rPr>
      </w:pPr>
      <w:bookmarkStart w:id="0" w:name="bookmark3"/>
      <w:r>
        <w:rPr>
          <w:rFonts w:hint="eastAsia" w:ascii="方正小标宋简体" w:hAnsi="方正小标宋简体" w:eastAsia="方正小标宋简体" w:cs="方正小标宋简体"/>
          <w:color w:val="000000"/>
          <w:spacing w:val="-11"/>
          <w:kern w:val="0"/>
          <w:sz w:val="36"/>
          <w:szCs w:val="36"/>
          <w:lang w:val="en-US" w:eastAsia="zh-CN"/>
        </w:rPr>
        <w:t>2021年度征地和拆迁补偿支出项目自评结果</w:t>
      </w:r>
    </w:p>
    <w:p>
      <w:pPr>
        <w:pStyle w:val="15"/>
        <w:keepNext/>
        <w:keepLines/>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0"/>
        <w:jc w:val="center"/>
        <w:textAlignment w:val="auto"/>
        <w:rPr>
          <w:rFonts w:hint="eastAsia" w:ascii="方正小标宋简体" w:hAnsi="方正小标宋简体" w:eastAsia="方正小标宋简体" w:cs="方正小标宋简体"/>
          <w:color w:val="000000"/>
          <w:spacing w:val="-11"/>
          <w:kern w:val="0"/>
          <w:sz w:val="36"/>
          <w:szCs w:val="36"/>
          <w:lang w:val="en-US" w:eastAsia="zh-CN"/>
        </w:rPr>
      </w:pPr>
      <w:r>
        <w:rPr>
          <w:rFonts w:hint="eastAsia" w:ascii="楷体" w:hAnsi="楷体" w:eastAsia="楷体" w:cs="楷体"/>
          <w:color w:val="000000"/>
          <w:spacing w:val="0"/>
          <w:w w:val="100"/>
          <w:position w:val="0"/>
          <w:sz w:val="32"/>
          <w:szCs w:val="32"/>
          <w:highlight w:val="none"/>
          <w:lang w:val="en-US" w:eastAsia="zh-CN"/>
        </w:rPr>
        <w:t xml:space="preserve">   （缩略版）</w:t>
      </w:r>
    </w:p>
    <w:bookmarkEnd w:id="0"/>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eastAsia" w:ascii="黑体" w:hAnsi="黑体" w:eastAsia="黑体" w:cs="黑体"/>
          <w:color w:val="000000"/>
          <w:spacing w:val="0"/>
          <w:w w:val="100"/>
          <w:position w:val="0"/>
          <w:sz w:val="32"/>
          <w:szCs w:val="32"/>
          <w:highlight w:val="none"/>
          <w:lang w:val="en-US" w:eastAsia="zh-CN"/>
        </w:rPr>
      </w:pPr>
      <w:r>
        <w:rPr>
          <w:rFonts w:hint="eastAsia" w:ascii="黑体" w:hAnsi="黑体" w:eastAsia="黑体" w:cs="黑体"/>
          <w:color w:val="000000"/>
          <w:spacing w:val="0"/>
          <w:w w:val="100"/>
          <w:position w:val="0"/>
          <w:sz w:val="32"/>
          <w:szCs w:val="32"/>
          <w:highlight w:val="none"/>
          <w:lang w:eastAsia="zh-CN"/>
        </w:rPr>
        <w:t>一、自评</w:t>
      </w:r>
      <w:r>
        <w:rPr>
          <w:rFonts w:hint="eastAsia" w:ascii="黑体" w:hAnsi="黑体" w:eastAsia="黑体" w:cs="黑体"/>
          <w:color w:val="000000"/>
          <w:spacing w:val="0"/>
          <w:w w:val="100"/>
          <w:position w:val="0"/>
          <w:sz w:val="32"/>
          <w:szCs w:val="32"/>
          <w:highlight w:val="none"/>
          <w:lang w:val="en-US" w:eastAsia="zh-CN"/>
        </w:rPr>
        <w:t>结论</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eastAsia" w:ascii="楷体" w:hAnsi="楷体" w:eastAsia="楷体" w:cs="楷体"/>
          <w:color w:val="000000"/>
          <w:spacing w:val="0"/>
          <w:w w:val="100"/>
          <w:position w:val="0"/>
          <w:sz w:val="32"/>
          <w:szCs w:val="32"/>
          <w:highlight w:val="none"/>
          <w:lang w:eastAsia="zh-CN"/>
        </w:rPr>
      </w:pPr>
      <w:r>
        <w:rPr>
          <w:rFonts w:hint="eastAsia" w:ascii="楷体" w:hAnsi="楷体" w:eastAsia="楷体" w:cs="楷体"/>
          <w:color w:val="000000"/>
          <w:spacing w:val="0"/>
          <w:w w:val="100"/>
          <w:position w:val="0"/>
          <w:sz w:val="32"/>
          <w:szCs w:val="32"/>
          <w:highlight w:val="none"/>
          <w:lang w:eastAsia="zh-CN"/>
        </w:rPr>
        <w:t>（</w:t>
      </w:r>
      <w:r>
        <w:rPr>
          <w:rFonts w:hint="eastAsia" w:ascii="楷体" w:hAnsi="楷体" w:eastAsia="楷体" w:cs="楷体"/>
          <w:color w:val="000000"/>
          <w:spacing w:val="0"/>
          <w:w w:val="100"/>
          <w:position w:val="0"/>
          <w:sz w:val="32"/>
          <w:szCs w:val="32"/>
          <w:highlight w:val="none"/>
          <w:lang w:val="en-US" w:eastAsia="zh-CN"/>
        </w:rPr>
        <w:t>一）自评</w:t>
      </w:r>
      <w:r>
        <w:rPr>
          <w:rFonts w:hint="eastAsia" w:ascii="楷体" w:hAnsi="楷体" w:eastAsia="楷体" w:cs="楷体"/>
          <w:color w:val="000000"/>
          <w:spacing w:val="0"/>
          <w:w w:val="100"/>
          <w:position w:val="0"/>
          <w:sz w:val="32"/>
          <w:szCs w:val="32"/>
          <w:highlight w:val="none"/>
          <w:lang w:eastAsia="zh-CN"/>
        </w:rPr>
        <w:t>得分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项目绩效自评综合评分</w:t>
      </w:r>
      <w:r>
        <w:rPr>
          <w:rFonts w:hint="eastAsia" w:ascii="仿宋" w:hAnsi="仿宋" w:eastAsia="仿宋" w:cs="仿宋"/>
          <w:color w:val="000000"/>
          <w:spacing w:val="0"/>
          <w:w w:val="100"/>
          <w:position w:val="0"/>
          <w:sz w:val="32"/>
          <w:szCs w:val="32"/>
          <w:highlight w:val="none"/>
          <w:lang w:val="en-US" w:eastAsia="zh-CN"/>
        </w:rPr>
        <w:t>90.21</w:t>
      </w:r>
      <w:r>
        <w:rPr>
          <w:rFonts w:hint="eastAsia" w:ascii="仿宋" w:hAnsi="仿宋" w:eastAsia="仿宋" w:cs="仿宋"/>
          <w:color w:val="000000"/>
          <w:spacing w:val="0"/>
          <w:w w:val="100"/>
          <w:position w:val="0"/>
          <w:sz w:val="32"/>
          <w:szCs w:val="32"/>
          <w:highlight w:val="none"/>
          <w:lang w:eastAsia="zh-CN"/>
        </w:rPr>
        <w:t>分。</w:t>
      </w:r>
    </w:p>
    <w:tbl>
      <w:tblPr>
        <w:tblStyle w:val="8"/>
        <w:tblW w:w="0" w:type="auto"/>
        <w:jc w:val="center"/>
        <w:tblLayout w:type="fixed"/>
        <w:tblCellMar>
          <w:top w:w="0" w:type="dxa"/>
          <w:left w:w="10" w:type="dxa"/>
          <w:bottom w:w="0" w:type="dxa"/>
          <w:right w:w="10" w:type="dxa"/>
        </w:tblCellMar>
      </w:tblPr>
      <w:tblGrid>
        <w:gridCol w:w="2303"/>
        <w:gridCol w:w="1186"/>
        <w:gridCol w:w="1397"/>
        <w:gridCol w:w="1382"/>
        <w:gridCol w:w="1818"/>
      </w:tblGrid>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评价项目</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权重</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评级分值</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highlight w:val="none"/>
              </w:rPr>
            </w:pPr>
            <w:r>
              <w:rPr>
                <w:rFonts w:hint="eastAsia" w:ascii="仿宋" w:hAnsi="仿宋" w:eastAsia="仿宋" w:cs="仿宋"/>
                <w:color w:val="000000"/>
                <w:spacing w:val="0"/>
                <w:w w:val="100"/>
                <w:position w:val="0"/>
                <w:sz w:val="24"/>
                <w:szCs w:val="24"/>
                <w:highlight w:val="none"/>
              </w:rPr>
              <w:t>本项得分</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color w:val="000000"/>
                <w:spacing w:val="0"/>
                <w:w w:val="100"/>
                <w:position w:val="0"/>
                <w:sz w:val="24"/>
                <w:szCs w:val="24"/>
                <w:highlight w:val="none"/>
                <w:lang w:val="en-US" w:eastAsia="zh-CN"/>
              </w:rPr>
            </w:pPr>
            <w:r>
              <w:rPr>
                <w:rFonts w:hint="eastAsia" w:ascii="仿宋" w:hAnsi="仿宋" w:eastAsia="仿宋" w:cs="仿宋"/>
                <w:color w:val="000000"/>
                <w:spacing w:val="0"/>
                <w:w w:val="100"/>
                <w:position w:val="0"/>
                <w:sz w:val="24"/>
                <w:szCs w:val="24"/>
                <w:highlight w:val="none"/>
                <w:lang w:val="en-US" w:eastAsia="zh-CN"/>
              </w:rPr>
              <w:t>得分率</w:t>
            </w:r>
          </w:p>
        </w:tc>
      </w:tr>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预算执行情况</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20%</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20</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10.21</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lang w:val="en-US" w:eastAsia="zh-CN"/>
              </w:rPr>
            </w:pPr>
            <w:r>
              <w:rPr>
                <w:rFonts w:hint="eastAsia" w:ascii="仿宋" w:hAnsi="仿宋" w:eastAsia="仿宋" w:cs="仿宋"/>
                <w:b w:val="0"/>
                <w:bCs w:val="0"/>
                <w:color w:val="000000"/>
                <w:spacing w:val="0"/>
                <w:w w:val="100"/>
                <w:position w:val="0"/>
                <w:sz w:val="24"/>
                <w:szCs w:val="24"/>
                <w:lang w:val="en-US" w:eastAsia="zh-CN" w:bidi="en-US"/>
              </w:rPr>
              <w:t>51.07%</w:t>
            </w:r>
          </w:p>
        </w:tc>
      </w:tr>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项目产出</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40%</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40</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color w:val="000000"/>
                <w:spacing w:val="0"/>
                <w:w w:val="100"/>
                <w:position w:val="0"/>
                <w:sz w:val="24"/>
                <w:szCs w:val="24"/>
                <w:lang w:val="en-US" w:eastAsia="zh-CN" w:bidi="en-US"/>
              </w:rPr>
              <w:t>40</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lang w:val="en-US" w:eastAsia="zh-CN" w:bidi="en-US"/>
              </w:rPr>
            </w:pPr>
            <w:r>
              <w:rPr>
                <w:rFonts w:hint="eastAsia" w:ascii="仿宋" w:hAnsi="仿宋" w:eastAsia="仿宋" w:cs="仿宋"/>
                <w:b w:val="0"/>
                <w:bCs w:val="0"/>
                <w:color w:val="000000"/>
                <w:spacing w:val="0"/>
                <w:w w:val="100"/>
                <w:position w:val="0"/>
                <w:sz w:val="24"/>
                <w:szCs w:val="24"/>
                <w:lang w:val="en-US" w:eastAsia="zh-CN" w:bidi="en-US"/>
              </w:rPr>
              <w:t>100%</w:t>
            </w:r>
          </w:p>
        </w:tc>
      </w:tr>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项目效益</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30%</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30</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color w:val="000000"/>
                <w:spacing w:val="0"/>
                <w:w w:val="100"/>
                <w:position w:val="0"/>
                <w:sz w:val="24"/>
                <w:szCs w:val="24"/>
              </w:rPr>
              <w:t>30</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lang w:val="en-US" w:eastAsia="zh-CN"/>
              </w:rPr>
            </w:pPr>
            <w:r>
              <w:rPr>
                <w:rFonts w:hint="eastAsia" w:ascii="仿宋" w:hAnsi="仿宋" w:eastAsia="仿宋" w:cs="仿宋"/>
                <w:b w:val="0"/>
                <w:bCs w:val="0"/>
                <w:color w:val="000000"/>
                <w:spacing w:val="0"/>
                <w:w w:val="100"/>
                <w:position w:val="0"/>
                <w:sz w:val="24"/>
                <w:szCs w:val="24"/>
                <w:lang w:val="en-US" w:eastAsia="zh-CN" w:bidi="en-US"/>
              </w:rPr>
              <w:t>100%</w:t>
            </w:r>
          </w:p>
        </w:tc>
      </w:tr>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项目满意度</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380"/>
              <w:jc w:val="left"/>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10%</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10</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10</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lang w:val="en-US" w:eastAsia="zh-CN"/>
              </w:rPr>
            </w:pPr>
            <w:r>
              <w:rPr>
                <w:rFonts w:hint="eastAsia" w:ascii="仿宋" w:hAnsi="仿宋" w:eastAsia="仿宋" w:cs="仿宋"/>
                <w:b w:val="0"/>
                <w:bCs w:val="0"/>
                <w:color w:val="000000"/>
                <w:spacing w:val="0"/>
                <w:w w:val="100"/>
                <w:position w:val="0"/>
                <w:sz w:val="24"/>
                <w:szCs w:val="24"/>
                <w:lang w:val="en-US" w:eastAsia="zh-CN"/>
              </w:rPr>
              <w:t>100%</w:t>
            </w:r>
          </w:p>
        </w:tc>
      </w:tr>
      <w:tr>
        <w:tblPrEx>
          <w:tblCellMar>
            <w:top w:w="0" w:type="dxa"/>
            <w:left w:w="10" w:type="dxa"/>
            <w:bottom w:w="0" w:type="dxa"/>
            <w:right w:w="10" w:type="dxa"/>
          </w:tblCellMar>
        </w:tblPrEx>
        <w:trPr>
          <w:trHeight w:val="113" w:hRule="atLeast"/>
          <w:jc w:val="center"/>
        </w:trPr>
        <w:tc>
          <w:tcPr>
            <w:tcW w:w="23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综合绩效</w:t>
            </w:r>
          </w:p>
        </w:tc>
        <w:tc>
          <w:tcPr>
            <w:tcW w:w="118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100%</w:t>
            </w:r>
          </w:p>
        </w:tc>
        <w:tc>
          <w:tcPr>
            <w:tcW w:w="1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0"/>
              <w:jc w:val="center"/>
              <w:textAlignment w:val="auto"/>
              <w:rPr>
                <w:rFonts w:hint="eastAsia" w:ascii="仿宋" w:hAnsi="仿宋" w:eastAsia="仿宋" w:cs="仿宋"/>
                <w:b w:val="0"/>
                <w:bCs w:val="0"/>
                <w:sz w:val="24"/>
                <w:szCs w:val="24"/>
              </w:rPr>
            </w:pPr>
            <w:r>
              <w:rPr>
                <w:rFonts w:hint="eastAsia" w:ascii="仿宋" w:hAnsi="仿宋" w:eastAsia="仿宋" w:cs="仿宋"/>
                <w:b w:val="0"/>
                <w:bCs w:val="0"/>
                <w:color w:val="000000"/>
                <w:spacing w:val="0"/>
                <w:w w:val="100"/>
                <w:position w:val="0"/>
                <w:sz w:val="24"/>
                <w:szCs w:val="24"/>
              </w:rPr>
              <w:t>100</w:t>
            </w:r>
          </w:p>
        </w:tc>
        <w:tc>
          <w:tcPr>
            <w:tcW w:w="13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color w:val="000000"/>
                <w:spacing w:val="0"/>
                <w:w w:val="100"/>
                <w:position w:val="0"/>
                <w:sz w:val="24"/>
                <w:szCs w:val="24"/>
                <w:lang w:val="en-US" w:eastAsia="zh-CN" w:bidi="en-US"/>
              </w:rPr>
              <w:t>90.21</w:t>
            </w:r>
          </w:p>
        </w:tc>
        <w:tc>
          <w:tcPr>
            <w:tcW w:w="18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6"/>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rightChars="0" w:firstLine="0" w:firstLineChars="0"/>
              <w:jc w:val="center"/>
              <w:textAlignment w:val="auto"/>
              <w:rPr>
                <w:rFonts w:hint="eastAsia" w:ascii="仿宋" w:hAnsi="仿宋" w:eastAsia="仿宋" w:cs="仿宋"/>
                <w:b w:val="0"/>
                <w:bCs w:val="0"/>
                <w:color w:val="000000"/>
                <w:spacing w:val="0"/>
                <w:w w:val="100"/>
                <w:position w:val="0"/>
                <w:sz w:val="24"/>
                <w:szCs w:val="24"/>
                <w:lang w:val="en-US" w:eastAsia="zh-CN" w:bidi="en-US"/>
              </w:rPr>
            </w:pPr>
            <w:r>
              <w:rPr>
                <w:rFonts w:hint="eastAsia" w:ascii="仿宋" w:hAnsi="仿宋" w:eastAsia="仿宋" w:cs="仿宋"/>
                <w:b w:val="0"/>
                <w:bCs w:val="0"/>
                <w:color w:val="000000"/>
                <w:spacing w:val="0"/>
                <w:w w:val="100"/>
                <w:position w:val="0"/>
                <w:sz w:val="24"/>
                <w:szCs w:val="24"/>
                <w:lang w:val="en-US" w:eastAsia="zh-CN" w:bidi="en-US"/>
              </w:rPr>
              <w:t>90.21%</w:t>
            </w:r>
          </w:p>
        </w:tc>
      </w:tr>
    </w:tbl>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eastAsia" w:ascii="楷体" w:hAnsi="楷体" w:eastAsia="楷体" w:cs="楷体"/>
          <w:color w:val="000000"/>
          <w:spacing w:val="0"/>
          <w:w w:val="100"/>
          <w:position w:val="0"/>
          <w:sz w:val="32"/>
          <w:szCs w:val="32"/>
          <w:highlight w:val="none"/>
          <w:lang w:eastAsia="zh-CN"/>
        </w:rPr>
      </w:pPr>
      <w:r>
        <w:rPr>
          <w:rFonts w:hint="eastAsia" w:ascii="楷体" w:hAnsi="楷体" w:eastAsia="楷体" w:cs="楷体"/>
          <w:color w:val="000000"/>
          <w:spacing w:val="0"/>
          <w:w w:val="100"/>
          <w:position w:val="0"/>
          <w:sz w:val="32"/>
          <w:szCs w:val="32"/>
          <w:highlight w:val="none"/>
          <w:lang w:eastAsia="zh-CN"/>
        </w:rPr>
        <w:t>（</w:t>
      </w:r>
      <w:r>
        <w:rPr>
          <w:rFonts w:hint="eastAsia" w:ascii="楷体" w:hAnsi="楷体" w:eastAsia="楷体" w:cs="楷体"/>
          <w:color w:val="000000"/>
          <w:spacing w:val="0"/>
          <w:w w:val="100"/>
          <w:position w:val="0"/>
          <w:sz w:val="32"/>
          <w:szCs w:val="32"/>
          <w:highlight w:val="none"/>
          <w:lang w:val="en-US" w:eastAsia="zh-CN"/>
        </w:rPr>
        <w:t>二）</w:t>
      </w:r>
      <w:r>
        <w:rPr>
          <w:rFonts w:hint="eastAsia" w:ascii="楷体" w:hAnsi="楷体" w:eastAsia="楷体" w:cs="楷体"/>
          <w:color w:val="000000"/>
          <w:spacing w:val="0"/>
          <w:w w:val="100"/>
          <w:position w:val="0"/>
          <w:sz w:val="32"/>
          <w:szCs w:val="32"/>
          <w:highlight w:val="none"/>
          <w:lang w:eastAsia="zh-CN"/>
        </w:rPr>
        <w:t>绩效目标完成情况</w:t>
      </w:r>
      <w:bookmarkStart w:id="1" w:name="bookmark5"/>
      <w:bookmarkEnd w:id="1"/>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eastAsia" w:ascii="楷体" w:hAnsi="楷体" w:eastAsia="楷体" w:cs="楷体"/>
          <w:color w:val="000000"/>
          <w:spacing w:val="0"/>
          <w:w w:val="100"/>
          <w:position w:val="0"/>
          <w:sz w:val="32"/>
          <w:szCs w:val="32"/>
          <w:highlight w:val="none"/>
          <w:lang w:eastAsia="zh-CN"/>
        </w:rPr>
      </w:pPr>
      <w:r>
        <w:rPr>
          <w:rFonts w:hint="eastAsia" w:ascii="楷体" w:hAnsi="楷体" w:eastAsia="楷体" w:cs="楷体"/>
          <w:color w:val="000000"/>
          <w:spacing w:val="0"/>
          <w:w w:val="100"/>
          <w:position w:val="0"/>
          <w:sz w:val="32"/>
          <w:szCs w:val="32"/>
          <w:highlight w:val="none"/>
          <w:lang w:val="en-US" w:eastAsia="zh-CN"/>
        </w:rPr>
        <w:t>1.</w:t>
      </w:r>
      <w:r>
        <w:rPr>
          <w:rFonts w:hint="eastAsia" w:ascii="楷体" w:hAnsi="楷体" w:eastAsia="楷体" w:cs="楷体"/>
          <w:color w:val="000000"/>
          <w:spacing w:val="0"/>
          <w:w w:val="100"/>
          <w:position w:val="0"/>
          <w:sz w:val="32"/>
          <w:szCs w:val="32"/>
          <w:highlight w:val="none"/>
          <w:lang w:eastAsia="zh-CN"/>
        </w:rPr>
        <w:t>执行率情况</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eastAsia" w:ascii="楷体" w:hAnsi="楷体" w:eastAsia="楷体" w:cs="楷体"/>
          <w:color w:val="000000"/>
          <w:spacing w:val="0"/>
          <w:w w:val="100"/>
          <w:position w:val="0"/>
          <w:sz w:val="32"/>
          <w:szCs w:val="32"/>
          <w:highlight w:val="yellow"/>
          <w:lang w:eastAsia="zh-CN"/>
        </w:rPr>
      </w:pPr>
      <w:r>
        <w:rPr>
          <w:rFonts w:hint="eastAsia" w:ascii="仿宋" w:hAnsi="仿宋" w:eastAsia="仿宋" w:cs="仿宋"/>
          <w:color w:val="000000"/>
          <w:spacing w:val="0"/>
          <w:w w:val="100"/>
          <w:position w:val="0"/>
          <w:sz w:val="32"/>
          <w:szCs w:val="32"/>
          <w:highlight w:val="none"/>
          <w:lang w:val="en-US" w:eastAsia="zh-CN"/>
        </w:rPr>
        <w:t>征地和拆迁补偿支出项目</w:t>
      </w:r>
      <w:r>
        <w:rPr>
          <w:rFonts w:hint="eastAsia" w:ascii="仿宋" w:hAnsi="仿宋" w:eastAsia="仿宋" w:cs="仿宋"/>
          <w:color w:val="000000"/>
          <w:spacing w:val="0"/>
          <w:w w:val="100"/>
          <w:position w:val="0"/>
          <w:sz w:val="32"/>
          <w:szCs w:val="32"/>
          <w:highlight w:val="none"/>
        </w:rPr>
        <w:t>20</w:t>
      </w:r>
      <w:r>
        <w:rPr>
          <w:rFonts w:hint="eastAsia" w:ascii="仿宋" w:hAnsi="仿宋" w:eastAsia="仿宋" w:cs="仿宋"/>
          <w:color w:val="000000"/>
          <w:spacing w:val="0"/>
          <w:w w:val="100"/>
          <w:position w:val="0"/>
          <w:sz w:val="32"/>
          <w:szCs w:val="32"/>
          <w:highlight w:val="none"/>
          <w:lang w:val="en-US" w:eastAsia="zh-CN"/>
        </w:rPr>
        <w:t>21年度</w:t>
      </w:r>
      <w:r>
        <w:rPr>
          <w:rFonts w:hint="eastAsia" w:ascii="仿宋" w:hAnsi="仿宋" w:eastAsia="仿宋" w:cs="仿宋"/>
          <w:color w:val="000000"/>
          <w:spacing w:val="0"/>
          <w:w w:val="100"/>
          <w:position w:val="0"/>
          <w:sz w:val="32"/>
          <w:szCs w:val="32"/>
          <w:highlight w:val="none"/>
        </w:rPr>
        <w:t>年初预算为</w:t>
      </w:r>
      <w:r>
        <w:rPr>
          <w:rFonts w:hint="eastAsia" w:ascii="仿宋" w:hAnsi="仿宋" w:eastAsia="仿宋" w:cs="仿宋"/>
          <w:color w:val="000000"/>
          <w:spacing w:val="0"/>
          <w:w w:val="100"/>
          <w:position w:val="0"/>
          <w:sz w:val="32"/>
          <w:szCs w:val="32"/>
          <w:highlight w:val="none"/>
          <w:lang w:val="en-US" w:eastAsia="zh-CN"/>
        </w:rPr>
        <w:t>25225</w:t>
      </w:r>
      <w:r>
        <w:rPr>
          <w:rFonts w:hint="eastAsia" w:ascii="仿宋" w:hAnsi="仿宋" w:eastAsia="仿宋" w:cs="仿宋"/>
          <w:color w:val="000000"/>
          <w:spacing w:val="0"/>
          <w:w w:val="100"/>
          <w:position w:val="0"/>
          <w:sz w:val="32"/>
          <w:szCs w:val="32"/>
          <w:highlight w:val="none"/>
        </w:rPr>
        <w:t>万元，</w:t>
      </w:r>
      <w:r>
        <w:rPr>
          <w:rFonts w:hint="eastAsia" w:ascii="仿宋" w:hAnsi="仿宋" w:eastAsia="仿宋" w:cs="仿宋"/>
          <w:color w:val="000000"/>
          <w:spacing w:val="0"/>
          <w:w w:val="100"/>
          <w:position w:val="0"/>
          <w:sz w:val="32"/>
          <w:szCs w:val="32"/>
          <w:highlight w:val="none"/>
          <w:lang w:val="en-US" w:eastAsia="zh-CN"/>
        </w:rPr>
        <w:t>项目明细账</w:t>
      </w:r>
      <w:r>
        <w:rPr>
          <w:rFonts w:hint="eastAsia" w:ascii="仿宋" w:hAnsi="仿宋" w:eastAsia="仿宋" w:cs="仿宋"/>
          <w:color w:val="000000"/>
          <w:spacing w:val="0"/>
          <w:w w:val="100"/>
          <w:position w:val="0"/>
          <w:sz w:val="32"/>
          <w:szCs w:val="32"/>
          <w:highlight w:val="none"/>
        </w:rPr>
        <w:t>支出</w:t>
      </w:r>
      <w:r>
        <w:rPr>
          <w:rFonts w:hint="eastAsia" w:ascii="仿宋" w:hAnsi="仿宋" w:eastAsia="仿宋" w:cs="仿宋"/>
          <w:color w:val="000000"/>
          <w:spacing w:val="0"/>
          <w:w w:val="100"/>
          <w:position w:val="0"/>
          <w:sz w:val="32"/>
          <w:szCs w:val="32"/>
          <w:highlight w:val="none"/>
          <w:lang w:val="en-US" w:eastAsia="zh-CN"/>
        </w:rPr>
        <w:t>总额为15298.95</w:t>
      </w:r>
      <w:r>
        <w:rPr>
          <w:rFonts w:hint="eastAsia" w:ascii="仿宋" w:hAnsi="仿宋" w:eastAsia="仿宋" w:cs="仿宋"/>
          <w:color w:val="000000"/>
          <w:spacing w:val="0"/>
          <w:w w:val="100"/>
          <w:position w:val="0"/>
          <w:sz w:val="32"/>
          <w:szCs w:val="32"/>
          <w:highlight w:val="none"/>
        </w:rPr>
        <w:t>万元</w:t>
      </w:r>
      <w:r>
        <w:rPr>
          <w:rFonts w:hint="eastAsia" w:ascii="仿宋" w:hAnsi="仿宋" w:eastAsia="仿宋" w:cs="仿宋"/>
          <w:color w:val="000000"/>
          <w:spacing w:val="0"/>
          <w:w w:val="100"/>
          <w:position w:val="0"/>
          <w:sz w:val="32"/>
          <w:szCs w:val="32"/>
          <w:highlight w:val="none"/>
          <w:lang w:eastAsia="zh-CN"/>
        </w:rPr>
        <w:t>。</w:t>
      </w:r>
      <w:r>
        <w:rPr>
          <w:rFonts w:hint="eastAsia" w:ascii="仿宋" w:hAnsi="仿宋" w:eastAsia="仿宋" w:cs="仿宋"/>
          <w:color w:val="000000"/>
          <w:spacing w:val="0"/>
          <w:w w:val="100"/>
          <w:position w:val="0"/>
          <w:sz w:val="32"/>
          <w:szCs w:val="32"/>
          <w:highlight w:val="none"/>
          <w:lang w:val="en-US" w:eastAsia="zh-CN"/>
        </w:rPr>
        <w:t>经区财政局批复，从此项目中支出土地储备金项目缺口资金4937.42万元，预算金额与支出金额同时调减包含的此金额，预算金额调减至20287.58万元，该项目实际支出为10361.53万元，</w:t>
      </w:r>
      <w:r>
        <w:rPr>
          <w:rFonts w:hint="eastAsia" w:ascii="仿宋" w:hAnsi="仿宋" w:eastAsia="仿宋" w:cs="仿宋"/>
          <w:color w:val="000000"/>
          <w:spacing w:val="0"/>
          <w:w w:val="100"/>
          <w:position w:val="0"/>
          <w:sz w:val="32"/>
          <w:szCs w:val="32"/>
          <w:highlight w:val="none"/>
        </w:rPr>
        <w:t>实际预算执行率为</w:t>
      </w:r>
      <w:r>
        <w:rPr>
          <w:rFonts w:hint="eastAsia" w:ascii="仿宋" w:hAnsi="仿宋" w:eastAsia="仿宋" w:cs="仿宋"/>
          <w:color w:val="000000"/>
          <w:spacing w:val="0"/>
          <w:w w:val="100"/>
          <w:position w:val="0"/>
          <w:sz w:val="32"/>
          <w:szCs w:val="32"/>
          <w:highlight w:val="none"/>
          <w:lang w:val="en-US" w:eastAsia="zh-CN"/>
        </w:rPr>
        <w:t>51.07</w:t>
      </w:r>
      <w:r>
        <w:rPr>
          <w:rFonts w:hint="eastAsia" w:ascii="仿宋" w:hAnsi="仿宋" w:eastAsia="仿宋" w:cs="仿宋"/>
          <w:color w:val="000000"/>
          <w:spacing w:val="0"/>
          <w:w w:val="100"/>
          <w:position w:val="0"/>
          <w:sz w:val="32"/>
          <w:szCs w:val="32"/>
          <w:highlight w:val="none"/>
          <w:lang w:val="en-US" w:eastAsia="en-US"/>
        </w:rPr>
        <w:t>%</w:t>
      </w:r>
      <w:r>
        <w:rPr>
          <w:rFonts w:hint="eastAsia" w:ascii="仿宋" w:hAnsi="仿宋" w:eastAsia="仿宋" w:cs="仿宋"/>
          <w:color w:val="000000"/>
          <w:spacing w:val="0"/>
          <w:w w:val="100"/>
          <w:position w:val="0"/>
          <w:sz w:val="32"/>
          <w:szCs w:val="32"/>
          <w:highlight w:val="none"/>
          <w:lang w:val="en-US" w:eastAsia="zh-CN"/>
        </w:rPr>
        <w:t>。具体支出为新增建设用地有偿使用费9956.65万元；森林植被恢复费41.61万元；测量公证登记服务费363.27万元。</w:t>
      </w:r>
    </w:p>
    <w:p>
      <w:pPr>
        <w:pStyle w:val="20"/>
        <w:spacing w:line="560" w:lineRule="exact"/>
        <w:jc w:val="both"/>
        <w:rPr>
          <w:rFonts w:hint="eastAsia" w:ascii="楷体" w:hAnsi="楷体" w:eastAsia="楷体" w:cs="楷体"/>
          <w:color w:val="000000"/>
          <w:spacing w:val="0"/>
          <w:w w:val="100"/>
          <w:position w:val="0"/>
          <w:sz w:val="32"/>
          <w:szCs w:val="32"/>
          <w:highlight w:val="none"/>
          <w:lang w:val="en-US" w:eastAsia="zh-CN"/>
        </w:rPr>
      </w:pPr>
      <w:r>
        <w:rPr>
          <w:rFonts w:hint="eastAsia" w:ascii="仿宋_GB2312" w:hAnsi="仿宋" w:eastAsia="仿宋_GB2312"/>
          <w:sz w:val="24"/>
          <w:szCs w:val="28"/>
          <w:highlight w:val="none"/>
          <w:lang w:val="en-US" w:eastAsia="zh-CN"/>
        </w:rPr>
        <w:t xml:space="preserve">     </w:t>
      </w:r>
      <w:bookmarkStart w:id="2" w:name="bookmark6"/>
      <w:bookmarkEnd w:id="2"/>
      <w:r>
        <w:rPr>
          <w:rFonts w:hint="eastAsia" w:ascii="楷体" w:hAnsi="楷体" w:eastAsia="楷体" w:cs="楷体"/>
          <w:color w:val="000000"/>
          <w:spacing w:val="0"/>
          <w:w w:val="100"/>
          <w:position w:val="0"/>
          <w:sz w:val="32"/>
          <w:szCs w:val="32"/>
          <w:highlight w:val="none"/>
          <w:lang w:val="en-US" w:eastAsia="zh-CN"/>
        </w:rPr>
        <w:t>2.完成的绩效目标</w:t>
      </w:r>
    </w:p>
    <w:tbl>
      <w:tblPr>
        <w:tblStyle w:val="8"/>
        <w:tblW w:w="8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739"/>
        <w:gridCol w:w="1620"/>
        <w:gridCol w:w="1489"/>
        <w:gridCol w:w="1601"/>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236"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一级指标</w:t>
            </w:r>
          </w:p>
        </w:tc>
        <w:tc>
          <w:tcPr>
            <w:tcW w:w="173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二级指标</w:t>
            </w:r>
          </w:p>
        </w:tc>
        <w:tc>
          <w:tcPr>
            <w:tcW w:w="1620"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三级指标</w:t>
            </w:r>
          </w:p>
        </w:tc>
        <w:tc>
          <w:tcPr>
            <w:tcW w:w="148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年初目标值（A）</w:t>
            </w:r>
          </w:p>
        </w:tc>
        <w:tc>
          <w:tcPr>
            <w:tcW w:w="160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实际完成值（B）</w:t>
            </w:r>
          </w:p>
        </w:tc>
        <w:tc>
          <w:tcPr>
            <w:tcW w:w="88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236" w:type="dxa"/>
            <w:vMerge w:val="restart"/>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产出指标（40分）</w:t>
            </w:r>
          </w:p>
        </w:tc>
        <w:tc>
          <w:tcPr>
            <w:tcW w:w="173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数量指标  （20分）</w:t>
            </w:r>
          </w:p>
        </w:tc>
        <w:tc>
          <w:tcPr>
            <w:tcW w:w="1620"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项目数量</w:t>
            </w:r>
          </w:p>
        </w:tc>
        <w:tc>
          <w:tcPr>
            <w:tcW w:w="148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c>
          <w:tcPr>
            <w:tcW w:w="160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12</w:t>
            </w:r>
          </w:p>
        </w:tc>
        <w:tc>
          <w:tcPr>
            <w:tcW w:w="88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1236" w:type="dxa"/>
            <w:vMerge w:val="continue"/>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173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质量指标  （10分）</w:t>
            </w:r>
          </w:p>
        </w:tc>
        <w:tc>
          <w:tcPr>
            <w:tcW w:w="1620"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项目正常储备</w:t>
            </w:r>
          </w:p>
        </w:tc>
        <w:tc>
          <w:tcPr>
            <w:tcW w:w="148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≧90%</w:t>
            </w:r>
          </w:p>
        </w:tc>
        <w:tc>
          <w:tcPr>
            <w:tcW w:w="160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120%</w:t>
            </w:r>
          </w:p>
        </w:tc>
        <w:tc>
          <w:tcPr>
            <w:tcW w:w="88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6" w:type="dxa"/>
            <w:vMerge w:val="continue"/>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173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时效指标   （5分）</w:t>
            </w:r>
          </w:p>
        </w:tc>
        <w:tc>
          <w:tcPr>
            <w:tcW w:w="1620"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按时区级规定时间内缴纳/按时通过市级验收</w:t>
            </w:r>
          </w:p>
        </w:tc>
        <w:tc>
          <w:tcPr>
            <w:tcW w:w="148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160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88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6" w:type="dxa"/>
            <w:vMerge w:val="continue"/>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173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成本指标   （5分）</w:t>
            </w:r>
          </w:p>
        </w:tc>
        <w:tc>
          <w:tcPr>
            <w:tcW w:w="1620"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资金使用率</w:t>
            </w:r>
          </w:p>
        </w:tc>
        <w:tc>
          <w:tcPr>
            <w:tcW w:w="148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160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51.07%</w:t>
            </w:r>
          </w:p>
        </w:tc>
        <w:tc>
          <w:tcPr>
            <w:tcW w:w="88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36" w:type="dxa"/>
            <w:vMerge w:val="restart"/>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效益指标</w:t>
            </w:r>
          </w:p>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（30分）</w:t>
            </w:r>
          </w:p>
        </w:tc>
        <w:tc>
          <w:tcPr>
            <w:tcW w:w="173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w:t>
            </w:r>
          </w:p>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指标（20分）</w:t>
            </w:r>
          </w:p>
        </w:tc>
        <w:tc>
          <w:tcPr>
            <w:tcW w:w="1620"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政务公开社会影响力</w:t>
            </w:r>
          </w:p>
        </w:tc>
        <w:tc>
          <w:tcPr>
            <w:tcW w:w="148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60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88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6" w:type="dxa"/>
            <w:vMerge w:val="continue"/>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173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可持续</w:t>
            </w:r>
          </w:p>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影响指标  （10分）</w:t>
            </w:r>
          </w:p>
        </w:tc>
        <w:tc>
          <w:tcPr>
            <w:tcW w:w="1620"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促进收储项目进行</w:t>
            </w:r>
          </w:p>
        </w:tc>
        <w:tc>
          <w:tcPr>
            <w:tcW w:w="148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≥90%</w:t>
            </w:r>
          </w:p>
        </w:tc>
        <w:tc>
          <w:tcPr>
            <w:tcW w:w="160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95.74%</w:t>
            </w:r>
          </w:p>
        </w:tc>
        <w:tc>
          <w:tcPr>
            <w:tcW w:w="88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36"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满意度</w:t>
            </w:r>
          </w:p>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指标</w:t>
            </w:r>
          </w:p>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（10分）</w:t>
            </w:r>
          </w:p>
        </w:tc>
        <w:tc>
          <w:tcPr>
            <w:tcW w:w="173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服务对象</w:t>
            </w:r>
          </w:p>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满意度指标（10分）</w:t>
            </w:r>
          </w:p>
        </w:tc>
        <w:tc>
          <w:tcPr>
            <w:tcW w:w="1620"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业务科室满意度</w:t>
            </w:r>
          </w:p>
        </w:tc>
        <w:tc>
          <w:tcPr>
            <w:tcW w:w="1489"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≥90%</w:t>
            </w:r>
          </w:p>
        </w:tc>
        <w:tc>
          <w:tcPr>
            <w:tcW w:w="160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100%</w:t>
            </w:r>
          </w:p>
        </w:tc>
        <w:tc>
          <w:tcPr>
            <w:tcW w:w="881"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bl>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bookmarkStart w:id="3" w:name="bookmark7"/>
      <w:bookmarkEnd w:id="3"/>
      <w:r>
        <w:rPr>
          <w:rFonts w:hint="eastAsia" w:ascii="楷体" w:hAnsi="楷体" w:eastAsia="楷体" w:cs="楷体"/>
          <w:color w:val="000000"/>
          <w:spacing w:val="0"/>
          <w:w w:val="100"/>
          <w:position w:val="0"/>
          <w:sz w:val="32"/>
          <w:szCs w:val="32"/>
          <w:highlight w:val="none"/>
          <w:lang w:val="en-US" w:eastAsia="zh-CN"/>
        </w:rPr>
        <w:t>3.未完成的绩效目标</w:t>
      </w:r>
    </w:p>
    <w:tbl>
      <w:tblPr>
        <w:tblStyle w:val="8"/>
        <w:tblW w:w="8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4"/>
        <w:gridCol w:w="1613"/>
        <w:gridCol w:w="1788"/>
        <w:gridCol w:w="1582"/>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4" w:type="dxa"/>
            <w:vMerge w:val="restart"/>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预算执行</w:t>
            </w:r>
          </w:p>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情况（万元）</w:t>
            </w:r>
          </w:p>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（20分）</w:t>
            </w:r>
          </w:p>
        </w:tc>
        <w:tc>
          <w:tcPr>
            <w:tcW w:w="1613"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项目</w:t>
            </w:r>
          </w:p>
        </w:tc>
        <w:tc>
          <w:tcPr>
            <w:tcW w:w="1788"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预算数（A）</w:t>
            </w:r>
          </w:p>
        </w:tc>
        <w:tc>
          <w:tcPr>
            <w:tcW w:w="1582"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执行数（B）</w:t>
            </w:r>
          </w:p>
        </w:tc>
        <w:tc>
          <w:tcPr>
            <w:tcW w:w="1620"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执行率（B/A）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34" w:type="dxa"/>
            <w:vMerge w:val="continue"/>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1613"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年度财政资金总额</w:t>
            </w:r>
          </w:p>
        </w:tc>
        <w:tc>
          <w:tcPr>
            <w:tcW w:w="1788"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20287.58</w:t>
            </w:r>
          </w:p>
        </w:tc>
        <w:tc>
          <w:tcPr>
            <w:tcW w:w="1582"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10361.53</w:t>
            </w:r>
          </w:p>
        </w:tc>
        <w:tc>
          <w:tcPr>
            <w:tcW w:w="1620" w:type="dxa"/>
            <w:noWrap w:val="0"/>
            <w:vAlign w:val="center"/>
          </w:tcPr>
          <w:p>
            <w:pPr>
              <w:keepNext w:val="0"/>
              <w:keepLines w:val="0"/>
              <w:widowControl/>
              <w:suppressLineNumbers w:val="0"/>
              <w:shd w:val="clear" w:color="auto" w:fill="auto"/>
              <w:ind w:left="0" w:leftChars="0" w:right="0" w:rightChars="0" w:firstLine="0" w:firstLineChars="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51.07%</w:t>
            </w:r>
          </w:p>
        </w:tc>
      </w:tr>
    </w:tbl>
    <w:p>
      <w:pPr>
        <w:pStyle w:val="14"/>
        <w:keepNext w:val="0"/>
        <w:keepLines w:val="0"/>
        <w:pageBreakBefore w:val="0"/>
        <w:widowControl w:val="0"/>
        <w:numPr>
          <w:ilvl w:val="0"/>
          <w:numId w:val="1"/>
        </w:numPr>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b w:val="0"/>
          <w:bCs w:val="0"/>
          <w:color w:val="000000"/>
          <w:spacing w:val="0"/>
          <w:w w:val="100"/>
          <w:position w:val="0"/>
          <w:sz w:val="32"/>
          <w:szCs w:val="32"/>
          <w:highlight w:val="none"/>
        </w:rPr>
      </w:pPr>
      <w:r>
        <w:rPr>
          <w:rFonts w:hint="eastAsia" w:ascii="楷体" w:hAnsi="楷体" w:eastAsia="楷体" w:cs="楷体"/>
          <w:b w:val="0"/>
          <w:bCs w:val="0"/>
          <w:color w:val="000000"/>
          <w:spacing w:val="0"/>
          <w:w w:val="100"/>
          <w:position w:val="0"/>
          <w:sz w:val="32"/>
          <w:szCs w:val="32"/>
          <w:highlight w:val="none"/>
        </w:rPr>
        <w:t>存在的问题和原因</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pacing w:before="0" w:after="0" w:line="560" w:lineRule="exact"/>
        <w:ind w:right="0" w:rightChars="0" w:firstLine="640" w:firstLineChars="200"/>
        <w:jc w:val="both"/>
        <w:textAlignment w:val="auto"/>
        <w:rPr>
          <w:rFonts w:hint="default" w:ascii="仿宋" w:hAnsi="仿宋" w:eastAsia="仿宋" w:cs="仿宋"/>
          <w:color w:val="000000"/>
          <w:spacing w:val="0"/>
          <w:w w:val="100"/>
          <w:position w:val="0"/>
          <w:sz w:val="32"/>
          <w:szCs w:val="32"/>
          <w:highlight w:val="yellow"/>
          <w:u w:val="none"/>
          <w:shd w:val="clear" w:color="auto" w:fill="auto"/>
          <w:lang w:val="en-US" w:eastAsia="zh-CN" w:bidi="zh-TW"/>
        </w:rPr>
      </w:pPr>
      <w:bookmarkStart w:id="4" w:name="bookmark9"/>
      <w:r>
        <w:rPr>
          <w:rFonts w:hint="eastAsia" w:ascii="仿宋" w:hAnsi="仿宋" w:eastAsia="仿宋" w:cs="仿宋"/>
          <w:color w:val="000000"/>
          <w:spacing w:val="0"/>
          <w:w w:val="100"/>
          <w:position w:val="0"/>
          <w:sz w:val="32"/>
          <w:szCs w:val="32"/>
          <w:u w:val="none"/>
          <w:shd w:val="clear" w:color="auto" w:fill="auto"/>
          <w:lang w:val="en-US" w:eastAsia="zh-CN" w:bidi="zh-TW"/>
        </w:rPr>
        <w:t>1.预算指标执行率过低，形成偏差的主要原因：一是2021年实际支出与土地收储面积息息相关，受各方面原因影响本年度农用地转用率低于其他年度；二是2021年征地和拆迁补偿支出项目年初预算25225万元，包括印花税305万元、耕地占用税6500万元、补偿费6600万元、新增有偿使用费10400万元、耕地开垦费820万元、森林植被恢复费160万元、测量评估登记费360万元、其他80万元，其中补偿费6600万元预算项目支出由财政局直接将补偿费拨付给了街道，导致此项预算无法执行，预算执行率过低。</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auto"/>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2.部分</w:t>
      </w:r>
      <w:r>
        <w:rPr>
          <w:rFonts w:hint="eastAsia" w:ascii="仿宋" w:hAnsi="仿宋" w:eastAsia="仿宋" w:cs="仿宋"/>
          <w:color w:val="auto"/>
          <w:spacing w:val="0"/>
          <w:w w:val="100"/>
          <w:position w:val="0"/>
          <w:sz w:val="32"/>
          <w:szCs w:val="32"/>
          <w:highlight w:val="none"/>
          <w:lang w:val="en-US" w:eastAsia="zh-CN"/>
        </w:rPr>
        <w:t>绩效指标设置不合理、不全面，指标内容设置表述不准确、不清晰。如2021年预算包含6600万补偿费，未对此项目支出设置绩效考核指标；成本</w:t>
      </w:r>
      <w:r>
        <w:rPr>
          <w:rFonts w:hint="eastAsia" w:ascii="仿宋" w:hAnsi="仿宋" w:eastAsia="仿宋" w:cs="仿宋"/>
          <w:color w:val="000000"/>
          <w:spacing w:val="0"/>
          <w:w w:val="100"/>
          <w:position w:val="0"/>
          <w:sz w:val="32"/>
          <w:szCs w:val="32"/>
          <w:highlight w:val="none"/>
        </w:rPr>
        <w:t>指标</w:t>
      </w:r>
      <w:r>
        <w:rPr>
          <w:rFonts w:hint="eastAsia" w:ascii="仿宋" w:hAnsi="仿宋" w:eastAsia="仿宋" w:cs="仿宋"/>
          <w:color w:val="000000"/>
          <w:spacing w:val="0"/>
          <w:w w:val="100"/>
          <w:position w:val="0"/>
          <w:sz w:val="32"/>
          <w:szCs w:val="32"/>
          <w:highlight w:val="none"/>
          <w:lang w:eastAsia="zh-CN"/>
        </w:rPr>
        <w:t>“</w:t>
      </w:r>
      <w:r>
        <w:rPr>
          <w:rFonts w:hint="eastAsia" w:ascii="仿宋" w:hAnsi="仿宋" w:eastAsia="仿宋" w:cs="仿宋"/>
          <w:color w:val="000000"/>
          <w:spacing w:val="0"/>
          <w:w w:val="100"/>
          <w:position w:val="0"/>
          <w:sz w:val="32"/>
          <w:szCs w:val="32"/>
          <w:highlight w:val="none"/>
          <w:lang w:val="en-US" w:eastAsia="zh-CN"/>
        </w:rPr>
        <w:t>资金使用率”，此指标实际考核的是执行率，指标设定与预算执行率指标重复；</w:t>
      </w:r>
      <w:r>
        <w:rPr>
          <w:rFonts w:hint="eastAsia" w:ascii="仿宋" w:hAnsi="仿宋" w:eastAsia="仿宋" w:cs="仿宋"/>
          <w:color w:val="auto"/>
          <w:spacing w:val="0"/>
          <w:w w:val="100"/>
          <w:position w:val="0"/>
          <w:sz w:val="32"/>
          <w:szCs w:val="32"/>
          <w:highlight w:val="none"/>
          <w:lang w:val="en-US" w:eastAsia="zh-CN"/>
        </w:rPr>
        <w:t>社会效益指标“政务公开社会影响力”，实际是要表述征地和拆迁补偿项目对促进城乡建设、提升经济发展的影响。</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default" w:ascii="楷体" w:hAnsi="楷体" w:eastAsia="楷体" w:cs="楷体"/>
          <w:b w:val="0"/>
          <w:bCs w:val="0"/>
          <w:sz w:val="32"/>
          <w:szCs w:val="32"/>
          <w:highlight w:val="none"/>
          <w:lang w:val="en-US" w:eastAsia="zh-CN"/>
        </w:rPr>
      </w:pPr>
      <w:r>
        <w:rPr>
          <w:rFonts w:hint="eastAsia" w:ascii="楷体" w:hAnsi="楷体" w:eastAsia="楷体" w:cs="楷体"/>
          <w:b w:val="0"/>
          <w:bCs w:val="0"/>
          <w:color w:val="000000"/>
          <w:spacing w:val="0"/>
          <w:w w:val="100"/>
          <w:position w:val="0"/>
          <w:sz w:val="32"/>
          <w:szCs w:val="32"/>
          <w:highlight w:val="none"/>
          <w:lang w:eastAsia="zh-CN"/>
        </w:rPr>
        <w:t>（</w:t>
      </w:r>
      <w:r>
        <w:rPr>
          <w:rFonts w:hint="eastAsia" w:ascii="楷体" w:hAnsi="楷体" w:eastAsia="楷体" w:cs="楷体"/>
          <w:b w:val="0"/>
          <w:bCs w:val="0"/>
          <w:color w:val="000000"/>
          <w:spacing w:val="0"/>
          <w:w w:val="100"/>
          <w:position w:val="0"/>
          <w:sz w:val="32"/>
          <w:szCs w:val="32"/>
          <w:highlight w:val="none"/>
          <w:lang w:val="en-US" w:eastAsia="zh-CN"/>
        </w:rPr>
        <w:t>四）</w:t>
      </w:r>
      <w:bookmarkEnd w:id="4"/>
      <w:r>
        <w:rPr>
          <w:rFonts w:hint="eastAsia" w:ascii="楷体" w:hAnsi="楷体" w:eastAsia="楷体" w:cs="楷体"/>
          <w:b w:val="0"/>
          <w:bCs w:val="0"/>
          <w:color w:val="000000"/>
          <w:spacing w:val="0"/>
          <w:w w:val="100"/>
          <w:position w:val="0"/>
          <w:sz w:val="32"/>
          <w:szCs w:val="32"/>
          <w:highlight w:val="none"/>
          <w:lang w:val="en-US" w:eastAsia="zh-CN"/>
        </w:rPr>
        <w:t>下一步拟改进措施</w:t>
      </w:r>
    </w:p>
    <w:p>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1.</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年度预算执行中，根据实际情况，定期做好预算执行分析，掌握预算执行进度，及时找出预算实际执行情况与预算目标之间存在的差距，纠正偏差。</w:t>
      </w:r>
      <w:bookmarkStart w:id="5" w:name="_GoBack"/>
      <w:bookmarkEnd w:id="5"/>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2.进一步优化和改善指标体系，更科学的制定并细化绩效指标目标值，使绩效指标与实际工作结合更为紧密。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附件：征地和拆迁补偿支出项目自评表</w:t>
      </w:r>
    </w:p>
    <w:p>
      <w:pPr>
        <w:pStyle w:val="14"/>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黑体" w:hAnsi="黑体" w:eastAsia="黑体" w:cs="黑体"/>
          <w:color w:val="000000"/>
          <w:spacing w:val="0"/>
          <w:w w:val="100"/>
          <w:position w:val="0"/>
          <w:sz w:val="32"/>
          <w:szCs w:val="32"/>
          <w:highlight w:val="none"/>
          <w:u w:val="none"/>
          <w:shd w:val="clear" w:color="auto" w:fill="auto"/>
          <w:lang w:val="en-US" w:eastAsia="zh-CN" w:bidi="zh-TW"/>
        </w:rPr>
      </w:pPr>
      <w:r>
        <w:rPr>
          <w:rFonts w:hint="eastAsia" w:ascii="黑体" w:hAnsi="黑体" w:eastAsia="黑体" w:cs="黑体"/>
          <w:color w:val="000000"/>
          <w:spacing w:val="0"/>
          <w:w w:val="100"/>
          <w:position w:val="0"/>
          <w:sz w:val="32"/>
          <w:szCs w:val="32"/>
          <w:highlight w:val="none"/>
          <w:u w:val="none"/>
          <w:shd w:val="clear" w:color="auto" w:fill="auto"/>
          <w:lang w:val="en-US" w:eastAsia="zh-CN" w:bidi="zh-TW"/>
        </w:rPr>
        <w:t>二、佐证材料</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2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（一)基本情况</w:t>
      </w:r>
    </w:p>
    <w:p>
      <w:pPr>
        <w:pStyle w:val="20"/>
        <w:spacing w:line="560" w:lineRule="exact"/>
        <w:ind w:firstLine="585"/>
        <w:rPr>
          <w:rFonts w:hint="eastAsia" w:ascii="楷体" w:hAnsi="楷体" w:eastAsia="楷体" w:cs="楷体"/>
          <w:color w:val="000000"/>
          <w:spacing w:val="0"/>
          <w:w w:val="100"/>
          <w:position w:val="0"/>
          <w:sz w:val="32"/>
          <w:szCs w:val="32"/>
          <w:u w:val="none"/>
          <w:shd w:val="clear" w:color="auto" w:fill="auto"/>
          <w:lang w:val="en-US" w:eastAsia="zh-CN" w:bidi="zh-TW"/>
        </w:rPr>
      </w:pPr>
      <w:r>
        <w:rPr>
          <w:rFonts w:hint="eastAsia" w:ascii="楷体" w:hAnsi="楷体" w:eastAsia="楷体" w:cs="楷体"/>
          <w:color w:val="000000"/>
          <w:spacing w:val="0"/>
          <w:w w:val="100"/>
          <w:position w:val="0"/>
          <w:sz w:val="32"/>
          <w:szCs w:val="32"/>
          <w:u w:val="none"/>
          <w:shd w:val="clear" w:color="auto" w:fill="auto"/>
          <w:lang w:val="en-US" w:eastAsia="zh-CN" w:bidi="zh-TW"/>
        </w:rPr>
        <w:t>1.项目立项目的和年度绩效目标</w:t>
      </w:r>
    </w:p>
    <w:p>
      <w:pPr>
        <w:pStyle w:val="20"/>
        <w:spacing w:line="560" w:lineRule="exact"/>
        <w:ind w:firstLine="640" w:firstLineChars="200"/>
        <w:rPr>
          <w:rFonts w:hint="eastAsia" w:ascii="仿宋" w:hAnsi="仿宋" w:eastAsia="仿宋" w:cs="仿宋"/>
          <w:color w:val="000000"/>
          <w:spacing w:val="0"/>
          <w:w w:val="100"/>
          <w:position w:val="0"/>
          <w:sz w:val="32"/>
          <w:szCs w:val="32"/>
          <w:highlight w:val="none"/>
          <w:u w:val="none"/>
          <w:shd w:val="clear" w:color="auto" w:fill="auto"/>
          <w:lang w:val="zh-TW" w:eastAsia="zh-CN" w:bidi="zh-TW"/>
        </w:rPr>
      </w:pP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1）</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征地和拆迁补偿支出设立的目的</w:t>
      </w:r>
    </w:p>
    <w:p>
      <w:pPr>
        <w:pStyle w:val="20"/>
        <w:spacing w:line="560" w:lineRule="exact"/>
        <w:ind w:firstLine="640" w:firstLineChars="200"/>
        <w:rPr>
          <w:rFonts w:hint="eastAsia" w:ascii="仿宋" w:hAnsi="仿宋" w:eastAsia="仿宋" w:cs="仿宋"/>
          <w:color w:val="000000"/>
          <w:spacing w:val="0"/>
          <w:w w:val="100"/>
          <w:position w:val="0"/>
          <w:sz w:val="32"/>
          <w:szCs w:val="32"/>
          <w:highlight w:val="none"/>
          <w:u w:val="none"/>
          <w:shd w:val="clear" w:color="auto" w:fill="auto"/>
          <w:lang w:val="zh-TW"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根据</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w:t>
      </w:r>
      <w:r>
        <w:rPr>
          <w:rFonts w:hint="default" w:ascii="仿宋" w:hAnsi="仿宋" w:eastAsia="仿宋" w:cs="仿宋"/>
          <w:color w:val="000000"/>
          <w:spacing w:val="0"/>
          <w:w w:val="100"/>
          <w:position w:val="0"/>
          <w:sz w:val="32"/>
          <w:szCs w:val="32"/>
          <w:highlight w:val="none"/>
          <w:u w:val="none"/>
          <w:shd w:val="clear" w:color="auto" w:fill="auto"/>
          <w:lang w:val="zh-TW" w:eastAsia="zh-CN" w:bidi="zh-TW"/>
        </w:rPr>
        <w:t>中华人民共和国土地管理法</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湖北省土地管理实施办法》、</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《财政部、国土资源部、中国人民银行关于调整新增建设用地土地有偿使用费政策等问题的通知》（财综[2006]48号）</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等文件要求，</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为了加强</w:t>
      </w:r>
      <w:r>
        <w:rPr>
          <w:rFonts w:hint="default" w:ascii="仿宋" w:hAnsi="仿宋" w:eastAsia="仿宋" w:cs="仿宋"/>
          <w:color w:val="000000"/>
          <w:spacing w:val="0"/>
          <w:w w:val="100"/>
          <w:position w:val="0"/>
          <w:sz w:val="32"/>
          <w:szCs w:val="32"/>
          <w:highlight w:val="none"/>
          <w:u w:val="none"/>
          <w:shd w:val="clear" w:color="auto" w:fill="auto"/>
          <w:lang w:val="zh-TW" w:eastAsia="zh-CN" w:bidi="zh-TW"/>
        </w:rPr>
        <w:fldChar w:fldCharType="begin"/>
      </w:r>
      <w:r>
        <w:rPr>
          <w:rFonts w:hint="default" w:ascii="仿宋" w:hAnsi="仿宋" w:eastAsia="仿宋" w:cs="仿宋"/>
          <w:color w:val="000000"/>
          <w:spacing w:val="0"/>
          <w:w w:val="100"/>
          <w:position w:val="0"/>
          <w:sz w:val="32"/>
          <w:szCs w:val="32"/>
          <w:highlight w:val="none"/>
          <w:u w:val="none"/>
          <w:shd w:val="clear" w:color="auto" w:fill="auto"/>
          <w:lang w:val="zh-TW" w:eastAsia="zh-CN" w:bidi="zh-TW"/>
        </w:rPr>
        <w:instrText xml:space="preserve"> HYPERLINK "https://baike.so.com/doc/6566577-6780336.html" \t "https://baike.so.com/doc/_blank" </w:instrText>
      </w:r>
      <w:r>
        <w:rPr>
          <w:rFonts w:hint="default" w:ascii="仿宋" w:hAnsi="仿宋" w:eastAsia="仿宋" w:cs="仿宋"/>
          <w:color w:val="000000"/>
          <w:spacing w:val="0"/>
          <w:w w:val="100"/>
          <w:position w:val="0"/>
          <w:sz w:val="32"/>
          <w:szCs w:val="32"/>
          <w:highlight w:val="none"/>
          <w:u w:val="none"/>
          <w:shd w:val="clear" w:color="auto" w:fill="auto"/>
          <w:lang w:val="zh-TW" w:eastAsia="zh-CN" w:bidi="zh-TW"/>
        </w:rPr>
        <w:fldChar w:fldCharType="separate"/>
      </w:r>
      <w:r>
        <w:rPr>
          <w:rFonts w:hint="default" w:ascii="仿宋" w:hAnsi="仿宋" w:eastAsia="仿宋" w:cs="仿宋"/>
          <w:color w:val="000000"/>
          <w:spacing w:val="0"/>
          <w:w w:val="100"/>
          <w:position w:val="0"/>
          <w:sz w:val="32"/>
          <w:szCs w:val="32"/>
          <w:highlight w:val="none"/>
          <w:u w:val="none"/>
          <w:shd w:val="clear" w:color="auto" w:fill="auto"/>
          <w:lang w:val="zh-TW" w:eastAsia="zh-CN" w:bidi="zh-TW"/>
        </w:rPr>
        <w:t>土地管理</w:t>
      </w:r>
      <w:r>
        <w:rPr>
          <w:rFonts w:hint="default" w:ascii="仿宋" w:hAnsi="仿宋" w:eastAsia="仿宋" w:cs="仿宋"/>
          <w:color w:val="000000"/>
          <w:spacing w:val="0"/>
          <w:w w:val="100"/>
          <w:position w:val="0"/>
          <w:sz w:val="32"/>
          <w:szCs w:val="32"/>
          <w:highlight w:val="none"/>
          <w:u w:val="none"/>
          <w:shd w:val="clear" w:color="auto" w:fill="auto"/>
          <w:lang w:val="zh-TW" w:eastAsia="zh-CN" w:bidi="zh-TW"/>
        </w:rPr>
        <w:fldChar w:fldCharType="end"/>
      </w:r>
      <w:r>
        <w:rPr>
          <w:rFonts w:hint="default" w:ascii="仿宋" w:hAnsi="仿宋" w:eastAsia="仿宋" w:cs="仿宋"/>
          <w:color w:val="000000"/>
          <w:spacing w:val="0"/>
          <w:w w:val="100"/>
          <w:position w:val="0"/>
          <w:sz w:val="32"/>
          <w:szCs w:val="32"/>
          <w:highlight w:val="none"/>
          <w:u w:val="none"/>
          <w:shd w:val="clear" w:color="auto" w:fill="auto"/>
          <w:lang w:val="zh-TW" w:eastAsia="zh-CN" w:bidi="zh-TW"/>
        </w:rPr>
        <w:t>，维护土地的社会主义公有制，保护、开发土地资源，合理利用土地，切实保护耕地，促进社会经济的可持续发展</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w:t>
      </w:r>
    </w:p>
    <w:p>
      <w:pPr>
        <w:pStyle w:val="20"/>
        <w:numPr>
          <w:ilvl w:val="0"/>
          <w:numId w:val="0"/>
        </w:numPr>
        <w:spacing w:line="560" w:lineRule="exact"/>
        <w:ind w:firstLine="640" w:firstLineChars="200"/>
        <w:rPr>
          <w:rFonts w:hint="eastAsia" w:ascii="仿宋" w:hAnsi="仿宋" w:eastAsia="仿宋" w:cs="仿宋"/>
          <w:color w:val="000000"/>
          <w:spacing w:val="0"/>
          <w:w w:val="100"/>
          <w:position w:val="0"/>
          <w:sz w:val="32"/>
          <w:szCs w:val="32"/>
          <w:highlight w:val="none"/>
          <w:u w:val="none"/>
          <w:shd w:val="clear" w:color="auto" w:fill="auto"/>
          <w:lang w:val="zh-TW"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（2）年度项目绩效目标</w:t>
      </w:r>
    </w:p>
    <w:p>
      <w:pPr>
        <w:pStyle w:val="20"/>
        <w:spacing w:line="560" w:lineRule="exact"/>
        <w:ind w:firstLine="640" w:firstLineChars="200"/>
        <w:rPr>
          <w:rFonts w:hint="default"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保障2021年项目储备顺利进行，保障储备项目按时按规缴纳各项政策性规费。</w:t>
      </w:r>
    </w:p>
    <w:p>
      <w:pPr>
        <w:pStyle w:val="20"/>
        <w:spacing w:line="560" w:lineRule="exact"/>
        <w:ind w:firstLine="585"/>
        <w:rPr>
          <w:rFonts w:hint="eastAsia" w:ascii="楷体" w:hAnsi="楷体" w:eastAsia="楷体" w:cs="楷体"/>
          <w:color w:val="000000"/>
          <w:spacing w:val="0"/>
          <w:w w:val="100"/>
          <w:position w:val="0"/>
          <w:sz w:val="32"/>
          <w:szCs w:val="32"/>
          <w:u w:val="none"/>
          <w:shd w:val="clear" w:color="auto" w:fill="auto"/>
          <w:lang w:val="en-US" w:eastAsia="zh-CN" w:bidi="zh-TW"/>
        </w:rPr>
      </w:pPr>
      <w:r>
        <w:rPr>
          <w:rFonts w:hint="eastAsia" w:ascii="楷体" w:hAnsi="楷体" w:eastAsia="楷体" w:cs="楷体"/>
          <w:color w:val="000000"/>
          <w:spacing w:val="0"/>
          <w:w w:val="100"/>
          <w:position w:val="0"/>
          <w:sz w:val="32"/>
          <w:szCs w:val="32"/>
          <w:u w:val="none"/>
          <w:shd w:val="clear" w:color="auto" w:fill="auto"/>
          <w:lang w:val="en-US" w:eastAsia="zh-CN" w:bidi="zh-TW"/>
        </w:rPr>
        <w:t>2.项目资金情况</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00"/>
        <w:jc w:val="both"/>
        <w:textAlignment w:val="auto"/>
        <w:rPr>
          <w:rFonts w:hint="eastAsia" w:ascii="楷体" w:hAnsi="楷体" w:eastAsia="楷体" w:cs="楷体"/>
          <w:color w:val="000000"/>
          <w:spacing w:val="0"/>
          <w:w w:val="100"/>
          <w:position w:val="0"/>
          <w:sz w:val="32"/>
          <w:szCs w:val="32"/>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lang w:val="en-US" w:eastAsia="zh-CN"/>
        </w:rPr>
        <w:t>征地和拆迁补偿支出项目资金性质为政府性基金，</w:t>
      </w:r>
      <w:r>
        <w:rPr>
          <w:rFonts w:hint="eastAsia" w:ascii="仿宋" w:hAnsi="仿宋" w:eastAsia="仿宋" w:cs="仿宋"/>
          <w:color w:val="000000"/>
          <w:spacing w:val="0"/>
          <w:w w:val="100"/>
          <w:position w:val="0"/>
          <w:sz w:val="32"/>
          <w:szCs w:val="32"/>
          <w:highlight w:val="none"/>
        </w:rPr>
        <w:t>20</w:t>
      </w:r>
      <w:r>
        <w:rPr>
          <w:rFonts w:hint="eastAsia" w:ascii="仿宋" w:hAnsi="仿宋" w:eastAsia="仿宋" w:cs="仿宋"/>
          <w:color w:val="000000"/>
          <w:spacing w:val="0"/>
          <w:w w:val="100"/>
          <w:position w:val="0"/>
          <w:sz w:val="32"/>
          <w:szCs w:val="32"/>
          <w:highlight w:val="none"/>
          <w:lang w:val="en-US" w:eastAsia="zh-CN"/>
        </w:rPr>
        <w:t>21年度</w:t>
      </w:r>
      <w:r>
        <w:rPr>
          <w:rFonts w:hint="eastAsia" w:ascii="仿宋" w:hAnsi="仿宋" w:eastAsia="仿宋" w:cs="仿宋"/>
          <w:color w:val="000000"/>
          <w:spacing w:val="0"/>
          <w:w w:val="100"/>
          <w:position w:val="0"/>
          <w:sz w:val="32"/>
          <w:szCs w:val="32"/>
          <w:highlight w:val="none"/>
        </w:rPr>
        <w:t>年初预算为</w:t>
      </w:r>
      <w:r>
        <w:rPr>
          <w:rFonts w:hint="eastAsia" w:ascii="仿宋" w:hAnsi="仿宋" w:eastAsia="仿宋" w:cs="仿宋"/>
          <w:color w:val="000000"/>
          <w:spacing w:val="0"/>
          <w:w w:val="100"/>
          <w:position w:val="0"/>
          <w:sz w:val="32"/>
          <w:szCs w:val="32"/>
          <w:highlight w:val="none"/>
          <w:lang w:val="en-US" w:eastAsia="zh-CN"/>
        </w:rPr>
        <w:t>25225</w:t>
      </w:r>
      <w:r>
        <w:rPr>
          <w:rFonts w:hint="eastAsia" w:ascii="仿宋" w:hAnsi="仿宋" w:eastAsia="仿宋" w:cs="仿宋"/>
          <w:color w:val="000000"/>
          <w:spacing w:val="0"/>
          <w:w w:val="100"/>
          <w:position w:val="0"/>
          <w:sz w:val="32"/>
          <w:szCs w:val="32"/>
          <w:highlight w:val="none"/>
        </w:rPr>
        <w:t>万元，</w:t>
      </w:r>
      <w:r>
        <w:rPr>
          <w:rFonts w:hint="eastAsia" w:ascii="仿宋" w:hAnsi="仿宋" w:eastAsia="仿宋" w:cs="仿宋"/>
          <w:color w:val="000000"/>
          <w:spacing w:val="0"/>
          <w:w w:val="100"/>
          <w:position w:val="0"/>
          <w:sz w:val="32"/>
          <w:szCs w:val="32"/>
          <w:highlight w:val="none"/>
          <w:lang w:val="en-US" w:eastAsia="zh-CN"/>
        </w:rPr>
        <w:t>预算金额调减4937.42万元，调减后预算金额为20287.58万元，该项目实际支出为10361.53万元。具体支出为新增建设用地有偿使用费9956.65万元；森林植被恢复费41.61万元；测量公证登记服务费363.27万元，</w:t>
      </w:r>
      <w:r>
        <w:rPr>
          <w:rFonts w:hint="eastAsia" w:ascii="仿宋" w:hAnsi="仿宋" w:eastAsia="仿宋" w:cs="仿宋"/>
          <w:color w:val="000000"/>
          <w:spacing w:val="0"/>
          <w:w w:val="100"/>
          <w:position w:val="0"/>
          <w:sz w:val="32"/>
          <w:szCs w:val="32"/>
          <w:highlight w:val="none"/>
        </w:rPr>
        <w:t>实际预算执行率为</w:t>
      </w:r>
      <w:r>
        <w:rPr>
          <w:rFonts w:hint="eastAsia" w:ascii="仿宋" w:hAnsi="仿宋" w:eastAsia="仿宋" w:cs="仿宋"/>
          <w:color w:val="000000"/>
          <w:spacing w:val="0"/>
          <w:w w:val="100"/>
          <w:position w:val="0"/>
          <w:sz w:val="32"/>
          <w:szCs w:val="32"/>
          <w:highlight w:val="none"/>
          <w:lang w:val="en-US" w:eastAsia="zh-CN"/>
        </w:rPr>
        <w:t>51.07</w:t>
      </w:r>
      <w:r>
        <w:rPr>
          <w:rFonts w:hint="eastAsia" w:ascii="仿宋" w:hAnsi="仿宋" w:eastAsia="仿宋" w:cs="仿宋"/>
          <w:color w:val="000000"/>
          <w:spacing w:val="0"/>
          <w:w w:val="100"/>
          <w:position w:val="0"/>
          <w:sz w:val="32"/>
          <w:szCs w:val="32"/>
          <w:highlight w:val="none"/>
          <w:lang w:val="en-US" w:eastAsia="en-US"/>
        </w:rPr>
        <w:t>%</w:t>
      </w:r>
      <w:r>
        <w:rPr>
          <w:rFonts w:hint="eastAsia" w:ascii="仿宋" w:hAnsi="仿宋" w:eastAsia="仿宋" w:cs="仿宋"/>
          <w:color w:val="000000"/>
          <w:spacing w:val="0"/>
          <w:w w:val="100"/>
          <w:position w:val="0"/>
          <w:sz w:val="32"/>
          <w:szCs w:val="32"/>
          <w:highlight w:val="none"/>
          <w:lang w:val="en-US" w:eastAsia="zh-CN"/>
        </w:rPr>
        <w:t>。</w:t>
      </w:r>
    </w:p>
    <w:p>
      <w:pPr>
        <w:pStyle w:val="14"/>
        <w:keepNext w:val="0"/>
        <w:keepLines w:val="0"/>
        <w:pageBreakBefore w:val="0"/>
        <w:widowControl w:val="0"/>
        <w:numPr>
          <w:ilvl w:val="0"/>
          <w:numId w:val="2"/>
        </w:numPr>
        <w:shd w:val="clear" w:color="auto" w:fill="auto"/>
        <w:kinsoku/>
        <w:wordWrap/>
        <w:overflowPunct/>
        <w:topLinePunct w:val="0"/>
        <w:autoSpaceDE/>
        <w:autoSpaceDN/>
        <w:bidi w:val="0"/>
        <w:adjustRightInd/>
        <w:spacing w:before="0" w:after="0" w:line="560" w:lineRule="exact"/>
        <w:ind w:left="0" w:right="0" w:firstLine="52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项目自评工作开展情况</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1.绩效评价工作开展程序</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（1）组建绩效自评小组，绩效自评项目小组由本单位财务室相关人员、聘请的第三方机构和项目对口科室相关人员共同组成。</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default"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（2）项目绩效评价工作方案由绩效评价项目小组制定，主要包括安排各科室收集对应项目资料、了解项目开展情况、确定评价方法、项目评价实施时间安排等内容。</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（3）询问和查阅资料，询问、听取区自然资源和规划局相关人员情况反馈，了解项目实施情况，同时查看项目相关资料。</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（4）召开项目自评研讨会，沟通项目开展中存在的主要问题，分析问题形成的原因，提出相关改进措施，并对项目开展整体情况进行自评，撰写项目自评报告。</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2.评价方法</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lang w:val="en-US" w:eastAsia="zh-CN"/>
        </w:rPr>
        <w:t>按照《湖北省省级预算绩效评价管理暂行办法》、《东西湖区预算绩效评价管理暂行办法》等文件的要求，绩效评价方法主要有成本效益分析法、</w:t>
      </w:r>
      <w:r>
        <w:rPr>
          <w:rFonts w:hint="default" w:ascii="仿宋" w:hAnsi="仿宋" w:eastAsia="仿宋" w:cs="仿宋"/>
          <w:color w:val="000000"/>
          <w:spacing w:val="0"/>
          <w:w w:val="100"/>
          <w:position w:val="0"/>
          <w:sz w:val="32"/>
          <w:szCs w:val="32"/>
          <w:lang w:val="en-US" w:eastAsia="zh-CN"/>
        </w:rPr>
        <w:t>比较法、因素分析法、最低成本法、公众评判法、标杆管理法等</w:t>
      </w:r>
      <w:r>
        <w:rPr>
          <w:rFonts w:hint="eastAsia" w:ascii="仿宋" w:hAnsi="仿宋" w:eastAsia="仿宋" w:cs="仿宋"/>
          <w:color w:val="000000"/>
          <w:spacing w:val="0"/>
          <w:w w:val="100"/>
          <w:position w:val="0"/>
          <w:sz w:val="32"/>
          <w:szCs w:val="32"/>
          <w:lang w:val="en-US" w:eastAsia="zh-CN"/>
        </w:rPr>
        <w:t>。</w:t>
      </w:r>
      <w:r>
        <w:rPr>
          <w:rFonts w:hint="default" w:ascii="仿宋" w:hAnsi="仿宋" w:eastAsia="仿宋" w:cs="仿宋"/>
          <w:color w:val="000000"/>
          <w:spacing w:val="0"/>
          <w:w w:val="100"/>
          <w:position w:val="0"/>
          <w:sz w:val="32"/>
          <w:szCs w:val="32"/>
          <w:lang w:val="en-US" w:eastAsia="zh-CN"/>
        </w:rPr>
        <w:t>根据</w:t>
      </w:r>
      <w:r>
        <w:rPr>
          <w:rFonts w:hint="eastAsia" w:ascii="仿宋" w:hAnsi="仿宋" w:eastAsia="仿宋" w:cs="仿宋"/>
          <w:color w:val="000000"/>
          <w:spacing w:val="0"/>
          <w:w w:val="100"/>
          <w:position w:val="0"/>
          <w:sz w:val="32"/>
          <w:szCs w:val="32"/>
          <w:lang w:val="en-US" w:eastAsia="zh-CN"/>
        </w:rPr>
        <w:t>本次</w:t>
      </w:r>
      <w:r>
        <w:rPr>
          <w:rFonts w:hint="default" w:ascii="仿宋" w:hAnsi="仿宋" w:eastAsia="仿宋" w:cs="仿宋"/>
          <w:color w:val="000000"/>
          <w:spacing w:val="0"/>
          <w:w w:val="100"/>
          <w:position w:val="0"/>
          <w:sz w:val="32"/>
          <w:szCs w:val="32"/>
          <w:lang w:val="en-US" w:eastAsia="zh-CN"/>
        </w:rPr>
        <w:t>评价对象的具体情况</w:t>
      </w:r>
      <w:r>
        <w:rPr>
          <w:rFonts w:hint="default" w:ascii="仿宋" w:hAnsi="仿宋" w:eastAsia="仿宋" w:cs="仿宋"/>
          <w:color w:val="000000"/>
          <w:spacing w:val="0"/>
          <w:w w:val="100"/>
          <w:position w:val="0"/>
          <w:sz w:val="32"/>
          <w:szCs w:val="32"/>
          <w:highlight w:val="none"/>
          <w:lang w:val="en-US" w:eastAsia="zh-CN"/>
        </w:rPr>
        <w:t>,</w:t>
      </w:r>
      <w:r>
        <w:rPr>
          <w:rFonts w:hint="eastAsia" w:ascii="仿宋" w:hAnsi="仿宋" w:eastAsia="仿宋" w:cs="仿宋"/>
          <w:color w:val="000000"/>
          <w:spacing w:val="0"/>
          <w:w w:val="100"/>
          <w:position w:val="0"/>
          <w:sz w:val="32"/>
          <w:szCs w:val="32"/>
          <w:highlight w:val="none"/>
          <w:lang w:val="en-US" w:eastAsia="zh-CN"/>
        </w:rPr>
        <w:t>选择比较法、公众评判法和因素分析法作为本次项目财政绩效评价的方法。</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right="0" w:firstLine="52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（三）绩效目标完成情况分析</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1.预算执行情况分析（20分）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该项目</w:t>
      </w:r>
      <w:r>
        <w:rPr>
          <w:rFonts w:hint="eastAsia" w:ascii="仿宋" w:hAnsi="仿宋" w:eastAsia="仿宋" w:cs="仿宋"/>
          <w:color w:val="000000"/>
          <w:spacing w:val="0"/>
          <w:w w:val="100"/>
          <w:position w:val="0"/>
          <w:sz w:val="32"/>
          <w:szCs w:val="32"/>
          <w:highlight w:val="none"/>
        </w:rPr>
        <w:t>年</w:t>
      </w:r>
      <w:r>
        <w:rPr>
          <w:rFonts w:hint="eastAsia" w:ascii="仿宋" w:hAnsi="仿宋" w:eastAsia="仿宋" w:cs="仿宋"/>
          <w:color w:val="000000"/>
          <w:spacing w:val="0"/>
          <w:w w:val="100"/>
          <w:position w:val="0"/>
          <w:sz w:val="32"/>
          <w:szCs w:val="32"/>
          <w:highlight w:val="none"/>
          <w:lang w:val="en-US" w:eastAsia="zh-CN"/>
        </w:rPr>
        <w:t>初预算为25225.00万元，本年度调减预算金额4937.42万元，调减后预算金额为20287.58万元，实际支出10361.53万元</w:t>
      </w:r>
      <w:r>
        <w:rPr>
          <w:rFonts w:hint="eastAsia" w:ascii="仿宋" w:hAnsi="仿宋" w:eastAsia="仿宋" w:cs="仿宋"/>
          <w:color w:val="000000"/>
          <w:spacing w:val="0"/>
          <w:w w:val="100"/>
          <w:position w:val="0"/>
          <w:sz w:val="32"/>
          <w:szCs w:val="32"/>
          <w:lang w:val="en-US" w:eastAsia="zh-CN"/>
        </w:rPr>
        <w:t>，完成率为51.07%，得分10.21分。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2.绩效目标完成情况分析</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（1）产出指标完成情况分析（40分）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①数量指标（20分）：项目数量，年初目标值为≧10，2021年度东西湖区获得武汉市人民政府12批次的储备建设用地批复。</w:t>
      </w:r>
      <w:r>
        <w:rPr>
          <w:rFonts w:hint="eastAsia" w:ascii="仿宋" w:hAnsi="仿宋" w:eastAsia="仿宋" w:cs="仿宋"/>
          <w:color w:val="000000"/>
          <w:spacing w:val="0"/>
          <w:w w:val="100"/>
          <w:position w:val="0"/>
          <w:sz w:val="32"/>
          <w:szCs w:val="32"/>
          <w:u w:val="none"/>
          <w:shd w:val="clear" w:color="auto" w:fill="auto"/>
          <w:lang w:val="en-US" w:eastAsia="zh-CN" w:bidi="zh-TW"/>
        </w:rPr>
        <w:t>该指标完成年初目标，自评得分为20分。</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pacing w:before="0" w:after="0" w:line="560" w:lineRule="exact"/>
        <w:ind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②质量指标（10分）：项目正常储备≧90%，2021年度储备建设用地批复目标值为10批次，实际获批12批次，项目正常储备率为获批储备建设用地批次与年初目标储备建设用地批次的比值，该比值为120%。</w:t>
      </w:r>
      <w:r>
        <w:rPr>
          <w:rFonts w:hint="eastAsia" w:ascii="仿宋" w:hAnsi="仿宋" w:eastAsia="仿宋" w:cs="仿宋"/>
          <w:color w:val="000000"/>
          <w:spacing w:val="0"/>
          <w:w w:val="100"/>
          <w:position w:val="0"/>
          <w:sz w:val="32"/>
          <w:szCs w:val="32"/>
          <w:u w:val="none"/>
          <w:shd w:val="clear" w:color="auto" w:fill="auto"/>
          <w:lang w:val="en-US" w:eastAsia="zh-CN" w:bidi="zh-TW"/>
        </w:rPr>
        <w:t>该指标完成年初目标，自评得分为10分。</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pacing w:before="0" w:after="0" w:line="560" w:lineRule="exact"/>
        <w:ind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③时效指标（5分）：年初目标为各费用100%按时在区级规定时间内缴纳并按时通过市级验收。各批次</w:t>
      </w:r>
      <w:r>
        <w:rPr>
          <w:rFonts w:hint="eastAsia" w:ascii="仿宋" w:hAnsi="仿宋" w:eastAsia="仿宋" w:cs="仿宋"/>
          <w:color w:val="000000"/>
          <w:spacing w:val="0"/>
          <w:w w:val="100"/>
          <w:position w:val="0"/>
          <w:sz w:val="32"/>
          <w:szCs w:val="32"/>
          <w:highlight w:val="none"/>
          <w:lang w:val="en-US" w:eastAsia="zh-CN"/>
        </w:rPr>
        <w:t>新增建设用地有偿使用费、森林植被恢复费</w:t>
      </w:r>
      <w:r>
        <w:rPr>
          <w:rFonts w:hint="eastAsia" w:ascii="仿宋" w:hAnsi="仿宋" w:eastAsia="仿宋" w:cs="仿宋"/>
          <w:color w:val="000000"/>
          <w:spacing w:val="0"/>
          <w:w w:val="100"/>
          <w:position w:val="0"/>
          <w:sz w:val="32"/>
          <w:szCs w:val="32"/>
          <w:u w:val="none"/>
          <w:shd w:val="clear" w:color="auto" w:fill="auto"/>
          <w:lang w:val="en-US" w:eastAsia="zh-CN" w:bidi="zh-TW"/>
        </w:rPr>
        <w:t>等均按武汉市自然资源和规划局下达的新增建设用地土地有偿使用费缴款通知书或湖北省林业局下达的森林植被恢复费缴库通知，及时缴纳了相关费用；各批次获批的储备建设用地完成市级入库验收。</w:t>
      </w:r>
      <w:r>
        <w:rPr>
          <w:rFonts w:hint="eastAsia" w:ascii="仿宋" w:hAnsi="仿宋" w:eastAsia="仿宋" w:cs="仿宋"/>
          <w:color w:val="000000"/>
          <w:spacing w:val="0"/>
          <w:w w:val="100"/>
          <w:position w:val="0"/>
          <w:sz w:val="32"/>
          <w:szCs w:val="32"/>
          <w:lang w:val="en-US" w:eastAsia="zh-CN"/>
        </w:rPr>
        <w:t>该指标自评得分为5分。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④成本指标（5分）：资金使用率≤100%，该项目预算金额为20287.58万元，资金支出10361.53万元，资金使用率为51.07%，资金使用率≤100%，未超预算，该指标自评得分为5分。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综上所述分析，产出指标评级分值40分，得分40分。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（2）效益指标完成情况分析（30分）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①社会效益指标（20分）：年初目标为政务公开社会影响力有所提升，此指标实际是指征地和拆迁补偿项目对社会各方面的影响，对促进城乡建设、提升经济发展发挥的作用。该指标得分为20分。</w:t>
      </w:r>
    </w:p>
    <w:p>
      <w:pPr>
        <w:pStyle w:val="20"/>
        <w:spacing w:line="560" w:lineRule="exact"/>
        <w:ind w:firstLine="585"/>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②可持续影响指标（10分）：促进收储项目进行，年初目标值为≧90%，该指标项目收储率为本年实际支出新增建设用土地有偿使用费与年初预算新增建设用土地有偿使用费的比值，本年度实际支付新增建设用土地有偿使用费</w:t>
      </w:r>
      <w:r>
        <w:rPr>
          <w:rFonts w:hint="eastAsia" w:ascii="仿宋" w:hAnsi="仿宋" w:eastAsia="仿宋" w:cs="仿宋"/>
          <w:color w:val="000000"/>
          <w:spacing w:val="0"/>
          <w:w w:val="100"/>
          <w:position w:val="0"/>
          <w:sz w:val="32"/>
          <w:szCs w:val="32"/>
          <w:highlight w:val="none"/>
          <w:lang w:val="en-US" w:eastAsia="zh-CN"/>
        </w:rPr>
        <w:t>9956.65万元，</w:t>
      </w:r>
      <w:r>
        <w:rPr>
          <w:rFonts w:hint="eastAsia" w:ascii="仿宋" w:hAnsi="仿宋" w:eastAsia="仿宋" w:cs="仿宋"/>
          <w:color w:val="000000"/>
          <w:spacing w:val="0"/>
          <w:w w:val="100"/>
          <w:position w:val="0"/>
          <w:sz w:val="32"/>
          <w:szCs w:val="32"/>
          <w:lang w:val="en-US" w:eastAsia="zh-CN"/>
        </w:rPr>
        <w:t>年初预算新增建设用土地有偿使用费为1</w:t>
      </w:r>
      <w:r>
        <w:rPr>
          <w:rFonts w:hint="eastAsia" w:ascii="仿宋" w:hAnsi="仿宋" w:eastAsia="仿宋" w:cs="仿宋"/>
          <w:color w:val="000000"/>
          <w:spacing w:val="0"/>
          <w:w w:val="100"/>
          <w:position w:val="0"/>
          <w:sz w:val="32"/>
          <w:szCs w:val="32"/>
          <w:highlight w:val="none"/>
          <w:lang w:val="en-US" w:eastAsia="zh-CN"/>
        </w:rPr>
        <w:t>0400.00万元</w:t>
      </w:r>
      <w:r>
        <w:rPr>
          <w:rFonts w:hint="eastAsia" w:ascii="仿宋" w:hAnsi="仿宋" w:eastAsia="仿宋" w:cs="仿宋"/>
          <w:color w:val="000000"/>
          <w:spacing w:val="0"/>
          <w:w w:val="100"/>
          <w:position w:val="0"/>
          <w:sz w:val="32"/>
          <w:szCs w:val="32"/>
          <w:lang w:val="en-US" w:eastAsia="zh-CN"/>
        </w:rPr>
        <w:t>，该指标完成值为95.73%，大于年初目标值，该指标自评得分为10分。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综上所述分析，效益指标评级分值30分，得分30分。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（3）满意度指标完成情况分析（10分）</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业务科室满意度：</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年初目标值为</w:t>
      </w:r>
      <w:r>
        <w:rPr>
          <w:rFonts w:hint="eastAsia" w:ascii="仿宋" w:hAnsi="仿宋" w:eastAsia="仿宋" w:cs="仿宋"/>
          <w:color w:val="000000"/>
          <w:spacing w:val="0"/>
          <w:w w:val="100"/>
          <w:position w:val="0"/>
          <w:sz w:val="32"/>
          <w:szCs w:val="32"/>
          <w:lang w:val="en-US" w:eastAsia="zh-CN"/>
        </w:rPr>
        <w:t>≧</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90%，</w:t>
      </w:r>
      <w:r>
        <w:rPr>
          <w:rFonts w:hint="eastAsia" w:ascii="仿宋" w:hAnsi="仿宋" w:eastAsia="仿宋" w:cs="仿宋"/>
          <w:color w:val="000000"/>
          <w:spacing w:val="0"/>
          <w:w w:val="100"/>
          <w:position w:val="0"/>
          <w:sz w:val="32"/>
          <w:szCs w:val="32"/>
          <w:highlight w:val="none"/>
          <w:lang w:val="en-US" w:eastAsia="zh-CN"/>
        </w:rPr>
        <w:t>2021年度土地储备中心科室双评议总数437，满意数437，满意度为100%，该指标自评得分为10分。</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pacing w:before="0" w:after="0" w:line="560" w:lineRule="exact"/>
        <w:ind w:leftChars="200" w:right="0" w:rightChars="0"/>
        <w:jc w:val="both"/>
        <w:textAlignment w:val="auto"/>
        <w:rPr>
          <w:rFonts w:hint="default"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（四）上年度部门自评结果应用情况：</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default" w:ascii="仿宋" w:hAnsi="仿宋" w:eastAsia="仿宋" w:cs="仿宋"/>
          <w:color w:val="000000"/>
          <w:spacing w:val="0"/>
          <w:w w:val="100"/>
          <w:position w:val="0"/>
          <w:sz w:val="32"/>
          <w:szCs w:val="32"/>
          <w:highlight w:val="yellow"/>
          <w:lang w:val="en-US" w:eastAsia="zh-CN"/>
        </w:rPr>
      </w:pPr>
      <w:r>
        <w:rPr>
          <w:rFonts w:hint="eastAsia" w:ascii="仿宋" w:hAnsi="仿宋" w:eastAsia="仿宋" w:cs="仿宋"/>
          <w:color w:val="000000"/>
          <w:spacing w:val="0"/>
          <w:w w:val="100"/>
          <w:position w:val="0"/>
          <w:sz w:val="32"/>
          <w:szCs w:val="32"/>
          <w:highlight w:val="none"/>
          <w:lang w:val="en-US" w:eastAsia="zh-CN"/>
        </w:rPr>
        <w:t>该项目2021年之前未列入部门项目预算，无上年部门自评结果应用。</w:t>
      </w:r>
    </w:p>
    <w:p>
      <w:pPr>
        <w:pStyle w:val="14"/>
        <w:keepNext w:val="0"/>
        <w:keepLines w:val="0"/>
        <w:pageBreakBefore w:val="0"/>
        <w:widowControl w:val="0"/>
        <w:numPr>
          <w:ilvl w:val="0"/>
          <w:numId w:val="0"/>
        </w:numPr>
        <w:shd w:val="clear" w:color="auto" w:fill="auto"/>
        <w:kinsoku/>
        <w:wordWrap/>
        <w:overflowPunct/>
        <w:topLinePunct w:val="0"/>
        <w:autoSpaceDE/>
        <w:autoSpaceDN/>
        <w:bidi w:val="0"/>
        <w:adjustRightInd/>
        <w:spacing w:before="0" w:after="0" w:line="560" w:lineRule="exact"/>
        <w:ind w:leftChars="200" w:right="0" w:rightChars="0"/>
        <w:jc w:val="both"/>
        <w:textAlignment w:val="auto"/>
        <w:rPr>
          <w:rFonts w:hint="eastAsia" w:ascii="仿宋" w:hAnsi="仿宋" w:eastAsia="仿宋" w:cs="仿宋"/>
          <w:color w:val="000000"/>
          <w:spacing w:val="0"/>
          <w:w w:val="100"/>
          <w:position w:val="0"/>
          <w:sz w:val="22"/>
          <w:szCs w:val="22"/>
          <w:u w:val="none"/>
          <w:shd w:val="clear" w:color="auto" w:fill="auto"/>
          <w:lang w:val="en-US" w:eastAsia="zh-CN" w:bidi="zh-TW"/>
        </w:rPr>
      </w:pPr>
      <w:r>
        <w:rPr>
          <w:rFonts w:hint="eastAsia" w:ascii="楷体" w:hAnsi="楷体" w:eastAsia="楷体" w:cs="楷体"/>
          <w:color w:val="000000"/>
          <w:spacing w:val="0"/>
          <w:w w:val="100"/>
          <w:position w:val="0"/>
          <w:sz w:val="32"/>
          <w:szCs w:val="32"/>
          <w:lang w:val="en-US" w:eastAsia="zh-CN"/>
        </w:rPr>
        <w:t>（五）其他佐证材料：无。</w:t>
      </w: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0" w:firstLineChars="0"/>
        <w:jc w:val="both"/>
        <w:textAlignment w:val="auto"/>
        <w:rPr>
          <w:rFonts w:hint="eastAsia" w:ascii="仿宋" w:hAnsi="仿宋" w:eastAsia="仿宋" w:cs="仿宋"/>
          <w:color w:val="000000"/>
          <w:spacing w:val="0"/>
          <w:w w:val="100"/>
          <w:position w:val="0"/>
          <w:sz w:val="22"/>
          <w:szCs w:val="22"/>
          <w:u w:val="none"/>
          <w:shd w:val="clear" w:color="auto" w:fill="auto"/>
          <w:lang w:val="en-US" w:eastAsia="zh-CN" w:bidi="zh-TW"/>
        </w:rPr>
      </w:pP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0" w:firstLineChars="0"/>
        <w:jc w:val="both"/>
        <w:textAlignment w:val="auto"/>
        <w:rPr>
          <w:rFonts w:hint="eastAsia" w:ascii="仿宋" w:hAnsi="仿宋" w:eastAsia="仿宋" w:cs="仿宋"/>
          <w:color w:val="000000"/>
          <w:spacing w:val="0"/>
          <w:w w:val="100"/>
          <w:position w:val="0"/>
          <w:sz w:val="22"/>
          <w:szCs w:val="22"/>
          <w:u w:val="none"/>
          <w:shd w:val="clear" w:color="auto" w:fill="auto"/>
          <w:lang w:val="en-US" w:eastAsia="zh-CN" w:bidi="zh-TW"/>
        </w:rPr>
      </w:pP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0" w:firstLineChars="0"/>
        <w:jc w:val="both"/>
        <w:textAlignment w:val="auto"/>
        <w:rPr>
          <w:rFonts w:hint="eastAsia" w:ascii="仿宋" w:hAnsi="仿宋" w:eastAsia="仿宋" w:cs="仿宋"/>
          <w:color w:val="000000"/>
          <w:spacing w:val="0"/>
          <w:w w:val="100"/>
          <w:position w:val="0"/>
          <w:sz w:val="22"/>
          <w:szCs w:val="22"/>
          <w:u w:val="none"/>
          <w:shd w:val="clear" w:color="auto" w:fill="auto"/>
          <w:lang w:val="en-US" w:eastAsia="zh-CN" w:bidi="zh-TW"/>
        </w:rPr>
      </w:pPr>
    </w:p>
    <w:p>
      <w:pPr>
        <w:pStyle w:val="14"/>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0" w:firstLineChars="0"/>
        <w:jc w:val="right"/>
        <w:textAlignment w:val="auto"/>
        <w:rPr>
          <w:rFonts w:hint="default" w:ascii="仿宋" w:hAnsi="仿宋" w:eastAsia="仿宋" w:cs="仿宋"/>
          <w:color w:val="000000"/>
          <w:spacing w:val="0"/>
          <w:w w:val="100"/>
          <w:position w:val="0"/>
          <w:sz w:val="30"/>
          <w:szCs w:val="30"/>
          <w:highlight w:val="none"/>
          <w:u w:val="none"/>
          <w:lang w:val="en-US" w:eastAsia="zh-CN"/>
        </w:rPr>
      </w:pPr>
      <w:r>
        <w:rPr>
          <w:rFonts w:hint="eastAsia" w:ascii="仿宋" w:hAnsi="仿宋" w:eastAsia="仿宋" w:cs="仿宋"/>
          <w:color w:val="000000"/>
          <w:spacing w:val="0"/>
          <w:w w:val="100"/>
          <w:position w:val="0"/>
          <w:sz w:val="30"/>
          <w:szCs w:val="30"/>
          <w:highlight w:val="none"/>
          <w:u w:val="none"/>
          <w:lang w:val="en-US" w:eastAsia="zh-CN"/>
        </w:rPr>
        <w:t>武汉市东西湖区自然资源和规划局</w:t>
      </w:r>
    </w:p>
    <w:sectPr>
      <w:footerReference r:id="rId5" w:type="default"/>
      <w:pgSz w:w="11906" w:h="16838"/>
      <w:pgMar w:top="1984" w:right="1474" w:bottom="1984" w:left="158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24"/>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mc:AlternateContent>
        <mc:Choice Requires="wps">
          <w:drawing>
            <wp:anchor distT="0" distB="0" distL="0" distR="0" simplePos="0" relativeHeight="251659264" behindDoc="1" locked="0" layoutInCell="1" allowOverlap="1">
              <wp:simplePos x="0" y="0"/>
              <wp:positionH relativeFrom="page">
                <wp:posOffset>2552700</wp:posOffset>
              </wp:positionH>
              <wp:positionV relativeFrom="page">
                <wp:posOffset>7271385</wp:posOffset>
              </wp:positionV>
              <wp:extent cx="255905" cy="82550"/>
              <wp:effectExtent l="0" t="0" r="0" b="0"/>
              <wp:wrapNone/>
              <wp:docPr id="1" name="Shape 1"/>
              <wp:cNvGraphicFramePr/>
              <a:graphic xmlns:a="http://schemas.openxmlformats.org/drawingml/2006/main">
                <a:graphicData uri="http://schemas.microsoft.com/office/word/2010/wordprocessingShape">
                  <wps:wsp>
                    <wps:cNvSpPr txBox="1"/>
                    <wps:spPr>
                      <a:xfrm>
                        <a:off x="0" y="0"/>
                        <a:ext cx="255905" cy="82550"/>
                      </a:xfrm>
                      <a:prstGeom prst="rect">
                        <a:avLst/>
                      </a:prstGeom>
                      <a:noFill/>
                    </wps:spPr>
                    <wps:txbx>
                      <w:txbxContent>
                        <w:p>
                          <w:pPr>
                            <w:pStyle w:val="19"/>
                            <w:keepNext w:val="0"/>
                            <w:keepLines w:val="0"/>
                            <w:widowControl w:val="0"/>
                            <w:shd w:val="clear" w:color="auto" w:fill="auto"/>
                            <w:bidi w:val="0"/>
                            <w:spacing w:before="0" w:after="0" w:line="240" w:lineRule="auto"/>
                            <w:ind w:left="0" w:right="0" w:firstLine="0"/>
                            <w:jc w:val="left"/>
                            <w:rPr>
                              <w:sz w:val="18"/>
                              <w:szCs w:val="18"/>
                            </w:rPr>
                          </w:pPr>
                        </w:p>
                      </w:txbxContent>
                    </wps:txbx>
                    <wps:bodyPr wrap="none" lIns="0" tIns="0" rIns="0" bIns="0">
                      <a:spAutoFit/>
                    </wps:bodyPr>
                  </wps:wsp>
                </a:graphicData>
              </a:graphic>
            </wp:anchor>
          </w:drawing>
        </mc:Choice>
        <mc:Fallback>
          <w:pict>
            <v:shape id="Shape 1" o:spid="_x0000_s1026" o:spt="202" type="#_x0000_t202" style="position:absolute;left:0pt;margin-left:201pt;margin-top:572.55pt;height:6.5pt;width:20.15pt;mso-position-horizontal-relative:page;mso-position-vertical-relative:page;mso-wrap-style:none;z-index:-251657216;mso-width-relative:page;mso-height-relative:page;" filled="f" stroked="f" coordsize="21600,21600" o:gfxdata="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MINR99gAAAAN&#10;AQAADwAAAAAAAAABACAAAAAiAAAAZHJzL2Rvd25yZXYueG1sUEsBAhQAFAAAAAgAh07iQN09Nsiq&#10;AQAAbgMAAA4AAAAAAAAAAQAgAAAAJwEAAGRycy9lMm9Eb2MueG1sUEsFBgAAAAAGAAYAWQEAAEMF&#10;AAAAAA==&#10;">
              <v:fill on="f" focussize="0,0"/>
              <v:stroke on="f"/>
              <v:imagedata o:title=""/>
              <o:lock v:ext="edit" aspectratio="f"/>
              <v:textbox inset="0mm,0mm,0mm,0mm" style="mso-fit-shape-to-text:t;">
                <w:txbxContent>
                  <w:p>
                    <w:pPr>
                      <w:pStyle w:val="19"/>
                      <w:keepNext w:val="0"/>
                      <w:keepLines w:val="0"/>
                      <w:widowControl w:val="0"/>
                      <w:shd w:val="clear" w:color="auto" w:fill="auto"/>
                      <w:bidi w:val="0"/>
                      <w:spacing w:before="0" w:after="0" w:line="240" w:lineRule="auto"/>
                      <w:ind w:left="0" w:right="0" w:firstLine="0"/>
                      <w:jc w:val="left"/>
                      <w:rPr>
                        <w:sz w:val="18"/>
                        <w:szCs w:val="18"/>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FDDD3C"/>
    <w:multiLevelType w:val="singleLevel"/>
    <w:tmpl w:val="47FDDD3C"/>
    <w:lvl w:ilvl="0" w:tentative="0">
      <w:start w:val="2"/>
      <w:numFmt w:val="chineseCounting"/>
      <w:suff w:val="nothing"/>
      <w:lvlText w:val="（%1）"/>
      <w:lvlJc w:val="left"/>
      <w:rPr>
        <w:rFonts w:hint="eastAsia"/>
      </w:rPr>
    </w:lvl>
  </w:abstractNum>
  <w:abstractNum w:abstractNumId="1">
    <w:nsid w:val="521EFB6F"/>
    <w:multiLevelType w:val="singleLevel"/>
    <w:tmpl w:val="521EFB6F"/>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5NWE4YzVkNzk4MzFjYjMwZmE1ZTdiNWE5Y2VkNWYifQ=="/>
  </w:docVars>
  <w:rsids>
    <w:rsidRoot w:val="60C61154"/>
    <w:rsid w:val="00B84E29"/>
    <w:rsid w:val="00CB611F"/>
    <w:rsid w:val="00E15295"/>
    <w:rsid w:val="025815BF"/>
    <w:rsid w:val="026C7023"/>
    <w:rsid w:val="035E1877"/>
    <w:rsid w:val="07067810"/>
    <w:rsid w:val="07161D35"/>
    <w:rsid w:val="07835791"/>
    <w:rsid w:val="0C0E36BB"/>
    <w:rsid w:val="0CD86DB7"/>
    <w:rsid w:val="0D171BC9"/>
    <w:rsid w:val="10444E3C"/>
    <w:rsid w:val="12715B1B"/>
    <w:rsid w:val="151E65FF"/>
    <w:rsid w:val="15E13BAF"/>
    <w:rsid w:val="17E864CD"/>
    <w:rsid w:val="18B01A93"/>
    <w:rsid w:val="1E8D74A0"/>
    <w:rsid w:val="1F7C0241"/>
    <w:rsid w:val="1FC216BC"/>
    <w:rsid w:val="20211A96"/>
    <w:rsid w:val="237047A8"/>
    <w:rsid w:val="255D0998"/>
    <w:rsid w:val="274B1E10"/>
    <w:rsid w:val="27E76880"/>
    <w:rsid w:val="28226395"/>
    <w:rsid w:val="28BC2278"/>
    <w:rsid w:val="295C5711"/>
    <w:rsid w:val="2AB91683"/>
    <w:rsid w:val="2AF7575A"/>
    <w:rsid w:val="2C7D6B0D"/>
    <w:rsid w:val="2D075727"/>
    <w:rsid w:val="2FFD3519"/>
    <w:rsid w:val="30F5425D"/>
    <w:rsid w:val="31A85FDE"/>
    <w:rsid w:val="32255731"/>
    <w:rsid w:val="323B2EFE"/>
    <w:rsid w:val="32F8589A"/>
    <w:rsid w:val="33D81EFB"/>
    <w:rsid w:val="35422606"/>
    <w:rsid w:val="358D1A74"/>
    <w:rsid w:val="36DC3C6D"/>
    <w:rsid w:val="37231229"/>
    <w:rsid w:val="3887639D"/>
    <w:rsid w:val="3900330C"/>
    <w:rsid w:val="3A181BE7"/>
    <w:rsid w:val="3BCE117A"/>
    <w:rsid w:val="3D0175D0"/>
    <w:rsid w:val="3D6157CA"/>
    <w:rsid w:val="3F41763B"/>
    <w:rsid w:val="4191530F"/>
    <w:rsid w:val="429677FA"/>
    <w:rsid w:val="430B1516"/>
    <w:rsid w:val="47367302"/>
    <w:rsid w:val="480C1D42"/>
    <w:rsid w:val="498E5534"/>
    <w:rsid w:val="4A5D6352"/>
    <w:rsid w:val="4BA97254"/>
    <w:rsid w:val="4C131FC4"/>
    <w:rsid w:val="4C584D11"/>
    <w:rsid w:val="4D4F161C"/>
    <w:rsid w:val="4D582429"/>
    <w:rsid w:val="4EFE20DA"/>
    <w:rsid w:val="5388145D"/>
    <w:rsid w:val="55A2100D"/>
    <w:rsid w:val="55C31317"/>
    <w:rsid w:val="5789518F"/>
    <w:rsid w:val="57BD4799"/>
    <w:rsid w:val="57CD15E7"/>
    <w:rsid w:val="57EF3110"/>
    <w:rsid w:val="590E6638"/>
    <w:rsid w:val="5A96613C"/>
    <w:rsid w:val="602E2BA9"/>
    <w:rsid w:val="60C61154"/>
    <w:rsid w:val="61094C8C"/>
    <w:rsid w:val="611C156F"/>
    <w:rsid w:val="61206A4B"/>
    <w:rsid w:val="628149CB"/>
    <w:rsid w:val="64940E7B"/>
    <w:rsid w:val="65162907"/>
    <w:rsid w:val="66560B01"/>
    <w:rsid w:val="66C5605A"/>
    <w:rsid w:val="66FE6CC3"/>
    <w:rsid w:val="679403E0"/>
    <w:rsid w:val="68310F97"/>
    <w:rsid w:val="68422A70"/>
    <w:rsid w:val="6ADF68A1"/>
    <w:rsid w:val="6C6E23DA"/>
    <w:rsid w:val="6D9D76F5"/>
    <w:rsid w:val="7087602B"/>
    <w:rsid w:val="71154425"/>
    <w:rsid w:val="716A4AAD"/>
    <w:rsid w:val="716B6924"/>
    <w:rsid w:val="716C57C7"/>
    <w:rsid w:val="71BC57F8"/>
    <w:rsid w:val="73DF337A"/>
    <w:rsid w:val="73F90F3E"/>
    <w:rsid w:val="74A22627"/>
    <w:rsid w:val="75D4350A"/>
    <w:rsid w:val="75D64BD0"/>
    <w:rsid w:val="78C677F6"/>
    <w:rsid w:val="7AB542EE"/>
    <w:rsid w:val="7ACF30DC"/>
    <w:rsid w:val="7BB4749B"/>
    <w:rsid w:val="7C287E70"/>
    <w:rsid w:val="7C6355DE"/>
    <w:rsid w:val="7DDF4F73"/>
    <w:rsid w:val="7EDA196C"/>
    <w:rsid w:val="7F5A5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before="0" w:after="120"/>
      <w:ind w:left="420" w:leftChars="200" w:right="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qFormat/>
    <w:uiPriority w:val="0"/>
    <w:pPr>
      <w:widowControl w:val="0"/>
      <w:spacing w:before="0" w:after="120"/>
      <w:ind w:left="420" w:leftChars="200" w:right="0"/>
      <w:jc w:val="both"/>
    </w:pPr>
    <w:rPr>
      <w:rFonts w:ascii="Calibri" w:hAnsi="Calibri" w:eastAsia="宋体" w:cs="Times New Roman"/>
      <w:kern w:val="2"/>
      <w:sz w:val="21"/>
      <w:szCs w:val="24"/>
      <w:lang w:val="en-US" w:eastAsia="zh-CN" w:bidi="ar-SA"/>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page number"/>
    <w:basedOn w:val="10"/>
    <w:qFormat/>
    <w:uiPriority w:val="0"/>
  </w:style>
  <w:style w:type="character" w:styleId="13">
    <w:name w:val="Hyperlink"/>
    <w:basedOn w:val="10"/>
    <w:qFormat/>
    <w:uiPriority w:val="0"/>
    <w:rPr>
      <w:color w:val="0000FF"/>
      <w:u w:val="single"/>
    </w:rPr>
  </w:style>
  <w:style w:type="paragraph" w:customStyle="1" w:styleId="14">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15">
    <w:name w:val="Heading #1|1"/>
    <w:basedOn w:val="1"/>
    <w:qFormat/>
    <w:uiPriority w:val="0"/>
    <w:pPr>
      <w:widowControl w:val="0"/>
      <w:shd w:val="clear" w:color="auto" w:fill="auto"/>
      <w:spacing w:after="180" w:line="499" w:lineRule="exact"/>
      <w:jc w:val="center"/>
      <w:outlineLvl w:val="0"/>
    </w:pPr>
    <w:rPr>
      <w:rFonts w:ascii="宋体" w:hAnsi="宋体" w:eastAsia="宋体" w:cs="宋体"/>
      <w:sz w:val="30"/>
      <w:szCs w:val="30"/>
      <w:u w:val="none"/>
      <w:shd w:val="clear" w:color="auto" w:fill="auto"/>
      <w:lang w:val="zh-TW" w:eastAsia="zh-TW" w:bidi="zh-TW"/>
    </w:rPr>
  </w:style>
  <w:style w:type="paragraph" w:customStyle="1" w:styleId="16">
    <w:name w:val="Other|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17">
    <w:name w:val="正文2"/>
    <w:basedOn w:val="18"/>
    <w:qFormat/>
    <w:uiPriority w:val="3"/>
    <w:pPr>
      <w:widowControl/>
      <w:jc w:val="both"/>
    </w:pPr>
    <w:rPr>
      <w:rFonts w:ascii="Times New Roman" w:hAnsi="Times New Roman" w:eastAsia="Times New Roman"/>
      <w:sz w:val="21"/>
    </w:rPr>
  </w:style>
  <w:style w:type="paragraph" w:customStyle="1" w:styleId="18">
    <w:name w:val="[Normal]"/>
    <w:qFormat/>
    <w:uiPriority w:val="6"/>
    <w:rPr>
      <w:rFonts w:ascii="宋体" w:hAnsi="宋体" w:eastAsia="宋体" w:cstheme="minorBidi"/>
      <w:color w:val="auto"/>
      <w:position w:val="0"/>
      <w:sz w:val="24"/>
      <w:u w:val="none"/>
      <w:shd w:val="clear" w:color="auto" w:fill="auto"/>
      <w:lang w:val="zh-CN" w:eastAsia="zh-CN" w:bidi="ar-SA"/>
    </w:rPr>
  </w:style>
  <w:style w:type="paragraph" w:customStyle="1" w:styleId="19">
    <w:name w:val="Header or footer|2"/>
    <w:basedOn w:val="1"/>
    <w:qFormat/>
    <w:uiPriority w:val="0"/>
    <w:pPr>
      <w:widowControl w:val="0"/>
      <w:shd w:val="clear" w:color="auto" w:fill="auto"/>
    </w:pPr>
    <w:rPr>
      <w:sz w:val="20"/>
      <w:szCs w:val="20"/>
      <w:u w:val="none"/>
      <w:shd w:val="clear" w:color="auto" w:fill="auto"/>
    </w:rPr>
  </w:style>
  <w:style w:type="paragraph" w:styleId="20">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2846</Words>
  <Characters>3262</Characters>
  <Lines>0</Lines>
  <Paragraphs>0</Paragraphs>
  <TotalTime>0</TotalTime>
  <ScaleCrop>false</ScaleCrop>
  <LinksUpToDate>false</LinksUpToDate>
  <CharactersWithSpaces>3282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2021-05-06T07:46:00Z</dcterms:created>
  <dc:creator>志</dc:creator>
  <cp:lastModifiedBy>老鼠</cp:lastModifiedBy>
  <dcterms:modified xsi:type="dcterms:W3CDTF">2022-06-30T08:50:07Z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D8B848005FCD419EBA309A0860CFA044</vt:lpwstr>
  </property>
</Properties>
</file>