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right="0" w:firstLine="50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pacing w:val="-11"/>
          <w:kern w:val="0"/>
          <w:sz w:val="36"/>
          <w:szCs w:val="36"/>
          <w:lang w:val="en-US" w:eastAsia="zh-CN"/>
        </w:rPr>
      </w:pPr>
      <w:bookmarkStart w:id="0" w:name="bookmark3"/>
      <w:r>
        <w:rPr>
          <w:rFonts w:hint="eastAsia" w:ascii="方正小标宋简体" w:hAnsi="方正小标宋简体" w:eastAsia="方正小标宋简体" w:cs="方正小标宋简体"/>
          <w:color w:val="000000"/>
          <w:spacing w:val="-11"/>
          <w:kern w:val="0"/>
          <w:sz w:val="36"/>
          <w:szCs w:val="36"/>
          <w:lang w:val="en-US" w:eastAsia="zh-CN"/>
        </w:rPr>
        <w:t>2021年度征地和拆迁补偿支出项目自评结果</w:t>
      </w:r>
    </w:p>
    <w:p>
      <w:pPr>
        <w:pStyle w:val="15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pacing w:val="-11"/>
          <w:kern w:val="0"/>
          <w:sz w:val="36"/>
          <w:szCs w:val="36"/>
          <w:lang w:val="en-US" w:eastAsia="zh-CN"/>
        </w:rPr>
      </w:pP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 xml:space="preserve">   （摘要版）</w:t>
      </w:r>
      <w:bookmarkStart w:id="5" w:name="_GoBack"/>
      <w:bookmarkEnd w:id="5"/>
    </w:p>
    <w:bookmarkEnd w:id="0"/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right="0" w:firstLine="500"/>
        <w:jc w:val="both"/>
        <w:textAlignment w:val="auto"/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一、自评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结论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right="0" w:firstLine="500"/>
        <w:jc w:val="both"/>
        <w:textAlignment w:val="auto"/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</w:pP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一）自评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得分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right="0" w:firstLine="500"/>
        <w:jc w:val="both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项目绩效自评综合评分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90.21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分。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03"/>
        <w:gridCol w:w="1186"/>
        <w:gridCol w:w="1397"/>
        <w:gridCol w:w="1382"/>
        <w:gridCol w:w="1818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3" w:hRule="atLeast"/>
          <w:jc w:val="center"/>
        </w:trPr>
        <w:tc>
          <w:tcPr>
            <w:tcW w:w="2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</w:rPr>
              <w:t>评价项目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</w:rPr>
              <w:t>权重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</w:rPr>
              <w:t>评级分值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</w:rPr>
              <w:t>本项得分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  <w:t>得分率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3" w:hRule="atLeast"/>
          <w:jc w:val="center"/>
        </w:trPr>
        <w:tc>
          <w:tcPr>
            <w:tcW w:w="2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预算执行情况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</w:rPr>
              <w:t>20%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</w:rPr>
              <w:t>20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10.21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 w:bidi="en-US"/>
              </w:rPr>
              <w:t>51.07%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3" w:hRule="atLeast"/>
          <w:jc w:val="center"/>
        </w:trPr>
        <w:tc>
          <w:tcPr>
            <w:tcW w:w="2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项目产出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</w:rPr>
              <w:t>40%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</w:rPr>
              <w:t>40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 w:bidi="en-US"/>
              </w:rPr>
              <w:t>40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 w:bidi="en-US"/>
              </w:rPr>
              <w:t>100%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3" w:hRule="atLeast"/>
          <w:jc w:val="center"/>
        </w:trPr>
        <w:tc>
          <w:tcPr>
            <w:tcW w:w="2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项目效益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</w:rPr>
              <w:t>30%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</w:rPr>
              <w:t>30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</w:rPr>
              <w:t>30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 w:bidi="en-US"/>
              </w:rPr>
              <w:t>100%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3" w:hRule="atLeast"/>
          <w:jc w:val="center"/>
        </w:trPr>
        <w:tc>
          <w:tcPr>
            <w:tcW w:w="2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项目满意度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38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</w:rPr>
              <w:t>10%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</w:rPr>
              <w:t>10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</w:rPr>
              <w:t>10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3" w:hRule="atLeast"/>
          <w:jc w:val="center"/>
        </w:trPr>
        <w:tc>
          <w:tcPr>
            <w:tcW w:w="2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综合绩效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</w:rPr>
              <w:t>100%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 w:bidi="en-US"/>
              </w:rPr>
              <w:t>90.21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 w:bidi="en-US"/>
              </w:rPr>
              <w:t>90.21%</w:t>
            </w:r>
          </w:p>
        </w:tc>
      </w:tr>
    </w:tbl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right="0" w:firstLine="500"/>
        <w:jc w:val="both"/>
        <w:textAlignment w:val="auto"/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</w:pP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二）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绩效目标完成情况</w:t>
      </w:r>
      <w:bookmarkStart w:id="1" w:name="bookmark5"/>
      <w:bookmarkEnd w:id="1"/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right="0" w:firstLine="500"/>
        <w:jc w:val="both"/>
        <w:textAlignment w:val="auto"/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</w:pP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执行率情况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right="0" w:firstLine="500"/>
        <w:jc w:val="both"/>
        <w:textAlignment w:val="auto"/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yellow"/>
          <w:lang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征地和拆迁补偿支出项目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</w:rPr>
        <w:t>20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21年度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</w:rPr>
        <w:t>年初预算为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25225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</w:rPr>
        <w:t>万元，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项目明细账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</w:rPr>
        <w:t>支出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总额为15298.95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</w:rPr>
        <w:t>万元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经区财政局批复，从此项目中支出土地储备金项目缺口资金4937.42万元，预算金额与支出金额同时调减包含的此金额，预算金额调减至20287.58万元，该项目实际支出为10361.53万元，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</w:rPr>
        <w:t>实际预算执行率为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51.07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en-US"/>
        </w:rPr>
        <w:t>%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。具体支出为新增建设用地有偿使用费9956.65万元；森林植被恢复费41.61万元；测量公证登记服务费363.27万元。</w:t>
      </w:r>
    </w:p>
    <w:p>
      <w:pPr>
        <w:pStyle w:val="20"/>
        <w:spacing w:line="560" w:lineRule="exact"/>
        <w:jc w:val="both"/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sz w:val="24"/>
          <w:szCs w:val="28"/>
          <w:highlight w:val="none"/>
          <w:lang w:val="en-US" w:eastAsia="zh-CN"/>
        </w:rPr>
        <w:t xml:space="preserve">     </w:t>
      </w:r>
      <w:bookmarkStart w:id="2" w:name="bookmark6"/>
      <w:bookmarkEnd w:id="2"/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2.完成的绩效目标</w:t>
      </w:r>
    </w:p>
    <w:tbl>
      <w:tblPr>
        <w:tblStyle w:val="8"/>
        <w:tblW w:w="85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1739"/>
        <w:gridCol w:w="1620"/>
        <w:gridCol w:w="1489"/>
        <w:gridCol w:w="1601"/>
        <w:gridCol w:w="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2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一级指标</w:t>
            </w:r>
          </w:p>
        </w:tc>
        <w:tc>
          <w:tcPr>
            <w:tcW w:w="173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二级指标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三级指标</w:t>
            </w:r>
          </w:p>
        </w:tc>
        <w:tc>
          <w:tcPr>
            <w:tcW w:w="14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年初目标值（A）</w:t>
            </w:r>
          </w:p>
        </w:tc>
        <w:tc>
          <w:tcPr>
            <w:tcW w:w="160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实际完成值（B）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23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产出指标（40分）</w:t>
            </w:r>
          </w:p>
        </w:tc>
        <w:tc>
          <w:tcPr>
            <w:tcW w:w="173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数量指标  （20分）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项目数量</w:t>
            </w:r>
          </w:p>
        </w:tc>
        <w:tc>
          <w:tcPr>
            <w:tcW w:w="14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≧10</w:t>
            </w:r>
          </w:p>
        </w:tc>
        <w:tc>
          <w:tcPr>
            <w:tcW w:w="160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12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  <w:jc w:val="center"/>
        </w:trPr>
        <w:tc>
          <w:tcPr>
            <w:tcW w:w="123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</w:p>
        </w:tc>
        <w:tc>
          <w:tcPr>
            <w:tcW w:w="173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质量指标  （10分）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项目正常储备</w:t>
            </w:r>
          </w:p>
        </w:tc>
        <w:tc>
          <w:tcPr>
            <w:tcW w:w="14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≧90%</w:t>
            </w:r>
          </w:p>
        </w:tc>
        <w:tc>
          <w:tcPr>
            <w:tcW w:w="160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120%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3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</w:p>
        </w:tc>
        <w:tc>
          <w:tcPr>
            <w:tcW w:w="173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时效指标   （5分）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按时区级规定时间内缴纳/按时通过市级验收</w:t>
            </w:r>
          </w:p>
        </w:tc>
        <w:tc>
          <w:tcPr>
            <w:tcW w:w="14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100%</w:t>
            </w:r>
          </w:p>
        </w:tc>
        <w:tc>
          <w:tcPr>
            <w:tcW w:w="160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100%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3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</w:p>
        </w:tc>
        <w:tc>
          <w:tcPr>
            <w:tcW w:w="173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成本指标   （5分）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资金使用率</w:t>
            </w:r>
          </w:p>
        </w:tc>
        <w:tc>
          <w:tcPr>
            <w:tcW w:w="14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≤100%</w:t>
            </w:r>
          </w:p>
        </w:tc>
        <w:tc>
          <w:tcPr>
            <w:tcW w:w="160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51.07%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3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效益指标</w:t>
            </w:r>
          </w:p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（30分）</w:t>
            </w:r>
          </w:p>
        </w:tc>
        <w:tc>
          <w:tcPr>
            <w:tcW w:w="173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指标（20分）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政务公开社会影响力</w:t>
            </w:r>
          </w:p>
        </w:tc>
        <w:tc>
          <w:tcPr>
            <w:tcW w:w="14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有所提升</w:t>
            </w:r>
          </w:p>
        </w:tc>
        <w:tc>
          <w:tcPr>
            <w:tcW w:w="160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有所提升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3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</w:p>
        </w:tc>
        <w:tc>
          <w:tcPr>
            <w:tcW w:w="173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可持续</w:t>
            </w:r>
          </w:p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影响指标  （10分）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促进收储项目进行</w:t>
            </w:r>
          </w:p>
        </w:tc>
        <w:tc>
          <w:tcPr>
            <w:tcW w:w="14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≥90%</w:t>
            </w:r>
          </w:p>
        </w:tc>
        <w:tc>
          <w:tcPr>
            <w:tcW w:w="160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95.74%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满意度</w:t>
            </w:r>
          </w:p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指标</w:t>
            </w:r>
          </w:p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（10分）</w:t>
            </w:r>
          </w:p>
        </w:tc>
        <w:tc>
          <w:tcPr>
            <w:tcW w:w="173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满意度指标（10分）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业务科室满意度</w:t>
            </w:r>
          </w:p>
        </w:tc>
        <w:tc>
          <w:tcPr>
            <w:tcW w:w="14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≥90%</w:t>
            </w:r>
          </w:p>
        </w:tc>
        <w:tc>
          <w:tcPr>
            <w:tcW w:w="160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100%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10</w:t>
            </w:r>
          </w:p>
        </w:tc>
      </w:tr>
    </w:tbl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leftChars="0" w:right="0" w:firstLine="640" w:firstLineChars="200"/>
        <w:jc w:val="both"/>
        <w:textAlignment w:val="auto"/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bookmarkStart w:id="3" w:name="bookmark7"/>
      <w:bookmarkEnd w:id="3"/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3.未完成的绩效目标</w:t>
      </w:r>
    </w:p>
    <w:tbl>
      <w:tblPr>
        <w:tblStyle w:val="8"/>
        <w:tblW w:w="85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4"/>
        <w:gridCol w:w="1613"/>
        <w:gridCol w:w="1788"/>
        <w:gridCol w:w="1582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3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预算执行</w:t>
            </w:r>
          </w:p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情况（万元）</w:t>
            </w:r>
          </w:p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（20分）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项目</w:t>
            </w:r>
          </w:p>
        </w:tc>
        <w:tc>
          <w:tcPr>
            <w:tcW w:w="17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预算数（A）</w:t>
            </w:r>
          </w:p>
        </w:tc>
        <w:tc>
          <w:tcPr>
            <w:tcW w:w="158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执行数（B）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执行率（B/A）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3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</w:p>
        </w:tc>
        <w:tc>
          <w:tcPr>
            <w:tcW w:w="16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年度财政资金总额</w:t>
            </w:r>
          </w:p>
        </w:tc>
        <w:tc>
          <w:tcPr>
            <w:tcW w:w="17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20287.58</w:t>
            </w:r>
          </w:p>
        </w:tc>
        <w:tc>
          <w:tcPr>
            <w:tcW w:w="158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10361.53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51.07%</w:t>
            </w:r>
          </w:p>
        </w:tc>
      </w:tr>
    </w:tbl>
    <w:p>
      <w:pPr>
        <w:pStyle w:val="14"/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leftChars="0" w:right="0" w:firstLine="64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color w:val="000000"/>
          <w:spacing w:val="0"/>
          <w:w w:val="100"/>
          <w:position w:val="0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 w:val="0"/>
          <w:bCs w:val="0"/>
          <w:color w:val="000000"/>
          <w:spacing w:val="0"/>
          <w:w w:val="100"/>
          <w:position w:val="0"/>
          <w:sz w:val="32"/>
          <w:szCs w:val="32"/>
          <w:highlight w:val="none"/>
        </w:rPr>
        <w:t>存在的问题和原因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right="0" w:rightChars="0" w:firstLine="640" w:firstLineChars="200"/>
        <w:jc w:val="both"/>
        <w:textAlignment w:val="auto"/>
        <w:rPr>
          <w:rFonts w:hint="default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yellow"/>
          <w:u w:val="none"/>
          <w:shd w:val="clear" w:color="auto" w:fill="auto"/>
          <w:lang w:val="en-US" w:eastAsia="zh-CN" w:bidi="zh-TW"/>
        </w:rPr>
      </w:pPr>
      <w:bookmarkStart w:id="4" w:name="bookmark9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1.预算指标执行率过低，形成偏差的主要原因：一是2021年实际支出与土地收储面积息息相关，受各方面原因影响本年度农用地转用率低于其他年度；二是2021年征地和拆迁补偿支出项目年初预算25225万元，包括印花税305万元、耕地占用税6500万元、补偿费6600万元、新增有偿使用费10400万元、耕地开垦费820万元、森林植被恢复费160万元、测量评估登记费360万元、其他80万元，其中补偿费6600万元预算项目支出由财政局直接将补偿费拨付给了街道，导致此项预算无法执行，预算执行率过低。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leftChars="0" w:right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2.部分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绩效指标设置不合理、不全面，指标内容设置表述不准确、不清晰。如2021年预算包含6600万补偿费，未对此项目支出设置绩效考核指标；成本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</w:rPr>
        <w:t>指标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资金使用率”，此指标实际考核的是执行率，指标设定与预算执行率指标重复；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社会效益指标“政务公开社会影响力”，实际是要表述征地和拆迁补偿项目对促进城乡建设、提升经济发展的影响。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leftChars="0" w:right="0" w:firstLine="640" w:firstLineChars="200"/>
        <w:jc w:val="both"/>
        <w:textAlignment w:val="auto"/>
        <w:rPr>
          <w:rFonts w:hint="default" w:ascii="楷体" w:hAnsi="楷体" w:eastAsia="楷体" w:cs="楷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b w:val="0"/>
          <w:bCs w:val="0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四）</w:t>
      </w:r>
      <w:bookmarkEnd w:id="4"/>
      <w:r>
        <w:rPr>
          <w:rFonts w:hint="eastAsia" w:ascii="楷体" w:hAnsi="楷体" w:eastAsia="楷体" w:cs="楷体"/>
          <w:b w:val="0"/>
          <w:bCs w:val="0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下一步拟改进措施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1.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zh-TW" w:eastAsia="zh-CN" w:bidi="zh-TW"/>
        </w:rPr>
        <w:t>年度预算执行中，根据实际情况，定期做好预算执行分析，掌握预算执行进度，及时找出预算实际执行情况与预算目标之间存在的差距，纠正偏差。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leftChars="0" w:right="0"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2.进一步优化和改善指标体系，更科学的制定并细化绩效指标目标值，使绩效指标与实际工作结合更为紧密。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leftChars="0" w:right="0" w:firstLine="640" w:firstLineChars="200"/>
        <w:jc w:val="both"/>
        <w:textAlignment w:val="auto"/>
        <w:rPr>
          <w:rFonts w:hint="default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附件：征地和拆迁补偿支出项目自评表</w:t>
      </w:r>
    </w:p>
    <w:sectPr>
      <w:footerReference r:id="rId5" w:type="default"/>
      <w:pgSz w:w="11906" w:h="16838"/>
      <w:pgMar w:top="1984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w:rPr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2552700</wp:posOffset>
              </wp:positionH>
              <wp:positionV relativeFrom="page">
                <wp:posOffset>7271385</wp:posOffset>
              </wp:positionV>
              <wp:extent cx="255905" cy="8255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5905" cy="8255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026" o:spt="202" type="#_x0000_t202" style="position:absolute;left:0pt;margin-left:201pt;margin-top:572.55pt;height:6.5pt;width:20.15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MINR99gAAAAN&#10;AQAADwAAAAAAAAABACAAAAAiAAAAZHJzL2Rvd25yZXYueG1sUEsBAhQAFAAAAAgAh07iQN09Nsiq&#10;AQAAbgMAAA4AAAAAAAAAAQAgAAAAJwEAAGRycy9lMm9Eb2MueG1sUEsFBgAAAAAGAAYAWQEAAEMF&#10;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1EFB6F"/>
    <w:multiLevelType w:val="singleLevel"/>
    <w:tmpl w:val="521EFB6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58"/>
  <w:drawingGridVerticalSpacing w:val="290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5NWE4YzVkNzk4MzFjYjMwZmE1ZTdiNWE5Y2VkNWYifQ=="/>
  </w:docVars>
  <w:rsids>
    <w:rsidRoot w:val="60C61154"/>
    <w:rsid w:val="00B84E29"/>
    <w:rsid w:val="00CB611F"/>
    <w:rsid w:val="00E15295"/>
    <w:rsid w:val="025815BF"/>
    <w:rsid w:val="026C7023"/>
    <w:rsid w:val="035E1877"/>
    <w:rsid w:val="07067810"/>
    <w:rsid w:val="07161D35"/>
    <w:rsid w:val="07835791"/>
    <w:rsid w:val="0C0E36BB"/>
    <w:rsid w:val="0CD86DB7"/>
    <w:rsid w:val="0D171BC9"/>
    <w:rsid w:val="10444E3C"/>
    <w:rsid w:val="12715B1B"/>
    <w:rsid w:val="151E65FF"/>
    <w:rsid w:val="15E13BAF"/>
    <w:rsid w:val="17E864CD"/>
    <w:rsid w:val="18B01A93"/>
    <w:rsid w:val="1E8D74A0"/>
    <w:rsid w:val="1F7C0241"/>
    <w:rsid w:val="1FC216BC"/>
    <w:rsid w:val="20211A96"/>
    <w:rsid w:val="237047A8"/>
    <w:rsid w:val="255D0998"/>
    <w:rsid w:val="274B1E10"/>
    <w:rsid w:val="27E76880"/>
    <w:rsid w:val="28226395"/>
    <w:rsid w:val="28BC2278"/>
    <w:rsid w:val="295C5711"/>
    <w:rsid w:val="2AB91683"/>
    <w:rsid w:val="2AF7575A"/>
    <w:rsid w:val="2C7D6B0D"/>
    <w:rsid w:val="2D075727"/>
    <w:rsid w:val="2FFD3519"/>
    <w:rsid w:val="30F5425D"/>
    <w:rsid w:val="31A85FDE"/>
    <w:rsid w:val="32255731"/>
    <w:rsid w:val="323B2EFE"/>
    <w:rsid w:val="32F8589A"/>
    <w:rsid w:val="33D81EFB"/>
    <w:rsid w:val="35422606"/>
    <w:rsid w:val="358D1A74"/>
    <w:rsid w:val="36DC3C6D"/>
    <w:rsid w:val="37231229"/>
    <w:rsid w:val="3887639D"/>
    <w:rsid w:val="3900330C"/>
    <w:rsid w:val="3A181BE7"/>
    <w:rsid w:val="3BCE117A"/>
    <w:rsid w:val="3D0175D0"/>
    <w:rsid w:val="3D6157CA"/>
    <w:rsid w:val="3F41763B"/>
    <w:rsid w:val="4191530F"/>
    <w:rsid w:val="429677FA"/>
    <w:rsid w:val="430B1516"/>
    <w:rsid w:val="47367302"/>
    <w:rsid w:val="480C1D42"/>
    <w:rsid w:val="498E5534"/>
    <w:rsid w:val="4A5D6352"/>
    <w:rsid w:val="4BA97254"/>
    <w:rsid w:val="4C131FC4"/>
    <w:rsid w:val="4C584D11"/>
    <w:rsid w:val="4D4F161C"/>
    <w:rsid w:val="4D582429"/>
    <w:rsid w:val="4EFE20DA"/>
    <w:rsid w:val="5388145D"/>
    <w:rsid w:val="55A2100D"/>
    <w:rsid w:val="55C31317"/>
    <w:rsid w:val="5789518F"/>
    <w:rsid w:val="57BD4799"/>
    <w:rsid w:val="57CD15E7"/>
    <w:rsid w:val="57EF3110"/>
    <w:rsid w:val="590E6638"/>
    <w:rsid w:val="5A96613C"/>
    <w:rsid w:val="602E2BA9"/>
    <w:rsid w:val="60C61154"/>
    <w:rsid w:val="61094C8C"/>
    <w:rsid w:val="611C156F"/>
    <w:rsid w:val="61206A4B"/>
    <w:rsid w:val="628149CB"/>
    <w:rsid w:val="6330718A"/>
    <w:rsid w:val="64940E7B"/>
    <w:rsid w:val="65162907"/>
    <w:rsid w:val="66560B01"/>
    <w:rsid w:val="66C5605A"/>
    <w:rsid w:val="66FE6CC3"/>
    <w:rsid w:val="679403E0"/>
    <w:rsid w:val="68310F97"/>
    <w:rsid w:val="68422A70"/>
    <w:rsid w:val="6ADF68A1"/>
    <w:rsid w:val="6C6E23DA"/>
    <w:rsid w:val="6D9D76F5"/>
    <w:rsid w:val="7087602B"/>
    <w:rsid w:val="71154425"/>
    <w:rsid w:val="716A4AAD"/>
    <w:rsid w:val="716B6924"/>
    <w:rsid w:val="716C57C7"/>
    <w:rsid w:val="71BC57F8"/>
    <w:rsid w:val="73DF337A"/>
    <w:rsid w:val="73F90F3E"/>
    <w:rsid w:val="74384F1B"/>
    <w:rsid w:val="74A22627"/>
    <w:rsid w:val="75D4350A"/>
    <w:rsid w:val="75D64BD0"/>
    <w:rsid w:val="78C677F6"/>
    <w:rsid w:val="7AB542EE"/>
    <w:rsid w:val="7ACF30DC"/>
    <w:rsid w:val="7BB4749B"/>
    <w:rsid w:val="7C287E70"/>
    <w:rsid w:val="7C6355DE"/>
    <w:rsid w:val="7DDF4F73"/>
    <w:rsid w:val="7EDA196C"/>
    <w:rsid w:val="7F5A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spacing w:before="0" w:after="120"/>
      <w:ind w:left="420" w:leftChars="200" w:right="0"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 Indent"/>
    <w:basedOn w:val="1"/>
    <w:qFormat/>
    <w:uiPriority w:val="0"/>
    <w:pPr>
      <w:widowControl w:val="0"/>
      <w:spacing w:before="0" w:after="120"/>
      <w:ind w:left="420" w:leftChars="200" w:right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page number"/>
    <w:basedOn w:val="10"/>
    <w:qFormat/>
    <w:uiPriority w:val="0"/>
  </w:style>
  <w:style w:type="character" w:styleId="13">
    <w:name w:val="Hyperlink"/>
    <w:basedOn w:val="10"/>
    <w:qFormat/>
    <w:uiPriority w:val="0"/>
    <w:rPr>
      <w:color w:val="0000FF"/>
      <w:u w:val="single"/>
    </w:rPr>
  </w:style>
  <w:style w:type="paragraph" w:customStyle="1" w:styleId="14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15">
    <w:name w:val="Heading #1|1"/>
    <w:basedOn w:val="1"/>
    <w:qFormat/>
    <w:uiPriority w:val="0"/>
    <w:pPr>
      <w:widowControl w:val="0"/>
      <w:shd w:val="clear" w:color="auto" w:fill="auto"/>
      <w:spacing w:after="180" w:line="499" w:lineRule="exact"/>
      <w:jc w:val="center"/>
      <w:outlineLvl w:val="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16">
    <w:name w:val="Other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17">
    <w:name w:val="正文2"/>
    <w:basedOn w:val="18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18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  <w:style w:type="paragraph" w:customStyle="1" w:styleId="19">
    <w:name w:val="Header or footer|2"/>
    <w:basedOn w:val="1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</w:rPr>
  </w:style>
  <w:style w:type="paragraph" w:styleId="20">
    <w:name w:val="No Spacing"/>
    <w:qFormat/>
    <w:uiPriority w:val="1"/>
    <w:pPr>
      <w:adjustRightInd w:val="0"/>
      <w:snapToGrid w:val="0"/>
    </w:pPr>
    <w:rPr>
      <w:rFonts w:ascii="Tahoma" w:hAnsi="Tahoma" w:eastAsia="微软雅黑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1078</Words>
  <Characters>1299</Characters>
  <Lines>0</Lines>
  <Paragraphs>0</Paragraphs>
  <TotalTime>2</TotalTime>
  <ScaleCrop>false</ScaleCrop>
  <LinksUpToDate>false</LinksUpToDate>
  <CharactersWithSpaces>1319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2021-05-06T07:46:00Z</dcterms:created>
  <dc:creator>志</dc:creator>
  <cp:lastModifiedBy>老鼠</cp:lastModifiedBy>
  <dcterms:modified xsi:type="dcterms:W3CDTF">2022-06-30T08:56:40Z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397975A8E21545D1B5C728264578CD8F</vt:lpwstr>
  </property>
</Properties>
</file>