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center"/>
        <w:textAlignment w:val="auto"/>
        <w:rPr>
          <w:rFonts w:hint="eastAsia" w:ascii="方正小标宋简体" w:hAnsi="方正小标宋简体" w:eastAsia="方正小标宋简体" w:cs="方正小标宋简体"/>
          <w:color w:val="000000"/>
          <w:spacing w:val="-11"/>
          <w:kern w:val="0"/>
          <w:sz w:val="36"/>
          <w:szCs w:val="36"/>
          <w:lang w:val="en-US" w:eastAsia="zh-CN"/>
        </w:rPr>
      </w:pPr>
      <w:bookmarkStart w:id="0" w:name="bookmark3"/>
      <w:r>
        <w:rPr>
          <w:rFonts w:hint="eastAsia" w:ascii="方正小标宋简体" w:hAnsi="方正小标宋简体" w:eastAsia="方正小标宋简体" w:cs="方正小标宋简体"/>
          <w:color w:val="000000"/>
          <w:spacing w:val="-11"/>
          <w:kern w:val="0"/>
          <w:sz w:val="36"/>
          <w:szCs w:val="36"/>
          <w:lang w:val="en-US" w:eastAsia="zh-CN"/>
        </w:rPr>
        <w:t>武汉市东西湖区自然资源和规划局2021年度</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center"/>
        <w:textAlignment w:val="auto"/>
        <w:rPr>
          <w:rFonts w:hint="eastAsia" w:ascii="方正小标宋简体" w:hAnsi="方正小标宋简体" w:eastAsia="方正小标宋简体" w:cs="方正小标宋简体"/>
          <w:color w:val="000000"/>
          <w:spacing w:val="-11"/>
          <w:kern w:val="0"/>
          <w:sz w:val="36"/>
          <w:szCs w:val="36"/>
          <w:lang w:val="en-US" w:eastAsia="zh-CN"/>
        </w:rPr>
      </w:pPr>
      <w:r>
        <w:rPr>
          <w:rFonts w:hint="eastAsia" w:ascii="方正小标宋简体" w:hAnsi="方正小标宋简体" w:eastAsia="方正小标宋简体" w:cs="方正小标宋简体"/>
          <w:color w:val="000000"/>
          <w:spacing w:val="-11"/>
          <w:kern w:val="0"/>
          <w:sz w:val="36"/>
          <w:szCs w:val="36"/>
          <w:lang w:val="en-US" w:eastAsia="zh-CN"/>
        </w:rPr>
        <w:t>土地储备资金项目自评结果</w:t>
      </w:r>
    </w:p>
    <w:p>
      <w:pPr>
        <w:pStyle w:val="12"/>
        <w:keepNext/>
        <w:keepLines/>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0"/>
        <w:jc w:val="center"/>
        <w:textAlignment w:val="auto"/>
        <w:rPr>
          <w:rFonts w:hint="eastAsia" w:ascii="方正小标宋简体" w:hAnsi="方正小标宋简体" w:eastAsia="方正小标宋简体" w:cs="方正小标宋简体"/>
          <w:color w:val="000000"/>
          <w:spacing w:val="-11"/>
          <w:kern w:val="0"/>
          <w:sz w:val="36"/>
          <w:szCs w:val="36"/>
          <w:lang w:val="en-US" w:eastAsia="zh-CN"/>
        </w:rPr>
      </w:pPr>
      <w:r>
        <w:rPr>
          <w:rFonts w:hint="eastAsia" w:ascii="楷体" w:hAnsi="楷体" w:eastAsia="楷体" w:cs="楷体"/>
          <w:color w:val="000000"/>
          <w:spacing w:val="0"/>
          <w:w w:val="100"/>
          <w:position w:val="0"/>
          <w:sz w:val="32"/>
          <w:szCs w:val="32"/>
          <w:highlight w:val="none"/>
          <w:lang w:val="en-US" w:eastAsia="zh-CN"/>
        </w:rPr>
        <w:t>（缩略版）</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黑体" w:hAnsi="黑体" w:eastAsia="黑体" w:cs="黑体"/>
          <w:color w:val="000000"/>
          <w:spacing w:val="0"/>
          <w:w w:val="100"/>
          <w:position w:val="0"/>
          <w:sz w:val="32"/>
          <w:szCs w:val="32"/>
          <w:highlight w:val="none"/>
          <w:lang w:val="en-US" w:eastAsia="zh-CN"/>
        </w:rPr>
      </w:pPr>
      <w:r>
        <w:rPr>
          <w:rFonts w:hint="eastAsia" w:ascii="黑体" w:hAnsi="黑体" w:eastAsia="黑体" w:cs="黑体"/>
          <w:color w:val="000000"/>
          <w:spacing w:val="0"/>
          <w:w w:val="100"/>
          <w:position w:val="0"/>
          <w:sz w:val="32"/>
          <w:szCs w:val="32"/>
          <w:highlight w:val="none"/>
          <w:lang w:eastAsia="zh-CN"/>
        </w:rPr>
        <w:t>一</w:t>
      </w:r>
      <w:bookmarkEnd w:id="0"/>
      <w:r>
        <w:rPr>
          <w:rFonts w:hint="eastAsia" w:ascii="黑体" w:hAnsi="黑体" w:eastAsia="黑体" w:cs="黑体"/>
          <w:color w:val="000000"/>
          <w:spacing w:val="0"/>
          <w:w w:val="100"/>
          <w:position w:val="0"/>
          <w:sz w:val="32"/>
          <w:szCs w:val="32"/>
          <w:highlight w:val="none"/>
          <w:lang w:eastAsia="zh-CN"/>
        </w:rPr>
        <w:t>、自评</w:t>
      </w:r>
      <w:r>
        <w:rPr>
          <w:rFonts w:hint="eastAsia" w:ascii="黑体" w:hAnsi="黑体" w:eastAsia="黑体" w:cs="黑体"/>
          <w:color w:val="000000"/>
          <w:spacing w:val="0"/>
          <w:w w:val="100"/>
          <w:position w:val="0"/>
          <w:sz w:val="32"/>
          <w:szCs w:val="32"/>
          <w:highlight w:val="none"/>
          <w:lang w:val="en-US" w:eastAsia="zh-CN"/>
        </w:rPr>
        <w:t>结论</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楷体" w:hAnsi="楷体" w:eastAsia="楷体" w:cs="楷体"/>
          <w:color w:val="000000"/>
          <w:spacing w:val="0"/>
          <w:w w:val="100"/>
          <w:position w:val="0"/>
          <w:sz w:val="32"/>
          <w:szCs w:val="32"/>
          <w:highlight w:val="none"/>
          <w:lang w:eastAsia="zh-CN"/>
        </w:rPr>
      </w:pPr>
      <w:r>
        <w:rPr>
          <w:rFonts w:hint="eastAsia" w:ascii="楷体" w:hAnsi="楷体" w:eastAsia="楷体" w:cs="楷体"/>
          <w:color w:val="000000"/>
          <w:spacing w:val="0"/>
          <w:w w:val="100"/>
          <w:position w:val="0"/>
          <w:sz w:val="32"/>
          <w:szCs w:val="32"/>
          <w:highlight w:val="none"/>
          <w:lang w:eastAsia="zh-CN"/>
        </w:rPr>
        <w:t>（</w:t>
      </w:r>
      <w:r>
        <w:rPr>
          <w:rFonts w:hint="eastAsia" w:ascii="楷体" w:hAnsi="楷体" w:eastAsia="楷体" w:cs="楷体"/>
          <w:color w:val="000000"/>
          <w:spacing w:val="0"/>
          <w:w w:val="100"/>
          <w:position w:val="0"/>
          <w:sz w:val="32"/>
          <w:szCs w:val="32"/>
          <w:highlight w:val="none"/>
          <w:lang w:val="en-US" w:eastAsia="zh-CN"/>
        </w:rPr>
        <w:t>一）自评</w:t>
      </w:r>
      <w:r>
        <w:rPr>
          <w:rFonts w:hint="eastAsia" w:ascii="楷体" w:hAnsi="楷体" w:eastAsia="楷体" w:cs="楷体"/>
          <w:color w:val="000000"/>
          <w:spacing w:val="0"/>
          <w:w w:val="100"/>
          <w:position w:val="0"/>
          <w:sz w:val="32"/>
          <w:szCs w:val="32"/>
          <w:highlight w:val="none"/>
          <w:lang w:eastAsia="zh-CN"/>
        </w:rPr>
        <w:t>得分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项目绩效自评综合评分</w:t>
      </w:r>
      <w:r>
        <w:rPr>
          <w:rFonts w:hint="eastAsia" w:ascii="仿宋" w:hAnsi="仿宋" w:eastAsia="仿宋" w:cs="仿宋"/>
          <w:color w:val="000000"/>
          <w:spacing w:val="0"/>
          <w:w w:val="100"/>
          <w:position w:val="0"/>
          <w:sz w:val="32"/>
          <w:szCs w:val="32"/>
          <w:highlight w:val="none"/>
          <w:lang w:val="en-US" w:eastAsia="zh-CN"/>
        </w:rPr>
        <w:t>93.33</w:t>
      </w:r>
      <w:r>
        <w:rPr>
          <w:rFonts w:hint="eastAsia" w:ascii="仿宋" w:hAnsi="仿宋" w:eastAsia="仿宋" w:cs="仿宋"/>
          <w:color w:val="000000"/>
          <w:spacing w:val="0"/>
          <w:w w:val="100"/>
          <w:position w:val="0"/>
          <w:sz w:val="32"/>
          <w:szCs w:val="32"/>
          <w:highlight w:val="none"/>
          <w:lang w:eastAsia="zh-CN"/>
        </w:rPr>
        <w:t>分。</w:t>
      </w:r>
    </w:p>
    <w:tbl>
      <w:tblPr>
        <w:tblStyle w:val="7"/>
        <w:tblW w:w="0" w:type="auto"/>
        <w:jc w:val="center"/>
        <w:tblLayout w:type="fixed"/>
        <w:tblCellMar>
          <w:top w:w="0" w:type="dxa"/>
          <w:left w:w="10" w:type="dxa"/>
          <w:bottom w:w="0" w:type="dxa"/>
          <w:right w:w="10" w:type="dxa"/>
        </w:tblCellMar>
      </w:tblPr>
      <w:tblGrid>
        <w:gridCol w:w="2303"/>
        <w:gridCol w:w="1186"/>
        <w:gridCol w:w="1397"/>
        <w:gridCol w:w="1382"/>
        <w:gridCol w:w="1818"/>
      </w:tblGrid>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评价项目</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权重</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评级分值</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本项得分</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得分率</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预算执行情况</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20%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20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20</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lang w:val="en-US" w:eastAsia="zh-CN"/>
              </w:rPr>
              <w:t>100%</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项目产出</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40%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40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40</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highlight w:val="none"/>
                <w:lang w:val="en-US" w:eastAsia="zh-CN" w:bidi="en-US"/>
              </w:rPr>
            </w:pPr>
            <w:r>
              <w:rPr>
                <w:rFonts w:hint="eastAsia" w:ascii="仿宋" w:hAnsi="仿宋" w:eastAsia="仿宋" w:cs="仿宋"/>
                <w:b w:val="0"/>
                <w:bCs w:val="0"/>
                <w:color w:val="000000"/>
                <w:spacing w:val="0"/>
                <w:w w:val="100"/>
                <w:position w:val="0"/>
                <w:sz w:val="24"/>
                <w:szCs w:val="24"/>
                <w:highlight w:val="none"/>
                <w:lang w:val="en-US" w:eastAsia="zh-CN" w:bidi="en-US"/>
              </w:rPr>
              <w:t>100%</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项目效益</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2</w:t>
            </w:r>
            <w:r>
              <w:rPr>
                <w:rFonts w:hint="eastAsia" w:ascii="仿宋" w:hAnsi="仿宋" w:eastAsia="仿宋" w:cs="仿宋"/>
                <w:b w:val="0"/>
                <w:bCs w:val="0"/>
                <w:color w:val="000000"/>
                <w:spacing w:val="0"/>
                <w:w w:val="100"/>
                <w:position w:val="0"/>
                <w:sz w:val="24"/>
                <w:szCs w:val="24"/>
                <w:highlight w:val="none"/>
              </w:rPr>
              <w:t>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default" w:ascii="仿宋" w:hAnsi="仿宋" w:eastAsia="仿宋" w:cs="仿宋"/>
                <w:b w:val="0"/>
                <w:bCs w:val="0"/>
                <w:sz w:val="24"/>
                <w:szCs w:val="24"/>
                <w:highlight w:val="none"/>
                <w:lang w:val="en-US"/>
              </w:rPr>
            </w:pPr>
            <w:r>
              <w:rPr>
                <w:rFonts w:hint="eastAsia" w:ascii="仿宋" w:hAnsi="仿宋" w:eastAsia="仿宋" w:cs="仿宋"/>
                <w:b w:val="0"/>
                <w:bCs w:val="0"/>
                <w:color w:val="000000"/>
                <w:spacing w:val="0"/>
                <w:w w:val="100"/>
                <w:position w:val="0"/>
                <w:sz w:val="24"/>
                <w:szCs w:val="24"/>
                <w:highlight w:val="none"/>
                <w:lang w:val="en-US" w:eastAsia="zh-CN"/>
              </w:rPr>
              <w:t>20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20</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lang w:val="en-US" w:eastAsia="zh-CN"/>
              </w:rPr>
              <w:t>100%</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项目满意度</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380"/>
              <w:jc w:val="left"/>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20</w:t>
            </w:r>
            <w:r>
              <w:rPr>
                <w:rFonts w:hint="eastAsia" w:ascii="仿宋" w:hAnsi="仿宋" w:eastAsia="仿宋" w:cs="仿宋"/>
                <w:b w:val="0"/>
                <w:bCs w:val="0"/>
                <w:color w:val="000000"/>
                <w:spacing w:val="0"/>
                <w:w w:val="100"/>
                <w:position w:val="0"/>
                <w:sz w:val="24"/>
                <w:szCs w:val="24"/>
                <w:highlight w:val="none"/>
              </w:rPr>
              <w:t>%</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default" w:ascii="仿宋" w:hAnsi="仿宋" w:eastAsia="仿宋" w:cs="仿宋"/>
                <w:b w:val="0"/>
                <w:bCs w:val="0"/>
                <w:sz w:val="24"/>
                <w:szCs w:val="24"/>
                <w:highlight w:val="none"/>
                <w:lang w:val="en-US"/>
              </w:rPr>
            </w:pPr>
            <w:r>
              <w:rPr>
                <w:rFonts w:hint="eastAsia" w:ascii="仿宋" w:hAnsi="仿宋" w:eastAsia="仿宋" w:cs="仿宋"/>
                <w:b w:val="0"/>
                <w:bCs w:val="0"/>
                <w:color w:val="000000"/>
                <w:spacing w:val="0"/>
                <w:w w:val="100"/>
                <w:position w:val="0"/>
                <w:sz w:val="24"/>
                <w:szCs w:val="24"/>
                <w:highlight w:val="none"/>
                <w:lang w:val="en-US" w:eastAsia="zh-CN"/>
              </w:rPr>
              <w:t>20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b w:val="0"/>
                <w:bCs w:val="0"/>
                <w:sz w:val="24"/>
                <w:szCs w:val="24"/>
                <w:highlight w:val="none"/>
                <w:lang w:val="en-US"/>
              </w:rPr>
            </w:pPr>
            <w:r>
              <w:rPr>
                <w:rFonts w:hint="eastAsia" w:ascii="仿宋" w:hAnsi="仿宋" w:eastAsia="仿宋" w:cs="仿宋"/>
                <w:b w:val="0"/>
                <w:bCs w:val="0"/>
                <w:color w:val="000000"/>
                <w:spacing w:val="0"/>
                <w:w w:val="100"/>
                <w:position w:val="0"/>
                <w:sz w:val="24"/>
                <w:szCs w:val="24"/>
                <w:highlight w:val="none"/>
                <w:lang w:val="en-US" w:eastAsia="zh-CN"/>
              </w:rPr>
              <w:t>13.33</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lang w:val="en-US" w:eastAsia="zh-CN"/>
              </w:rPr>
              <w:t>66.67%</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综合绩效</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100%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100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93.33</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b w:val="0"/>
                <w:bCs w:val="0"/>
                <w:color w:val="000000"/>
                <w:spacing w:val="0"/>
                <w:w w:val="100"/>
                <w:position w:val="0"/>
                <w:sz w:val="24"/>
                <w:szCs w:val="24"/>
                <w:highlight w:val="none"/>
                <w:lang w:val="en-US" w:eastAsia="zh-CN" w:bidi="en-US"/>
              </w:rPr>
            </w:pPr>
            <w:r>
              <w:rPr>
                <w:rFonts w:hint="eastAsia" w:ascii="仿宋" w:hAnsi="仿宋" w:eastAsia="仿宋" w:cs="仿宋"/>
                <w:b w:val="0"/>
                <w:bCs w:val="0"/>
                <w:color w:val="000000"/>
                <w:spacing w:val="0"/>
                <w:w w:val="100"/>
                <w:position w:val="0"/>
                <w:sz w:val="24"/>
                <w:szCs w:val="24"/>
                <w:highlight w:val="none"/>
                <w:lang w:val="en-US" w:eastAsia="zh-CN" w:bidi="en-US"/>
              </w:rPr>
              <w:t>93.33%</w:t>
            </w:r>
          </w:p>
        </w:tc>
      </w:tr>
    </w:tbl>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楷体" w:hAnsi="楷体" w:eastAsia="楷体" w:cs="楷体"/>
          <w:color w:val="000000"/>
          <w:spacing w:val="0"/>
          <w:w w:val="100"/>
          <w:position w:val="0"/>
          <w:sz w:val="32"/>
          <w:szCs w:val="32"/>
          <w:highlight w:val="none"/>
          <w:lang w:eastAsia="zh-CN"/>
        </w:rPr>
      </w:pPr>
      <w:r>
        <w:rPr>
          <w:rFonts w:hint="eastAsia" w:ascii="楷体" w:hAnsi="楷体" w:eastAsia="楷体" w:cs="楷体"/>
          <w:color w:val="000000"/>
          <w:spacing w:val="0"/>
          <w:w w:val="100"/>
          <w:position w:val="0"/>
          <w:sz w:val="32"/>
          <w:szCs w:val="32"/>
          <w:highlight w:val="none"/>
          <w:lang w:eastAsia="zh-CN"/>
        </w:rPr>
        <w:t>（</w:t>
      </w:r>
      <w:r>
        <w:rPr>
          <w:rFonts w:hint="eastAsia" w:ascii="楷体" w:hAnsi="楷体" w:eastAsia="楷体" w:cs="楷体"/>
          <w:color w:val="000000"/>
          <w:spacing w:val="0"/>
          <w:w w:val="100"/>
          <w:position w:val="0"/>
          <w:sz w:val="32"/>
          <w:szCs w:val="32"/>
          <w:highlight w:val="none"/>
          <w:lang w:val="en-US" w:eastAsia="zh-CN"/>
        </w:rPr>
        <w:t>二）</w:t>
      </w:r>
      <w:r>
        <w:rPr>
          <w:rFonts w:hint="eastAsia" w:ascii="楷体" w:hAnsi="楷体" w:eastAsia="楷体" w:cs="楷体"/>
          <w:color w:val="000000"/>
          <w:spacing w:val="0"/>
          <w:w w:val="100"/>
          <w:position w:val="0"/>
          <w:sz w:val="32"/>
          <w:szCs w:val="32"/>
          <w:highlight w:val="none"/>
          <w:lang w:eastAsia="zh-CN"/>
        </w:rPr>
        <w:t>绩效目标完成情况</w:t>
      </w:r>
      <w:bookmarkStart w:id="1" w:name="bookmark5"/>
      <w:bookmarkEnd w:id="1"/>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eastAsia="zh-CN"/>
        </w:rPr>
      </w:pPr>
      <w:r>
        <w:rPr>
          <w:rFonts w:hint="eastAsia" w:ascii="楷体" w:hAnsi="楷体" w:eastAsia="楷体" w:cs="楷体"/>
          <w:color w:val="000000"/>
          <w:spacing w:val="0"/>
          <w:w w:val="100"/>
          <w:position w:val="0"/>
          <w:sz w:val="32"/>
          <w:szCs w:val="32"/>
          <w:highlight w:val="none"/>
          <w:lang w:val="en-US" w:eastAsia="zh-CN"/>
        </w:rPr>
        <w:t>1.</w:t>
      </w:r>
      <w:r>
        <w:rPr>
          <w:rFonts w:hint="eastAsia" w:ascii="楷体" w:hAnsi="楷体" w:eastAsia="楷体" w:cs="楷体"/>
          <w:color w:val="000000"/>
          <w:spacing w:val="0"/>
          <w:w w:val="100"/>
          <w:position w:val="0"/>
          <w:sz w:val="32"/>
          <w:szCs w:val="32"/>
          <w:highlight w:val="none"/>
          <w:lang w:eastAsia="zh-CN"/>
        </w:rPr>
        <w:t>执行率情况</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bookmarkStart w:id="2" w:name="bookmark6"/>
      <w:bookmarkEnd w:id="2"/>
      <w:r>
        <w:rPr>
          <w:rFonts w:hint="eastAsia" w:ascii="仿宋" w:hAnsi="仿宋" w:eastAsia="仿宋" w:cs="仿宋"/>
          <w:color w:val="000000"/>
          <w:spacing w:val="0"/>
          <w:w w:val="100"/>
          <w:position w:val="0"/>
          <w:sz w:val="32"/>
          <w:szCs w:val="32"/>
          <w:highlight w:val="none"/>
          <w:lang w:val="en-US" w:eastAsia="zh-CN"/>
        </w:rPr>
        <w:t xml:space="preserve">土地储备金项目预算金额为110000万元，经区财政局批复，从区自然资源和规划局征地和拆迁补偿项目调入4937.42万元，预算总额114937.42万元，预算执行率为100.00%。具体支出明细情况如下：                               </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      单位：万元</w:t>
      </w:r>
    </w:p>
    <w:tbl>
      <w:tblPr>
        <w:tblStyle w:val="8"/>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3744"/>
        <w:gridCol w:w="1752"/>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eastAsia="zh-CN"/>
              </w:rPr>
            </w:pPr>
            <w:r>
              <w:rPr>
                <w:rFonts w:hint="eastAsia" w:ascii="仿宋" w:hAnsi="仿宋" w:eastAsia="仿宋" w:cs="仿宋"/>
                <w:color w:val="000000"/>
                <w:spacing w:val="0"/>
                <w:w w:val="100"/>
                <w:position w:val="0"/>
                <w:sz w:val="24"/>
                <w:szCs w:val="24"/>
                <w:highlight w:val="none"/>
                <w:lang w:val="en-US" w:eastAsia="zh-CN"/>
              </w:rPr>
              <w:t>序号</w:t>
            </w:r>
          </w:p>
        </w:tc>
        <w:tc>
          <w:tcPr>
            <w:tcW w:w="374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eastAsia="zh-CN"/>
              </w:rPr>
            </w:pPr>
            <w:r>
              <w:rPr>
                <w:rFonts w:hint="eastAsia" w:ascii="仿宋" w:hAnsi="仿宋" w:eastAsia="仿宋" w:cs="仿宋"/>
                <w:color w:val="000000"/>
                <w:spacing w:val="0"/>
                <w:w w:val="100"/>
                <w:position w:val="0"/>
                <w:sz w:val="24"/>
                <w:szCs w:val="24"/>
                <w:highlight w:val="none"/>
                <w:lang w:val="en-US" w:eastAsia="zh-CN"/>
              </w:rPr>
              <w:t>单位名称</w:t>
            </w:r>
          </w:p>
        </w:tc>
        <w:tc>
          <w:tcPr>
            <w:tcW w:w="1752"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eastAsia="zh-CN"/>
              </w:rPr>
            </w:pPr>
            <w:r>
              <w:rPr>
                <w:rFonts w:hint="eastAsia" w:ascii="仿宋" w:hAnsi="仿宋" w:eastAsia="仿宋" w:cs="仿宋"/>
                <w:color w:val="000000"/>
                <w:spacing w:val="0"/>
                <w:w w:val="100"/>
                <w:position w:val="0"/>
                <w:sz w:val="24"/>
                <w:szCs w:val="24"/>
                <w:highlight w:val="none"/>
                <w:lang w:val="en-US" w:eastAsia="zh-CN"/>
              </w:rPr>
              <w:t>金  额</w:t>
            </w:r>
          </w:p>
        </w:tc>
        <w:tc>
          <w:tcPr>
            <w:tcW w:w="242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eastAsia="zh-CN"/>
              </w:rPr>
            </w:pPr>
            <w:r>
              <w:rPr>
                <w:rFonts w:hint="eastAsia" w:ascii="仿宋" w:hAnsi="仿宋" w:eastAsia="仿宋" w:cs="仿宋"/>
                <w:color w:val="000000"/>
                <w:spacing w:val="0"/>
                <w:w w:val="100"/>
                <w:position w:val="0"/>
                <w:sz w:val="24"/>
                <w:szCs w:val="24"/>
                <w:highlight w:val="none"/>
                <w:lang w:val="en-US" w:eastAsia="zh-CN"/>
              </w:rPr>
              <w:t>1</w:t>
            </w:r>
          </w:p>
        </w:tc>
        <w:tc>
          <w:tcPr>
            <w:tcW w:w="374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武汉美联地产有限公司</w:t>
            </w:r>
          </w:p>
        </w:tc>
        <w:tc>
          <w:tcPr>
            <w:tcW w:w="1752"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98360.64</w:t>
            </w:r>
          </w:p>
        </w:tc>
        <w:tc>
          <w:tcPr>
            <w:tcW w:w="242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置换土地补偿款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lang w:val="en-US" w:eastAsia="zh-CN"/>
              </w:rPr>
              <w:t>2</w:t>
            </w:r>
          </w:p>
        </w:tc>
        <w:tc>
          <w:tcPr>
            <w:tcW w:w="374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lang w:val="en-US" w:eastAsia="zh-CN"/>
              </w:rPr>
              <w:t>武汉地铁集团有限公司</w:t>
            </w:r>
          </w:p>
        </w:tc>
        <w:tc>
          <w:tcPr>
            <w:tcW w:w="1752"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lang w:val="en-US" w:eastAsia="zh-CN"/>
              </w:rPr>
              <w:t>13366.78</w:t>
            </w:r>
          </w:p>
        </w:tc>
        <w:tc>
          <w:tcPr>
            <w:tcW w:w="242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lang w:val="en-US" w:eastAsia="zh-CN"/>
              </w:rPr>
              <w:t>收回土地补偿款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0"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3</w:t>
            </w:r>
          </w:p>
        </w:tc>
        <w:tc>
          <w:tcPr>
            <w:tcW w:w="374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华工科技产业股份有限公司</w:t>
            </w:r>
          </w:p>
        </w:tc>
        <w:tc>
          <w:tcPr>
            <w:tcW w:w="1752"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3210.00</w:t>
            </w:r>
          </w:p>
        </w:tc>
        <w:tc>
          <w:tcPr>
            <w:tcW w:w="242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收回闲置土地补偿款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eastAsia="zh-CN"/>
              </w:rPr>
            </w:pPr>
          </w:p>
        </w:tc>
        <w:tc>
          <w:tcPr>
            <w:tcW w:w="374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合计</w:t>
            </w:r>
          </w:p>
        </w:tc>
        <w:tc>
          <w:tcPr>
            <w:tcW w:w="1752"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114937.42</w:t>
            </w:r>
          </w:p>
        </w:tc>
        <w:tc>
          <w:tcPr>
            <w:tcW w:w="2424" w:type="dxa"/>
            <w:vAlign w:val="center"/>
          </w:tcPr>
          <w:p>
            <w:pPr>
              <w:pStyle w:val="13"/>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val="en-US" w:eastAsia="zh-CN"/>
              </w:rPr>
            </w:pPr>
          </w:p>
        </w:tc>
      </w:tr>
    </w:tbl>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2.完成的绩效目标</w:t>
      </w:r>
    </w:p>
    <w:tbl>
      <w:tblPr>
        <w:tblStyle w:val="7"/>
        <w:tblW w:w="855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92"/>
        <w:gridCol w:w="1520"/>
        <w:gridCol w:w="2304"/>
        <w:gridCol w:w="1332"/>
        <w:gridCol w:w="1236"/>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一级指标</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二级指标</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三级指标</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年初目标值（A）</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实际完成值（B）</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1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产出指标   （40分）</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数量指标 （10分）</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收储土地数量（宗）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5</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质量指标 （10分）</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资金支付合规性</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合规</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合规</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时效指标 （10分）</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年内资金支付率</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p>
        </w:tc>
        <w:tc>
          <w:tcPr>
            <w:tcW w:w="15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成本指标 （10分）</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预算成本控制率</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9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效益指标（20）</w:t>
            </w:r>
          </w:p>
        </w:tc>
        <w:tc>
          <w:tcPr>
            <w:tcW w:w="152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经济效益指标（10分）</w:t>
            </w:r>
          </w:p>
        </w:tc>
        <w:tc>
          <w:tcPr>
            <w:tcW w:w="230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是否促进经济发展</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是</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是</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192" w:type="dxa"/>
            <w:vMerge w:val="continue"/>
            <w:tcBorders>
              <w:top w:val="nil"/>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p>
        </w:tc>
        <w:tc>
          <w:tcPr>
            <w:tcW w:w="1520"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社会效益指标（10分）</w:t>
            </w:r>
          </w:p>
        </w:tc>
        <w:tc>
          <w:tcPr>
            <w:tcW w:w="2304"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是否对规范土地市场，优化营商环境产生影响</w:t>
            </w:r>
          </w:p>
        </w:tc>
        <w:tc>
          <w:tcPr>
            <w:tcW w:w="13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是</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是</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w:t>
            </w:r>
          </w:p>
        </w:tc>
      </w:tr>
    </w:tbl>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bookmarkStart w:id="3" w:name="bookmark7"/>
      <w:bookmarkEnd w:id="3"/>
      <w:r>
        <w:rPr>
          <w:rFonts w:hint="eastAsia" w:ascii="楷体" w:hAnsi="楷体" w:eastAsia="楷体" w:cs="楷体"/>
          <w:color w:val="000000"/>
          <w:spacing w:val="0"/>
          <w:w w:val="100"/>
          <w:position w:val="0"/>
          <w:sz w:val="32"/>
          <w:szCs w:val="32"/>
          <w:highlight w:val="none"/>
          <w:lang w:val="en-US" w:eastAsia="zh-CN"/>
        </w:rPr>
        <w:t>3.未完成的绩效目标</w:t>
      </w:r>
    </w:p>
    <w:tbl>
      <w:tblPr>
        <w:tblStyle w:val="7"/>
        <w:tblW w:w="855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6"/>
        <w:gridCol w:w="1496"/>
        <w:gridCol w:w="2304"/>
        <w:gridCol w:w="1332"/>
        <w:gridCol w:w="1236"/>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一级指标</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二级指标</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三级指标</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年初目标值（A）</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实际完成值（B）</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满意度</w:t>
            </w:r>
            <w:r>
              <w:rPr>
                <w:rFonts w:hint="eastAsia" w:ascii="仿宋" w:hAnsi="仿宋" w:eastAsia="仿宋" w:cs="仿宋"/>
                <w:color w:val="000000"/>
                <w:spacing w:val="0"/>
                <w:w w:val="100"/>
                <w:position w:val="0"/>
                <w:sz w:val="24"/>
                <w:szCs w:val="24"/>
                <w:u w:val="none"/>
                <w:shd w:val="clear" w:color="auto" w:fill="auto"/>
                <w:lang w:val="en-US" w:eastAsia="zh-CN" w:bidi="zh-TW"/>
              </w:rPr>
              <w:br w:type="textWrapping"/>
            </w:r>
            <w:r>
              <w:rPr>
                <w:rFonts w:hint="eastAsia" w:ascii="仿宋" w:hAnsi="仿宋" w:eastAsia="仿宋" w:cs="仿宋"/>
                <w:color w:val="000000"/>
                <w:spacing w:val="0"/>
                <w:w w:val="100"/>
                <w:position w:val="0"/>
                <w:sz w:val="24"/>
                <w:szCs w:val="24"/>
                <w:u w:val="none"/>
                <w:shd w:val="clear" w:color="auto" w:fill="auto"/>
                <w:lang w:val="en-US" w:eastAsia="zh-CN" w:bidi="zh-TW"/>
              </w:rPr>
              <w:t>指标</w:t>
            </w:r>
            <w:r>
              <w:rPr>
                <w:rFonts w:hint="eastAsia" w:ascii="仿宋" w:hAnsi="仿宋" w:eastAsia="仿宋" w:cs="仿宋"/>
                <w:color w:val="000000"/>
                <w:spacing w:val="0"/>
                <w:w w:val="100"/>
                <w:position w:val="0"/>
                <w:sz w:val="24"/>
                <w:szCs w:val="24"/>
                <w:u w:val="none"/>
                <w:shd w:val="clear" w:color="auto" w:fill="auto"/>
                <w:lang w:val="en-US" w:eastAsia="zh-CN" w:bidi="zh-TW"/>
              </w:rPr>
              <w:br w:type="textWrapping"/>
            </w:r>
            <w:r>
              <w:rPr>
                <w:rFonts w:hint="eastAsia" w:ascii="仿宋" w:hAnsi="仿宋" w:eastAsia="仿宋" w:cs="仿宋"/>
                <w:color w:val="000000"/>
                <w:spacing w:val="0"/>
                <w:w w:val="100"/>
                <w:position w:val="0"/>
                <w:sz w:val="24"/>
                <w:szCs w:val="24"/>
                <w:u w:val="none"/>
                <w:shd w:val="clear" w:color="auto" w:fill="auto"/>
                <w:lang w:val="en-US" w:eastAsia="zh-CN" w:bidi="zh-TW"/>
              </w:rPr>
              <w:t>（20分）</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服务对象</w:t>
            </w:r>
            <w:r>
              <w:rPr>
                <w:rFonts w:hint="eastAsia" w:ascii="仿宋" w:hAnsi="仿宋" w:eastAsia="仿宋" w:cs="仿宋"/>
                <w:color w:val="000000"/>
                <w:spacing w:val="0"/>
                <w:w w:val="100"/>
                <w:position w:val="0"/>
                <w:sz w:val="24"/>
                <w:szCs w:val="24"/>
                <w:u w:val="none"/>
                <w:shd w:val="clear" w:color="auto" w:fill="auto"/>
                <w:lang w:val="en-US" w:eastAsia="zh-CN" w:bidi="zh-TW"/>
              </w:rPr>
              <w:br w:type="textWrapping"/>
            </w:r>
            <w:r>
              <w:rPr>
                <w:rFonts w:hint="eastAsia" w:ascii="仿宋" w:hAnsi="仿宋" w:eastAsia="仿宋" w:cs="仿宋"/>
                <w:color w:val="000000"/>
                <w:spacing w:val="0"/>
                <w:w w:val="100"/>
                <w:position w:val="0"/>
                <w:sz w:val="24"/>
                <w:szCs w:val="24"/>
                <w:u w:val="none"/>
                <w:shd w:val="clear" w:color="auto" w:fill="auto"/>
                <w:lang w:val="en-US" w:eastAsia="zh-CN" w:bidi="zh-TW"/>
              </w:rPr>
              <w:t>满意度指标</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企业对及时付款满意度</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66.67%</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13.33</w:t>
            </w:r>
          </w:p>
        </w:tc>
      </w:tr>
    </w:tbl>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pacing w:before="0" w:after="0" w:line="560" w:lineRule="exact"/>
        <w:ind w:right="0" w:rightChars="0" w:firstLine="640" w:firstLineChars="200"/>
        <w:jc w:val="both"/>
        <w:textAlignment w:val="auto"/>
        <w:rPr>
          <w:rFonts w:hint="eastAsia" w:ascii="楷体" w:hAnsi="楷体" w:eastAsia="楷体" w:cs="楷体"/>
          <w:b w:val="0"/>
          <w:bCs w:val="0"/>
          <w:color w:val="000000"/>
          <w:spacing w:val="0"/>
          <w:w w:val="100"/>
          <w:position w:val="0"/>
          <w:sz w:val="32"/>
          <w:szCs w:val="32"/>
          <w:highlight w:val="none"/>
        </w:rPr>
      </w:pPr>
      <w:r>
        <w:rPr>
          <w:rFonts w:hint="eastAsia" w:ascii="楷体" w:hAnsi="楷体" w:eastAsia="楷体" w:cs="楷体"/>
          <w:b w:val="0"/>
          <w:bCs w:val="0"/>
          <w:color w:val="000000"/>
          <w:spacing w:val="0"/>
          <w:w w:val="100"/>
          <w:position w:val="0"/>
          <w:sz w:val="32"/>
          <w:szCs w:val="32"/>
          <w:highlight w:val="none"/>
          <w:lang w:eastAsia="zh-CN"/>
        </w:rPr>
        <w:t>（</w:t>
      </w:r>
      <w:r>
        <w:rPr>
          <w:rFonts w:hint="eastAsia" w:ascii="楷体" w:hAnsi="楷体" w:eastAsia="楷体" w:cs="楷体"/>
          <w:b w:val="0"/>
          <w:bCs w:val="0"/>
          <w:color w:val="000000"/>
          <w:spacing w:val="0"/>
          <w:w w:val="100"/>
          <w:position w:val="0"/>
          <w:sz w:val="32"/>
          <w:szCs w:val="32"/>
          <w:highlight w:val="none"/>
          <w:lang w:val="en-US" w:eastAsia="zh-CN"/>
        </w:rPr>
        <w:t>三）</w:t>
      </w:r>
      <w:r>
        <w:rPr>
          <w:rFonts w:hint="eastAsia" w:ascii="楷体" w:hAnsi="楷体" w:eastAsia="楷体" w:cs="楷体"/>
          <w:b w:val="0"/>
          <w:bCs w:val="0"/>
          <w:color w:val="000000"/>
          <w:spacing w:val="0"/>
          <w:w w:val="100"/>
          <w:position w:val="0"/>
          <w:sz w:val="32"/>
          <w:szCs w:val="32"/>
          <w:highlight w:val="none"/>
        </w:rPr>
        <w:t>存在的问题和原因</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highlight w:val="none"/>
          <w:lang w:val="en-US" w:eastAsia="zh-CN"/>
        </w:rPr>
        <w:t>1.满意度指标未达年初设置100%的目标，原因为</w:t>
      </w:r>
      <w:r>
        <w:rPr>
          <w:rFonts w:hint="eastAsia" w:ascii="仿宋" w:hAnsi="仿宋" w:eastAsia="仿宋" w:cs="仿宋"/>
          <w:color w:val="000000"/>
          <w:spacing w:val="0"/>
          <w:w w:val="100"/>
          <w:position w:val="0"/>
          <w:sz w:val="32"/>
          <w:szCs w:val="32"/>
          <w:lang w:val="en-US" w:eastAsia="zh-CN"/>
        </w:rPr>
        <w:t>武汉地铁集团有限公司（以下简称“武汉地铁集团”）与</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武汉市东西湖区自然资源和规划局（以下简称“区自然资源和规划局”）</w:t>
      </w:r>
      <w:r>
        <w:rPr>
          <w:rFonts w:hint="eastAsia" w:ascii="仿宋" w:hAnsi="仿宋" w:eastAsia="仿宋" w:cs="仿宋"/>
          <w:color w:val="000000"/>
          <w:spacing w:val="0"/>
          <w:w w:val="100"/>
          <w:position w:val="0"/>
          <w:sz w:val="32"/>
          <w:szCs w:val="32"/>
          <w:lang w:val="en-US" w:eastAsia="zh-CN"/>
        </w:rPr>
        <w:t>对地铁集团提出的“无偿收回国有划拨土地使用权的书面申请”中“无偿”存在不同理解，双方对是否需要支付土地补偿款存在争议，双方沟通时间过长，后通过仲裁方式解决，影响了满意度指标的完成。</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楷体" w:hAnsi="楷体" w:eastAsia="楷体" w:cs="楷体"/>
          <w:b w:val="0"/>
          <w:bCs w:val="0"/>
          <w:sz w:val="32"/>
          <w:szCs w:val="32"/>
          <w:highlight w:val="none"/>
          <w:lang w:val="en-US" w:eastAsia="zh-CN"/>
        </w:rPr>
      </w:pPr>
      <w:r>
        <w:rPr>
          <w:rFonts w:hint="eastAsia" w:ascii="楷体" w:hAnsi="楷体" w:eastAsia="楷体" w:cs="楷体"/>
          <w:b w:val="0"/>
          <w:bCs w:val="0"/>
          <w:color w:val="000000"/>
          <w:spacing w:val="0"/>
          <w:w w:val="100"/>
          <w:position w:val="0"/>
          <w:sz w:val="32"/>
          <w:szCs w:val="32"/>
          <w:highlight w:val="none"/>
          <w:lang w:eastAsia="zh-CN"/>
        </w:rPr>
        <w:t>（</w:t>
      </w:r>
      <w:r>
        <w:rPr>
          <w:rFonts w:hint="eastAsia" w:ascii="楷体" w:hAnsi="楷体" w:eastAsia="楷体" w:cs="楷体"/>
          <w:b w:val="0"/>
          <w:bCs w:val="0"/>
          <w:color w:val="000000"/>
          <w:spacing w:val="0"/>
          <w:w w:val="100"/>
          <w:position w:val="0"/>
          <w:sz w:val="32"/>
          <w:szCs w:val="32"/>
          <w:highlight w:val="none"/>
          <w:lang w:val="en-US" w:eastAsia="zh-CN"/>
        </w:rPr>
        <w:t>四）下一步拟改进措施</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加强与服务企业的沟通，尽快协调解决出现的问题。</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附件：土地储备金项目绩效自评表</w:t>
      </w:r>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黑体" w:hAnsi="黑体" w:eastAsia="黑体" w:cs="黑体"/>
          <w:color w:val="000000"/>
          <w:spacing w:val="0"/>
          <w:w w:val="100"/>
          <w:position w:val="0"/>
          <w:sz w:val="32"/>
          <w:szCs w:val="32"/>
          <w:highlight w:val="none"/>
          <w:u w:val="none"/>
          <w:shd w:val="clear" w:color="auto" w:fill="auto"/>
          <w:lang w:val="en-US" w:eastAsia="zh-CN" w:bidi="zh-TW"/>
        </w:rPr>
      </w:pPr>
      <w:r>
        <w:rPr>
          <w:rFonts w:hint="eastAsia" w:ascii="黑体" w:hAnsi="黑体" w:eastAsia="黑体" w:cs="黑体"/>
          <w:color w:val="000000"/>
          <w:spacing w:val="0"/>
          <w:w w:val="100"/>
          <w:position w:val="0"/>
          <w:sz w:val="32"/>
          <w:szCs w:val="32"/>
          <w:highlight w:val="none"/>
          <w:u w:val="none"/>
          <w:shd w:val="clear" w:color="auto" w:fill="auto"/>
          <w:lang w:val="en-US" w:eastAsia="zh-CN" w:bidi="zh-TW"/>
        </w:rPr>
        <w:t>二、佐证材料</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2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（一)基本情况</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1.项目立项目的和年度绩效目标</w:t>
      </w:r>
    </w:p>
    <w:p>
      <w:pPr>
        <w:pStyle w:val="17"/>
        <w:spacing w:line="560" w:lineRule="exact"/>
        <w:ind w:firstLine="640" w:firstLineChars="200"/>
        <w:outlineLvl w:val="2"/>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1）土地储备金设立的目的：根据《中华人民共和国土地管理法》、《武汉市人民政府关于进一步加强土地供应管理促进节约集约用地的意见》（武政规[2016]1号）、《闲置土地处理办法》（国土资源部第53号令）等文件规定，为有效节约集约利用土地、盘活存量，确保土地储备开发工作稳定有序推进，促进招商引资工作，为项目发展创造良好的环境。</w:t>
      </w:r>
    </w:p>
    <w:p>
      <w:pPr>
        <w:pStyle w:val="17"/>
        <w:spacing w:line="560" w:lineRule="exact"/>
        <w:ind w:firstLine="640" w:firstLineChars="200"/>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年度项目绩效总目标：根据东西湖区主任办公会2021年第27次会议纪要，决定由区财政局预拨区自然资源和规划局11亿元土地储备资金，用于支付武汉美联地产有限公司（以下简称“美联地产”）、武汉地铁集团及华工科技产业股份有限公司（以下简称“华工科技公司”收回土地补偿款，资金缺口部分从区自然资源和规划局征地和拆迁补偿项目中支出。</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2.项目资金情况</w:t>
      </w:r>
    </w:p>
    <w:p>
      <w:pPr>
        <w:pStyle w:val="17"/>
        <w:spacing w:line="560" w:lineRule="exact"/>
        <w:ind w:firstLine="640" w:firstLineChars="200"/>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土地储备金使用的资金性质为政府性基金预算资金，预算金额为</w:t>
      </w:r>
      <w:r>
        <w:rPr>
          <w:rFonts w:hint="eastAsia" w:ascii="仿宋" w:hAnsi="仿宋" w:eastAsia="仿宋" w:cs="仿宋"/>
          <w:color w:val="000000"/>
          <w:spacing w:val="0"/>
          <w:w w:val="100"/>
          <w:position w:val="0"/>
          <w:sz w:val="32"/>
          <w:szCs w:val="32"/>
          <w:highlight w:val="none"/>
          <w:lang w:val="en-US" w:eastAsia="zh-CN"/>
        </w:rPr>
        <w:t>110000</w:t>
      </w:r>
      <w:r>
        <w:rPr>
          <w:rFonts w:hint="eastAsia" w:ascii="仿宋" w:hAnsi="仿宋" w:eastAsia="仿宋" w:cs="仿宋"/>
          <w:color w:val="000000"/>
          <w:spacing w:val="0"/>
          <w:w w:val="100"/>
          <w:position w:val="0"/>
          <w:sz w:val="32"/>
          <w:szCs w:val="32"/>
          <w:highlight w:val="none"/>
          <w:lang w:eastAsia="zh-CN"/>
        </w:rPr>
        <w:t>万元</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经区财政局批复，从区自然资源和规划局征地和拆迁补偿项目调入4937.42万元，预算总额114937.42万元，实际支出114937.42万元。用于支付美联地产置换土地补偿款98360.64万元、华工科技公司闲置土地收回补偿款3210.00万元、收回武汉地铁集团土地补偿款13366.78万元。</w:t>
      </w:r>
    </w:p>
    <w:p>
      <w:pPr>
        <w:pStyle w:val="11"/>
        <w:keepNext w:val="0"/>
        <w:keepLines w:val="0"/>
        <w:pageBreakBefore w:val="0"/>
        <w:widowControl w:val="0"/>
        <w:numPr>
          <w:ilvl w:val="0"/>
          <w:numId w:val="1"/>
        </w:numPr>
        <w:shd w:val="clear" w:color="auto" w:fill="auto"/>
        <w:kinsoku/>
        <w:wordWrap/>
        <w:overflowPunct/>
        <w:topLinePunct w:val="0"/>
        <w:autoSpaceDE/>
        <w:autoSpaceDN/>
        <w:bidi w:val="0"/>
        <w:adjustRightInd/>
        <w:spacing w:before="0" w:after="0" w:line="560" w:lineRule="exact"/>
        <w:ind w:left="0" w:right="0" w:firstLine="52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项目自评工作开展情况</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1.绩效评价工作开展程序</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（1）组建绩效自评小组，绩效自评项目小组由本单位财务室相关人员、聘请的第三方机构和项目对口科室相关人员共同组成。</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（2）项目绩效评价工作方案由绩效评价项目小组制定，主要包括安排各科室收集对应项目资料、了解项目开展情况、确定评价方法、项目评价实施时间安排等内容。</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（3）询问和查阅资料，询问、听取科经局相关人员情况反馈，了解项目实施情况，同时查看项目相关资料。</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（4）召开项目评价研讨会，沟通项目开展中存在的主要问题，分析问题形成的原因，提出相关改进措施，并对项目开展整体情况进行自评，撰写项目自评报告。</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2.评价方法</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按照《湖北省省级预算绩效评价管理暂行办法》、《东西湖区预算绩效评价管理暂行办法》等文件的要求，绩效评价方法主要有成本效益分析法、</w:t>
      </w:r>
      <w:r>
        <w:rPr>
          <w:rFonts w:hint="default" w:ascii="仿宋" w:hAnsi="仿宋" w:eastAsia="仿宋" w:cs="仿宋"/>
          <w:color w:val="000000"/>
          <w:spacing w:val="0"/>
          <w:w w:val="100"/>
          <w:position w:val="0"/>
          <w:sz w:val="32"/>
          <w:szCs w:val="32"/>
          <w:highlight w:val="none"/>
          <w:lang w:val="en-US" w:eastAsia="zh-CN"/>
        </w:rPr>
        <w:t>比较法、因素分析法、最低成本法、公众评判法、标杆管理法等</w:t>
      </w:r>
      <w:r>
        <w:rPr>
          <w:rFonts w:hint="eastAsia" w:ascii="仿宋" w:hAnsi="仿宋" w:eastAsia="仿宋" w:cs="仿宋"/>
          <w:color w:val="000000"/>
          <w:spacing w:val="0"/>
          <w:w w:val="100"/>
          <w:position w:val="0"/>
          <w:sz w:val="32"/>
          <w:szCs w:val="32"/>
          <w:highlight w:val="none"/>
          <w:lang w:val="en-US" w:eastAsia="zh-CN"/>
        </w:rPr>
        <w:t>。</w:t>
      </w:r>
      <w:r>
        <w:rPr>
          <w:rFonts w:hint="default" w:ascii="仿宋" w:hAnsi="仿宋" w:eastAsia="仿宋" w:cs="仿宋"/>
          <w:color w:val="000000"/>
          <w:spacing w:val="0"/>
          <w:w w:val="100"/>
          <w:position w:val="0"/>
          <w:sz w:val="32"/>
          <w:szCs w:val="32"/>
          <w:highlight w:val="none"/>
          <w:lang w:val="en-US" w:eastAsia="zh-CN"/>
        </w:rPr>
        <w:t>根据</w:t>
      </w:r>
      <w:r>
        <w:rPr>
          <w:rFonts w:hint="eastAsia" w:ascii="仿宋" w:hAnsi="仿宋" w:eastAsia="仿宋" w:cs="仿宋"/>
          <w:color w:val="000000"/>
          <w:spacing w:val="0"/>
          <w:w w:val="100"/>
          <w:position w:val="0"/>
          <w:sz w:val="32"/>
          <w:szCs w:val="32"/>
          <w:highlight w:val="none"/>
          <w:lang w:val="en-US" w:eastAsia="zh-CN"/>
        </w:rPr>
        <w:t>本次</w:t>
      </w:r>
      <w:r>
        <w:rPr>
          <w:rFonts w:hint="default" w:ascii="仿宋" w:hAnsi="仿宋" w:eastAsia="仿宋" w:cs="仿宋"/>
          <w:color w:val="000000"/>
          <w:spacing w:val="0"/>
          <w:w w:val="100"/>
          <w:position w:val="0"/>
          <w:sz w:val="32"/>
          <w:szCs w:val="32"/>
          <w:highlight w:val="none"/>
          <w:lang w:val="en-US" w:eastAsia="zh-CN"/>
        </w:rPr>
        <w:t>评价对象的具体情况,</w:t>
      </w:r>
      <w:r>
        <w:rPr>
          <w:rFonts w:hint="eastAsia" w:ascii="仿宋" w:hAnsi="仿宋" w:eastAsia="仿宋" w:cs="仿宋"/>
          <w:color w:val="000000"/>
          <w:spacing w:val="0"/>
          <w:w w:val="100"/>
          <w:position w:val="0"/>
          <w:sz w:val="32"/>
          <w:szCs w:val="32"/>
          <w:highlight w:val="none"/>
          <w:lang w:val="en-US" w:eastAsia="zh-CN"/>
        </w:rPr>
        <w:t>选择比较法、公众评判法和因素分析法作为本次项目财政绩效评价的方法。</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2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（三）绩效目标完成情况分析</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1.预算执行情况分析（20分）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lang w:val="en-US" w:eastAsia="zh-CN"/>
        </w:rPr>
        <w:t>该项目2021年度预算批复金额为110000</w:t>
      </w:r>
      <w:r>
        <w:rPr>
          <w:rFonts w:hint="eastAsia" w:ascii="仿宋" w:hAnsi="仿宋" w:eastAsia="仿宋" w:cs="仿宋"/>
          <w:color w:val="000000"/>
          <w:spacing w:val="0"/>
          <w:w w:val="100"/>
          <w:position w:val="0"/>
          <w:sz w:val="32"/>
          <w:szCs w:val="32"/>
          <w:highlight w:val="none"/>
          <w:lang w:eastAsia="zh-CN"/>
        </w:rPr>
        <w:t>万元</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，从区规划局征地和拆迁补偿项目调入指标4937.42万元，预算总额114937.42万元，实际支出114937.42万元，预算执行率为100%。</w:t>
      </w:r>
      <w:r>
        <w:rPr>
          <w:rFonts w:hint="eastAsia" w:ascii="仿宋" w:hAnsi="仿宋" w:eastAsia="仿宋" w:cs="仿宋"/>
          <w:color w:val="000000"/>
          <w:spacing w:val="0"/>
          <w:w w:val="100"/>
          <w:position w:val="0"/>
          <w:sz w:val="32"/>
          <w:szCs w:val="32"/>
          <w:highlight w:val="none"/>
          <w:lang w:val="en-US" w:eastAsia="zh-CN"/>
        </w:rPr>
        <w:t>执行率评价分值为20分，自评得分20分。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2.绩效目标完成情况分析</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（1）产出指标完成情况分析（40分）</w:t>
      </w:r>
    </w:p>
    <w:p>
      <w:pPr>
        <w:pStyle w:val="17"/>
        <w:spacing w:line="560" w:lineRule="exact"/>
        <w:ind w:firstLine="585"/>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①数量指标：收储土地数量（宗）（10分），年初目标值为5，2021年收回美联地产置换土地2宗、华工科技公司闲置土地1宗、武汉地铁集团土地2宗，共计收回5宗，该指标年初目标完成，自评得分为10分。</w:t>
      </w:r>
    </w:p>
    <w:p>
      <w:pPr>
        <w:pStyle w:val="17"/>
        <w:spacing w:line="560" w:lineRule="exact"/>
        <w:ind w:firstLine="585"/>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②质量指标：资金支付合规性（10分），根据《区人民政府关于武汉美联地产有限公司“永旺</w:t>
      </w:r>
      <w:r>
        <w:rPr>
          <w:rFonts w:hint="eastAsia" w:ascii="微软雅黑" w:hAnsi="微软雅黑" w:eastAsia="微软雅黑" w:cs="微软雅黑"/>
          <w:color w:val="000000"/>
          <w:spacing w:val="0"/>
          <w:w w:val="100"/>
          <w:position w:val="0"/>
          <w:sz w:val="32"/>
          <w:szCs w:val="32"/>
          <w:highlight w:val="none"/>
          <w:u w:val="none"/>
          <w:shd w:val="clear" w:color="auto" w:fill="auto"/>
          <w:lang w:val="en-US" w:eastAsia="zh-CN" w:bidi="zh-TW"/>
        </w:rPr>
        <w:t>·</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梦乐城”项目土地交换的批复》、《区人民政府关于华工科技产业股份有限公司项下闲置土地处置方案的批复》以及东西湖区人民政府作出的东政土字[2017]91、92号批复，收回美联地产、武汉地铁集团、华工科技公司土地的行为均是依规办理的；根据东西湖区主任办公会2021年第27次会议纪要，区财政局预拨11亿元土地储备资金至区自然资源和规划局，资金到位后经科室负责人、财务负责人、科室分管领导、分管财务领导及局长签批后完成支付，资金支付符合单位审批流程，该指标自评得分为10分。</w:t>
      </w:r>
    </w:p>
    <w:p>
      <w:pPr>
        <w:pStyle w:val="17"/>
        <w:spacing w:line="560" w:lineRule="exact"/>
        <w:ind w:firstLine="640" w:firstLineChars="200"/>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 xml:space="preserve"> ③时效指标：年内资金支付率为100%（10分），截止2021年12月15日，完成支付美联地产、武汉地铁集团、华工科技公司三家单位土地收回补偿款114937.42万元，预算资金全部执行完毕，该指标自评得分为10分。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④成本指标：预算成本控制率≦100%（10分），2021年支付土地补偿款</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114937.42万元，</w:t>
      </w:r>
      <w:r>
        <w:rPr>
          <w:rFonts w:hint="eastAsia" w:ascii="仿宋" w:hAnsi="仿宋" w:eastAsia="仿宋" w:cs="仿宋"/>
          <w:color w:val="000000"/>
          <w:spacing w:val="0"/>
          <w:w w:val="100"/>
          <w:position w:val="0"/>
          <w:sz w:val="32"/>
          <w:szCs w:val="32"/>
          <w:highlight w:val="none"/>
          <w:lang w:val="en-US" w:eastAsia="zh-CN"/>
        </w:rPr>
        <w:t>未超预算金额。该指标自评得分为10分。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综上所述分析，产出指标评价分值40分，自评得分40分。</w:t>
      </w:r>
    </w:p>
    <w:p>
      <w:pPr>
        <w:pStyle w:val="11"/>
        <w:keepNext w:val="0"/>
        <w:keepLines w:val="0"/>
        <w:pageBreakBefore w:val="0"/>
        <w:widowControl w:val="0"/>
        <w:numPr>
          <w:ilvl w:val="0"/>
          <w:numId w:val="2"/>
        </w:numPr>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效益指标完成情况分析（20分）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①经济效益指标：</w:t>
      </w:r>
      <w:r>
        <w:rPr>
          <w:rFonts w:hint="eastAsia" w:ascii="仿宋" w:hAnsi="仿宋" w:eastAsia="仿宋" w:cs="仿宋"/>
          <w:color w:val="000000"/>
          <w:spacing w:val="0"/>
          <w:w w:val="100"/>
          <w:position w:val="0"/>
          <w:sz w:val="32"/>
          <w:szCs w:val="32"/>
          <w:highlight w:val="none"/>
          <w:lang w:val="en-US" w:eastAsia="zh-CN"/>
        </w:rPr>
        <w:t>促进经济发展（10分）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right="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通过实施美联地产“永旺</w:t>
      </w:r>
      <w:r>
        <w:rPr>
          <w:rFonts w:hint="eastAsia" w:ascii="微软雅黑" w:hAnsi="微软雅黑" w:eastAsia="微软雅黑" w:cs="微软雅黑"/>
          <w:color w:val="000000"/>
          <w:spacing w:val="0"/>
          <w:w w:val="100"/>
          <w:position w:val="0"/>
          <w:sz w:val="32"/>
          <w:szCs w:val="32"/>
          <w:highlight w:val="none"/>
          <w:lang w:val="en-US" w:eastAsia="zh-CN"/>
        </w:rPr>
        <w:t>·</w:t>
      </w:r>
      <w:r>
        <w:rPr>
          <w:rFonts w:hint="eastAsia" w:ascii="仿宋" w:hAnsi="仿宋" w:eastAsia="仿宋" w:cs="仿宋"/>
          <w:color w:val="000000"/>
          <w:spacing w:val="0"/>
          <w:w w:val="100"/>
          <w:position w:val="0"/>
          <w:sz w:val="32"/>
          <w:szCs w:val="32"/>
          <w:highlight w:val="none"/>
          <w:lang w:val="en-US" w:eastAsia="zh-CN"/>
        </w:rPr>
        <w:t>梦乐城”项目土地交换，收取土地出让金99652.52万元，支付土地补偿款98360.64万元，既增加了地方财政收入，又促进“永旺</w:t>
      </w:r>
      <w:r>
        <w:rPr>
          <w:rFonts w:hint="eastAsia" w:ascii="微软雅黑" w:hAnsi="微软雅黑" w:eastAsia="微软雅黑" w:cs="微软雅黑"/>
          <w:color w:val="000000"/>
          <w:spacing w:val="0"/>
          <w:w w:val="100"/>
          <w:position w:val="0"/>
          <w:sz w:val="32"/>
          <w:szCs w:val="32"/>
          <w:highlight w:val="none"/>
          <w:lang w:val="en-US" w:eastAsia="zh-CN"/>
        </w:rPr>
        <w:t>·</w:t>
      </w:r>
      <w:r>
        <w:rPr>
          <w:rFonts w:hint="eastAsia" w:ascii="仿宋" w:hAnsi="仿宋" w:eastAsia="仿宋" w:cs="仿宋"/>
          <w:color w:val="000000"/>
          <w:spacing w:val="0"/>
          <w:w w:val="100"/>
          <w:position w:val="0"/>
          <w:sz w:val="32"/>
          <w:szCs w:val="32"/>
          <w:highlight w:val="none"/>
          <w:lang w:val="en-US" w:eastAsia="zh-CN"/>
        </w:rPr>
        <w:t>梦乐城”项目的良好发展，带动了区域内人员就业、经济发展。</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该指标</w:t>
      </w:r>
      <w:r>
        <w:rPr>
          <w:rFonts w:hint="eastAsia" w:ascii="仿宋" w:hAnsi="仿宋" w:eastAsia="仿宋" w:cs="仿宋"/>
          <w:color w:val="000000"/>
          <w:spacing w:val="0"/>
          <w:w w:val="100"/>
          <w:position w:val="0"/>
          <w:sz w:val="32"/>
          <w:szCs w:val="32"/>
          <w:lang w:val="en-US" w:eastAsia="zh-CN"/>
        </w:rPr>
        <w:t>评价分值10分，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自评得分为10分。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yellow"/>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w:t>
      </w:r>
      <w:r>
        <w:rPr>
          <w:rFonts w:hint="eastAsia" w:ascii="仿宋" w:hAnsi="仿宋" w:eastAsia="仿宋" w:cs="仿宋"/>
          <w:color w:val="000000"/>
          <w:spacing w:val="0"/>
          <w:w w:val="100"/>
          <w:position w:val="0"/>
          <w:sz w:val="32"/>
          <w:szCs w:val="32"/>
          <w:highlight w:val="none"/>
          <w:lang w:val="en-US" w:eastAsia="zh-CN"/>
        </w:rPr>
        <w:t>社会效益指标：规范土地市场，优化营商环境（10分）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通过实施土地收储,收回武汉地铁集团土地、华工科技闲置土地，有效处置和充分利用闲置土地，促进节约集约用地，提高建设用地保障能力；对规范土地市场行为、提高土地市场的公平性和透明性方面起到积极的作用，优化营商环境；后期通过招拍挂，既可增加财政收入，又可促进城市建设、社会经济的可持续发展。</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该指标</w:t>
      </w:r>
      <w:r>
        <w:rPr>
          <w:rFonts w:hint="eastAsia" w:ascii="仿宋" w:hAnsi="仿宋" w:eastAsia="仿宋" w:cs="仿宋"/>
          <w:color w:val="000000"/>
          <w:spacing w:val="0"/>
          <w:w w:val="100"/>
          <w:position w:val="0"/>
          <w:sz w:val="32"/>
          <w:szCs w:val="32"/>
          <w:lang w:val="en-US" w:eastAsia="zh-CN"/>
        </w:rPr>
        <w:t>评价分值10分，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自评得分为10分。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综上所述分析，效益指标评价分值20分，自评得分20分。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（3）满意度指标完成情况分析（20分）</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年初目标值为：企业对及时付款满意度100%，通过对该专项资金涉及收回土地的三家企业电话询问，美联地产、华工科技两家企业对及时付款比较满意；武汉地铁集团前期因回收土地赔偿金问题沟通协调时间过长，后通过仲裁方式解决，企业满意度欠佳。根据三家企业占比，满意度为66.67%。</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综上所述分析，满意度指标评级分20分，自评得分13.33分。</w:t>
      </w:r>
    </w:p>
    <w:p>
      <w:pPr>
        <w:pStyle w:val="11"/>
        <w:keepNext w:val="0"/>
        <w:keepLines w:val="0"/>
        <w:pageBreakBefore w:val="0"/>
        <w:widowControl w:val="0"/>
        <w:numPr>
          <w:ilvl w:val="0"/>
          <w:numId w:val="3"/>
        </w:numPr>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上年度部门自评结果应用情况</w:t>
      </w:r>
    </w:p>
    <w:p>
      <w:pPr>
        <w:pStyle w:val="17"/>
        <w:spacing w:line="560" w:lineRule="exact"/>
        <w:ind w:firstLine="585"/>
        <w:rPr>
          <w:rFonts w:hint="default" w:ascii="楷体" w:hAnsi="楷体" w:eastAsia="楷体" w:cs="楷体"/>
          <w:color w:val="000000"/>
          <w:spacing w:val="0"/>
          <w:w w:val="100"/>
          <w:position w:val="0"/>
          <w:sz w:val="32"/>
          <w:szCs w:val="32"/>
          <w:highlight w:val="yellow"/>
          <w:lang w:val="en-US" w:eastAsia="zh-CN"/>
        </w:rPr>
      </w:pPr>
      <w:r>
        <w:rPr>
          <w:rFonts w:hint="eastAsia" w:ascii="仿宋" w:hAnsi="仿宋" w:eastAsia="仿宋" w:cs="仿宋"/>
          <w:color w:val="000000"/>
          <w:spacing w:val="0"/>
          <w:w w:val="100"/>
          <w:position w:val="0"/>
          <w:sz w:val="32"/>
          <w:szCs w:val="32"/>
          <w:u w:val="none"/>
          <w:shd w:val="clear" w:color="auto" w:fill="auto"/>
          <w:lang w:val="en-US" w:eastAsia="zh-CN" w:bidi="zh-TW"/>
        </w:rPr>
        <w:t>本项目为本年度新增一次性项目，无上年自评结果应用。</w:t>
      </w:r>
    </w:p>
    <w:p>
      <w:pPr>
        <w:pStyle w:val="11"/>
        <w:keepNext w:val="0"/>
        <w:keepLines w:val="0"/>
        <w:pageBreakBefore w:val="0"/>
        <w:widowControl w:val="0"/>
        <w:numPr>
          <w:ilvl w:val="0"/>
          <w:numId w:val="3"/>
        </w:numPr>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其他佐证材料：无。</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440" w:firstLineChars="200"/>
        <w:jc w:val="both"/>
        <w:textAlignment w:val="auto"/>
        <w:rPr>
          <w:rFonts w:hint="eastAsia" w:ascii="仿宋" w:hAnsi="仿宋" w:eastAsia="仿宋" w:cs="仿宋"/>
          <w:color w:val="000000"/>
          <w:spacing w:val="0"/>
          <w:w w:val="100"/>
          <w:position w:val="0"/>
          <w:sz w:val="22"/>
          <w:szCs w:val="22"/>
          <w:u w:val="none"/>
          <w:shd w:val="clear" w:color="auto" w:fill="auto"/>
          <w:lang w:val="en-US" w:eastAsia="zh-CN" w:bidi="zh-TW"/>
        </w:rPr>
      </w:pPr>
      <w:r>
        <w:rPr>
          <w:rFonts w:hint="eastAsia" w:ascii="仿宋" w:hAnsi="仿宋" w:eastAsia="仿宋" w:cs="仿宋"/>
          <w:color w:val="000000"/>
          <w:spacing w:val="0"/>
          <w:w w:val="100"/>
          <w:position w:val="0"/>
          <w:sz w:val="22"/>
          <w:szCs w:val="22"/>
          <w:u w:val="none"/>
          <w:shd w:val="clear" w:color="auto" w:fill="auto"/>
          <w:lang w:val="en-US" w:eastAsia="zh-CN" w:bidi="zh-TW"/>
        </w:rPr>
        <w:t xml:space="preserve">         </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440" w:firstLineChars="200"/>
        <w:jc w:val="both"/>
        <w:textAlignment w:val="auto"/>
        <w:rPr>
          <w:rFonts w:hint="eastAsia" w:ascii="仿宋" w:hAnsi="仿宋" w:eastAsia="仿宋" w:cs="仿宋"/>
          <w:color w:val="000000"/>
          <w:spacing w:val="0"/>
          <w:w w:val="100"/>
          <w:position w:val="0"/>
          <w:sz w:val="22"/>
          <w:szCs w:val="22"/>
          <w:u w:val="none"/>
          <w:shd w:val="clear" w:color="auto" w:fill="auto"/>
          <w:lang w:val="en-US" w:eastAsia="zh-CN" w:bidi="zh-TW"/>
        </w:rPr>
      </w:pP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440" w:firstLineChars="200"/>
        <w:jc w:val="both"/>
        <w:textAlignment w:val="auto"/>
        <w:rPr>
          <w:rFonts w:hint="eastAsia" w:ascii="仿宋" w:hAnsi="仿宋" w:eastAsia="仿宋" w:cs="仿宋"/>
          <w:color w:val="000000"/>
          <w:spacing w:val="0"/>
          <w:w w:val="100"/>
          <w:position w:val="0"/>
          <w:sz w:val="32"/>
          <w:szCs w:val="32"/>
          <w:u w:val="none"/>
          <w:shd w:val="clear" w:color="auto" w:fill="auto"/>
          <w:lang w:val="en-US" w:eastAsia="zh-CN" w:bidi="zh-TW"/>
        </w:rPr>
      </w:pPr>
      <w:r>
        <w:rPr>
          <w:rFonts w:hint="eastAsia" w:ascii="仿宋" w:hAnsi="仿宋" w:eastAsia="仿宋" w:cs="仿宋"/>
          <w:color w:val="000000"/>
          <w:spacing w:val="0"/>
          <w:w w:val="100"/>
          <w:position w:val="0"/>
          <w:sz w:val="22"/>
          <w:szCs w:val="22"/>
          <w:u w:val="none"/>
          <w:shd w:val="clear" w:color="auto" w:fill="auto"/>
          <w:lang w:val="en-US" w:eastAsia="zh-CN" w:bidi="zh-TW"/>
        </w:rPr>
        <w:t xml:space="preserve">                     </w:t>
      </w:r>
      <w:r>
        <w:rPr>
          <w:rFonts w:hint="eastAsia" w:ascii="仿宋" w:hAnsi="仿宋" w:eastAsia="仿宋" w:cs="仿宋"/>
          <w:color w:val="000000"/>
          <w:spacing w:val="0"/>
          <w:w w:val="100"/>
          <w:position w:val="0"/>
          <w:sz w:val="32"/>
          <w:szCs w:val="32"/>
          <w:u w:val="none"/>
          <w:shd w:val="clear" w:color="auto" w:fill="auto"/>
          <w:lang w:val="en-US" w:eastAsia="zh-CN" w:bidi="zh-TW"/>
        </w:rPr>
        <w:t xml:space="preserve">        东西湖区自然资源和规划局</w:t>
      </w:r>
    </w:p>
    <w:p>
      <w:pPr>
        <w:pStyle w:val="11"/>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仿宋" w:hAnsi="仿宋" w:eastAsia="仿宋" w:cs="仿宋"/>
          <w:color w:val="000000"/>
          <w:spacing w:val="0"/>
          <w:w w:val="100"/>
          <w:position w:val="0"/>
          <w:sz w:val="32"/>
          <w:szCs w:val="32"/>
          <w:u w:val="none"/>
          <w:shd w:val="clear" w:color="auto" w:fill="auto"/>
          <w:lang w:val="en-US" w:eastAsia="zh-CN" w:bidi="zh-TW"/>
        </w:rPr>
      </w:pPr>
      <w:r>
        <w:rPr>
          <w:rFonts w:hint="eastAsia" w:ascii="仿宋" w:hAnsi="仿宋" w:eastAsia="仿宋" w:cs="仿宋"/>
          <w:color w:val="000000"/>
          <w:spacing w:val="0"/>
          <w:w w:val="100"/>
          <w:position w:val="0"/>
          <w:sz w:val="32"/>
          <w:szCs w:val="32"/>
          <w:u w:val="none"/>
          <w:shd w:val="clear" w:color="auto" w:fill="auto"/>
          <w:lang w:val="en-US" w:eastAsia="zh-CN" w:bidi="zh-TW"/>
        </w:rPr>
        <w:t xml:space="preserve">                          2022年5月20日 </w:t>
      </w:r>
      <w:bookmarkStart w:id="4" w:name="_GoBack"/>
      <w:bookmarkEnd w:id="4"/>
    </w:p>
    <w:sectPr>
      <w:footerReference r:id="rId3" w:type="default"/>
      <w:pgSz w:w="11906" w:h="16838"/>
      <w:pgMar w:top="1984" w:right="1474" w:bottom="1871"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mc:AlternateContent>
        <mc:Choice Requires="wps">
          <w:drawing>
            <wp:anchor distT="0" distB="0" distL="0" distR="0" simplePos="0" relativeHeight="251659264" behindDoc="1" locked="0" layoutInCell="1" allowOverlap="1">
              <wp:simplePos x="0" y="0"/>
              <wp:positionH relativeFrom="page">
                <wp:posOffset>2552700</wp:posOffset>
              </wp:positionH>
              <wp:positionV relativeFrom="page">
                <wp:posOffset>7271385</wp:posOffset>
              </wp:positionV>
              <wp:extent cx="255905" cy="82550"/>
              <wp:effectExtent l="0" t="0" r="0" b="0"/>
              <wp:wrapNone/>
              <wp:docPr id="1" name="Shape 1"/>
              <wp:cNvGraphicFramePr/>
              <a:graphic xmlns:a="http://schemas.openxmlformats.org/drawingml/2006/main">
                <a:graphicData uri="http://schemas.microsoft.com/office/word/2010/wordprocessingShape">
                  <wps:wsp>
                    <wps:cNvSpPr txBox="1"/>
                    <wps:spPr>
                      <a:xfrm>
                        <a:off x="0" y="0"/>
                        <a:ext cx="255905" cy="82550"/>
                      </a:xfrm>
                      <a:prstGeom prst="rect">
                        <a:avLst/>
                      </a:prstGeom>
                      <a:noFill/>
                    </wps:spPr>
                    <wps:txbx>
                      <w:txbxContent>
                        <w:p>
                          <w:pPr>
                            <w:pStyle w:val="16"/>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1" o:spid="_x0000_s1026" o:spt="202" type="#_x0000_t202" style="position:absolute;left:0pt;margin-left:201pt;margin-top:572.55pt;height:6.5pt;width:20.15pt;mso-position-horizontal-relative:page;mso-position-vertical-relative:page;mso-wrap-style:none;z-index:-251657216;mso-width-relative:page;mso-height-relative:page;" filled="f" stroked="f" coordsize="21600,21600" o:gfxdata="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MINR99gAAAAN&#10;AQAADwAAAAAAAAABACAAAAAiAAAAZHJzL2Rvd25yZXYueG1sUEsBAhQAFAAAAAgAh07iQN09Nsiq&#10;AQAAbgMAAA4AAAAAAAAAAQAgAAAAJwEAAGRycy9lMm9Eb2MueG1sUEsFBgAAAAAGAAYAWQEAAEMF&#10;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9DA4C"/>
    <w:multiLevelType w:val="singleLevel"/>
    <w:tmpl w:val="C539DA4C"/>
    <w:lvl w:ilvl="0" w:tentative="0">
      <w:start w:val="2"/>
      <w:numFmt w:val="decimal"/>
      <w:suff w:val="nothing"/>
      <w:lvlText w:val="（%1）"/>
      <w:lvlJc w:val="left"/>
    </w:lvl>
  </w:abstractNum>
  <w:abstractNum w:abstractNumId="1">
    <w:nsid w:val="07FAD4D4"/>
    <w:multiLevelType w:val="singleLevel"/>
    <w:tmpl w:val="07FAD4D4"/>
    <w:lvl w:ilvl="0" w:tentative="0">
      <w:start w:val="4"/>
      <w:numFmt w:val="chineseCounting"/>
      <w:suff w:val="nothing"/>
      <w:lvlText w:val="（%1）"/>
      <w:lvlJc w:val="left"/>
      <w:rPr>
        <w:rFonts w:hint="eastAsia"/>
      </w:rPr>
    </w:lvl>
  </w:abstractNum>
  <w:abstractNum w:abstractNumId="2">
    <w:nsid w:val="47FDDD3C"/>
    <w:multiLevelType w:val="singleLevel"/>
    <w:tmpl w:val="47FDDD3C"/>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5NWE4YzVkNzk4MzFjYjMwZmE1ZTdiNWE5Y2VkNWYifQ=="/>
  </w:docVars>
  <w:rsids>
    <w:rsidRoot w:val="60C61154"/>
    <w:rsid w:val="00E15295"/>
    <w:rsid w:val="020E4620"/>
    <w:rsid w:val="025815BF"/>
    <w:rsid w:val="02B016D4"/>
    <w:rsid w:val="035E1877"/>
    <w:rsid w:val="04DD1BA6"/>
    <w:rsid w:val="05554B5D"/>
    <w:rsid w:val="059246B3"/>
    <w:rsid w:val="060D38BB"/>
    <w:rsid w:val="063A7638"/>
    <w:rsid w:val="07835791"/>
    <w:rsid w:val="083E11FA"/>
    <w:rsid w:val="093305F6"/>
    <w:rsid w:val="0A7F442A"/>
    <w:rsid w:val="0CBB37D9"/>
    <w:rsid w:val="0D171BC9"/>
    <w:rsid w:val="0E1F0839"/>
    <w:rsid w:val="0F6B6D3C"/>
    <w:rsid w:val="108E442E"/>
    <w:rsid w:val="1337517F"/>
    <w:rsid w:val="13EC7F48"/>
    <w:rsid w:val="14A423A8"/>
    <w:rsid w:val="14D820C9"/>
    <w:rsid w:val="17E864CD"/>
    <w:rsid w:val="18B01A93"/>
    <w:rsid w:val="19C54542"/>
    <w:rsid w:val="1A734D1B"/>
    <w:rsid w:val="1AA44E2F"/>
    <w:rsid w:val="1B157F55"/>
    <w:rsid w:val="1E8D74A0"/>
    <w:rsid w:val="1FC216BC"/>
    <w:rsid w:val="20211A96"/>
    <w:rsid w:val="2072166E"/>
    <w:rsid w:val="21FD18D2"/>
    <w:rsid w:val="220C245A"/>
    <w:rsid w:val="22BB36DF"/>
    <w:rsid w:val="27E76880"/>
    <w:rsid w:val="287C43ED"/>
    <w:rsid w:val="28D40946"/>
    <w:rsid w:val="2AF7575A"/>
    <w:rsid w:val="2EC31A92"/>
    <w:rsid w:val="2FFD3519"/>
    <w:rsid w:val="31217278"/>
    <w:rsid w:val="323B2EFE"/>
    <w:rsid w:val="32747406"/>
    <w:rsid w:val="32F8589A"/>
    <w:rsid w:val="3361674E"/>
    <w:rsid w:val="33D81EFB"/>
    <w:rsid w:val="343A32E7"/>
    <w:rsid w:val="35422606"/>
    <w:rsid w:val="36DC3C6D"/>
    <w:rsid w:val="37231229"/>
    <w:rsid w:val="380E037B"/>
    <w:rsid w:val="3887639D"/>
    <w:rsid w:val="38F954F2"/>
    <w:rsid w:val="38FF7129"/>
    <w:rsid w:val="3A181BE7"/>
    <w:rsid w:val="3B07607E"/>
    <w:rsid w:val="3BCE117A"/>
    <w:rsid w:val="3C2453B7"/>
    <w:rsid w:val="3C934F7B"/>
    <w:rsid w:val="3D0175D0"/>
    <w:rsid w:val="3EFC65AC"/>
    <w:rsid w:val="3FBB1DD3"/>
    <w:rsid w:val="3FDA0692"/>
    <w:rsid w:val="405A104B"/>
    <w:rsid w:val="42534E2F"/>
    <w:rsid w:val="45A2430E"/>
    <w:rsid w:val="45B5276D"/>
    <w:rsid w:val="470D72F2"/>
    <w:rsid w:val="47367302"/>
    <w:rsid w:val="480C1D42"/>
    <w:rsid w:val="4A5D6352"/>
    <w:rsid w:val="4BA97254"/>
    <w:rsid w:val="4C131FC4"/>
    <w:rsid w:val="4D2D562F"/>
    <w:rsid w:val="51856C95"/>
    <w:rsid w:val="52E636FF"/>
    <w:rsid w:val="55A2100D"/>
    <w:rsid w:val="55C31317"/>
    <w:rsid w:val="56327077"/>
    <w:rsid w:val="56C30FC4"/>
    <w:rsid w:val="5789518F"/>
    <w:rsid w:val="57BD4799"/>
    <w:rsid w:val="57CD15E7"/>
    <w:rsid w:val="598927C0"/>
    <w:rsid w:val="5E1B243F"/>
    <w:rsid w:val="60C61154"/>
    <w:rsid w:val="61206A4B"/>
    <w:rsid w:val="627712B4"/>
    <w:rsid w:val="63347F97"/>
    <w:rsid w:val="63812C3C"/>
    <w:rsid w:val="66C5605A"/>
    <w:rsid w:val="679403E0"/>
    <w:rsid w:val="68310F97"/>
    <w:rsid w:val="68422A70"/>
    <w:rsid w:val="6ADF68A1"/>
    <w:rsid w:val="6B980F45"/>
    <w:rsid w:val="6C6E23DA"/>
    <w:rsid w:val="6D9D76F5"/>
    <w:rsid w:val="7087602B"/>
    <w:rsid w:val="71154425"/>
    <w:rsid w:val="713661F2"/>
    <w:rsid w:val="716A4AAD"/>
    <w:rsid w:val="716B6924"/>
    <w:rsid w:val="71C96961"/>
    <w:rsid w:val="74A22627"/>
    <w:rsid w:val="758E75EF"/>
    <w:rsid w:val="76E42A3F"/>
    <w:rsid w:val="77756B2D"/>
    <w:rsid w:val="7C287E70"/>
    <w:rsid w:val="7DDF4F73"/>
    <w:rsid w:val="7E6A79E2"/>
    <w:rsid w:val="7F181C46"/>
    <w:rsid w:val="7F5A5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2">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13">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4">
    <w:name w:val="正文2"/>
    <w:basedOn w:val="15"/>
    <w:qFormat/>
    <w:uiPriority w:val="3"/>
    <w:pPr>
      <w:widowControl/>
      <w:jc w:val="both"/>
    </w:pPr>
    <w:rPr>
      <w:rFonts w:ascii="Times New Roman" w:hAnsi="Times New Roman" w:eastAsia="Times New Roman"/>
      <w:sz w:val="21"/>
    </w:rPr>
  </w:style>
  <w:style w:type="paragraph" w:customStyle="1" w:styleId="15">
    <w:name w:val="[Normal]"/>
    <w:qFormat/>
    <w:uiPriority w:val="6"/>
    <w:rPr>
      <w:rFonts w:ascii="宋体" w:hAnsi="宋体" w:eastAsia="宋体" w:cstheme="minorBidi"/>
      <w:color w:val="auto"/>
      <w:position w:val="0"/>
      <w:sz w:val="24"/>
      <w:u w:val="none"/>
      <w:shd w:val="clear" w:color="auto" w:fill="auto"/>
      <w:lang w:val="zh-CN" w:eastAsia="zh-CN" w:bidi="ar-SA"/>
    </w:rPr>
  </w:style>
  <w:style w:type="paragraph" w:customStyle="1" w:styleId="16">
    <w:name w:val="Header or footer|2"/>
    <w:basedOn w:val="1"/>
    <w:qFormat/>
    <w:uiPriority w:val="0"/>
    <w:pPr>
      <w:widowControl w:val="0"/>
      <w:shd w:val="clear" w:color="auto" w:fill="auto"/>
    </w:pPr>
    <w:rPr>
      <w:sz w:val="20"/>
      <w:szCs w:val="20"/>
      <w:u w:val="none"/>
      <w:shd w:val="clear" w:color="auto" w:fill="auto"/>
    </w:rPr>
  </w:style>
  <w:style w:type="paragraph" w:styleId="17">
    <w:name w:val="No Spacing"/>
    <w:qFormat/>
    <w:uiPriority w:val="1"/>
    <w:pPr>
      <w:adjustRightInd w:val="0"/>
      <w:snapToGrid w:val="0"/>
    </w:pPr>
    <w:rPr>
      <w:rFonts w:ascii="Tahoma" w:hAnsi="Tahoma" w:eastAsia="微软雅黑" w:cs="Times New Roman"/>
      <w:sz w:val="22"/>
      <w:szCs w:val="22"/>
      <w:lang w:val="en-US" w:eastAsia="zh-CN" w:bidi="ar-SA"/>
    </w:rPr>
  </w:style>
  <w:style w:type="character" w:customStyle="1" w:styleId="18">
    <w:name w:val="font31"/>
    <w:basedOn w:val="9"/>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2872</Words>
  <Characters>3217</Characters>
  <Lines>0</Lines>
  <Paragraphs>0</Paragraphs>
  <TotalTime>11</TotalTime>
  <ScaleCrop>false</ScaleCrop>
  <LinksUpToDate>false</LinksUpToDate>
  <CharactersWithSpaces>3273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2021-05-06T07:46:00Z</dcterms:created>
  <dc:creator>志</dc:creator>
  <cp:lastModifiedBy>未来</cp:lastModifiedBy>
  <dcterms:modified xsi:type="dcterms:W3CDTF">2022-06-15T06:55:09Z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69537C573C3849A9A484A398ADE81E8A</vt:lpwstr>
  </property>
</Properties>
</file>