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52" w:type="dxa"/>
        <w:tblInd w:w="-3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40"/>
        <w:gridCol w:w="1512"/>
        <w:gridCol w:w="1308"/>
        <w:gridCol w:w="1238"/>
        <w:gridCol w:w="944"/>
        <w:gridCol w:w="936"/>
        <w:gridCol w:w="10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2021年度土地储备项目绩效自评表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东西湖区自然资源和规划局           填报日期：2022年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bookmarkStart w:id="0" w:name="_GoBack"/>
            <w:bookmarkEnd w:id="0"/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土地储备资金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东西湖区自然资源和规划局</w:t>
            </w:r>
          </w:p>
        </w:tc>
        <w:tc>
          <w:tcPr>
            <w:tcW w:w="18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土地中心、资保利用科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1、部门预算项目   □   2、区直专项   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1、持续性项目     □   2、新增性项目 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1、常年性项目     □   2、延续性项目 □      3、一次性项目 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执行率（B/A）</w:t>
            </w:r>
          </w:p>
        </w:tc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（20分*执行率）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114937.42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114937.42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目标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（80分）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（40分）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   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收储土地数量（宗）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  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资金支付合规性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合规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合规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  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年内资金支付率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  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预算成本控制率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≦100%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≦100%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效益指标（20）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是否促进经济发展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社会效益指标（10分）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是否对规范土地市场，优化营商环境产生影响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企业对及时付款满意度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66.67%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  <w:tc>
          <w:tcPr>
            <w:tcW w:w="81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未达年初设置100%的目标，原因为武汉地铁集团有限公司（以下简称“武汉地铁集团”）与武汉市东西湖区自然资源和规划局（以下简称“区自然资源和规划局”）对地铁集团提出的“无偿收回国有划拨土地使用权的书面申请”中“无偿”存在不同理解，双方对是否需要支付土地补偿款存在争议，双方沟通时间过长，后通过仲裁方式解决，影响了满意度指标的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加强与服务企业的沟通，尽快协调解决出现的问题。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0" w:hRule="atLeast"/>
        </w:trPr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69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3960" w:firstLineChars="180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签名：              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年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92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1.预算执行情况口径：预算数为调整后财政资金总额（包括上年结余结转），执行数为资金使用单位财政资金实际支出数。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NWE4YzVkNzk4MzFjYjMwZmE1ZTdiNWE5Y2VkNWYifQ=="/>
  </w:docVars>
  <w:rsids>
    <w:rsidRoot w:val="0B435BE2"/>
    <w:rsid w:val="0B435BE2"/>
    <w:rsid w:val="54DB28BF"/>
    <w:rsid w:val="6A7F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5">
    <w:name w:val="font81"/>
    <w:basedOn w:val="3"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6">
    <w:name w:val="font4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9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5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968</Words>
  <Characters>1076</Characters>
  <Lines>0</Lines>
  <Paragraphs>0</Paragraphs>
  <TotalTime>11</TotalTime>
  <ScaleCrop>false</ScaleCrop>
  <LinksUpToDate>false</LinksUpToDate>
  <CharactersWithSpaces>1199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2022-06-14T00:25:00Z</dcterms:created>
  <dc:creator>Syeen</dc:creator>
  <cp:lastModifiedBy>老鼠</cp:lastModifiedBy>
  <dcterms:modified xsi:type="dcterms:W3CDTF">2022-06-15T01:08:00Z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D10EF362D89940EFACB54F596D2ECFED</vt:lpwstr>
  </property>
</Properties>
</file>