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color w:val="000000"/>
          <w:kern w:val="0"/>
          <w:sz w:val="36"/>
          <w:szCs w:val="36"/>
          <w:lang w:val="en-US" w:eastAsia="en-US"/>
        </w:rPr>
      </w:pPr>
      <w:r>
        <w:rPr>
          <w:rFonts w:hint="eastAsia" w:ascii="方正小标宋简体" w:hAnsi="方正小标宋简体" w:eastAsia="方正小标宋简体" w:cs="方正小标宋简体"/>
          <w:color w:val="000000"/>
          <w:kern w:val="0"/>
          <w:sz w:val="36"/>
          <w:szCs w:val="36"/>
          <w:lang w:val="en-US" w:eastAsia="en-US"/>
        </w:rPr>
        <w:t>武汉市东西湖区自然资源和规划局</w:t>
      </w:r>
    </w:p>
    <w:p>
      <w:pPr>
        <w:jc w:val="center"/>
        <w:rPr>
          <w:rFonts w:hint="eastAsia" w:ascii="方正小标宋简体" w:hAnsi="方正小标宋简体" w:eastAsia="方正小标宋简体" w:cs="方正小标宋简体"/>
          <w:color w:val="000000"/>
          <w:kern w:val="0"/>
          <w:sz w:val="36"/>
          <w:szCs w:val="36"/>
          <w:lang w:val="en-US" w:eastAsia="en-US"/>
        </w:rPr>
      </w:pPr>
      <w:r>
        <w:rPr>
          <w:rFonts w:hint="eastAsia" w:ascii="方正小标宋简体" w:hAnsi="方正小标宋简体" w:eastAsia="方正小标宋简体" w:cs="方正小标宋简体"/>
          <w:color w:val="000000"/>
          <w:kern w:val="0"/>
          <w:sz w:val="36"/>
          <w:szCs w:val="36"/>
          <w:lang w:val="en-US" w:eastAsia="zh-CN"/>
        </w:rPr>
        <w:t>2021年</w:t>
      </w:r>
      <w:r>
        <w:rPr>
          <w:rFonts w:hint="eastAsia" w:ascii="方正小标宋简体" w:hAnsi="方正小标宋简体" w:eastAsia="方正小标宋简体" w:cs="方正小标宋简体"/>
          <w:color w:val="000000"/>
          <w:kern w:val="0"/>
          <w:sz w:val="36"/>
          <w:szCs w:val="36"/>
          <w:lang w:val="en-US" w:eastAsia="en-US"/>
        </w:rPr>
        <w:t>整体绩效自评结果</w:t>
      </w:r>
    </w:p>
    <w:p>
      <w:pPr>
        <w:widowControl/>
        <w:spacing w:line="560" w:lineRule="exact"/>
        <w:jc w:val="center"/>
        <w:rPr>
          <w:rFonts w:ascii="楷体" w:hAnsi="楷体" w:eastAsia="楷体" w:cs="宋体"/>
          <w:color w:val="000000"/>
          <w:kern w:val="0"/>
          <w:sz w:val="28"/>
          <w:szCs w:val="28"/>
        </w:rPr>
      </w:pPr>
      <w:r>
        <w:rPr>
          <w:rFonts w:hint="eastAsia" w:ascii="楷体" w:hAnsi="楷体" w:eastAsia="楷体" w:cs="宋体"/>
          <w:color w:val="000000"/>
          <w:kern w:val="0"/>
          <w:sz w:val="28"/>
          <w:szCs w:val="28"/>
        </w:rPr>
        <w:t>（缩略版）</w:t>
      </w:r>
    </w:p>
    <w:p>
      <w:pPr>
        <w:widowControl/>
        <w:spacing w:line="432" w:lineRule="atLeast"/>
        <w:jc w:val="center"/>
        <w:rPr>
          <w:rFonts w:ascii="宋体" w:hAnsi="宋体" w:cs="宋体"/>
          <w:color w:val="000000"/>
          <w:kern w:val="0"/>
          <w:sz w:val="24"/>
          <w:szCs w:val="24"/>
        </w:rPr>
      </w:pPr>
    </w:p>
    <w:p>
      <w:pPr>
        <w:pStyle w:val="18"/>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640" w:firstLineChars="200"/>
        <w:jc w:val="both"/>
        <w:textAlignment w:val="auto"/>
        <w:rPr>
          <w:rFonts w:hint="eastAsia" w:ascii="黑体" w:hAnsi="黑体" w:eastAsia="黑体" w:cs="黑体"/>
          <w:color w:val="000000"/>
          <w:spacing w:val="0"/>
          <w:w w:val="100"/>
          <w:kern w:val="0"/>
          <w:position w:val="0"/>
          <w:sz w:val="32"/>
          <w:szCs w:val="32"/>
          <w:highlight w:val="none"/>
          <w:lang w:eastAsia="zh-CN"/>
        </w:rPr>
      </w:pPr>
      <w:r>
        <w:rPr>
          <w:rFonts w:hint="eastAsia" w:ascii="黑体" w:hAnsi="黑体" w:eastAsia="黑体" w:cs="黑体"/>
          <w:color w:val="000000"/>
          <w:spacing w:val="0"/>
          <w:w w:val="100"/>
          <w:kern w:val="0"/>
          <w:position w:val="0"/>
          <w:sz w:val="32"/>
          <w:szCs w:val="32"/>
          <w:highlight w:val="none"/>
          <w:lang w:eastAsia="zh-CN"/>
        </w:rPr>
        <w:t>一、自评结论</w:t>
      </w:r>
    </w:p>
    <w:p>
      <w:pPr>
        <w:widowControl/>
        <w:spacing w:line="560" w:lineRule="exact"/>
        <w:ind w:firstLine="640" w:firstLineChars="200"/>
        <w:jc w:val="left"/>
        <w:rPr>
          <w:rFonts w:hint="eastAsia" w:ascii="楷体" w:hAnsi="楷体" w:eastAsia="楷体" w:cs="楷体"/>
          <w:color w:val="000000"/>
          <w:spacing w:val="0"/>
          <w:w w:val="100"/>
          <w:kern w:val="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kern w:val="0"/>
          <w:position w:val="0"/>
          <w:sz w:val="32"/>
          <w:szCs w:val="32"/>
          <w:highlight w:val="none"/>
          <w:u w:val="none"/>
          <w:shd w:val="clear" w:color="auto" w:fill="auto"/>
          <w:lang w:val="en-US" w:eastAsia="zh-CN" w:bidi="zh-TW"/>
        </w:rPr>
        <w:t>（一）部门整体绩效自评得分</w:t>
      </w:r>
    </w:p>
    <w:p>
      <w:pPr>
        <w:widowControl/>
        <w:spacing w:line="560" w:lineRule="exact"/>
        <w:ind w:firstLine="640" w:firstLineChars="200"/>
        <w:jc w:val="left"/>
        <w:rPr>
          <w:rFonts w:hint="eastAsia" w:ascii="仿宋" w:hAnsi="仿宋" w:eastAsia="仿宋" w:cs="仿宋"/>
          <w:color w:val="000000"/>
          <w:spacing w:val="0"/>
          <w:w w:val="100"/>
          <w:kern w:val="0"/>
          <w:position w:val="0"/>
          <w:sz w:val="32"/>
          <w:szCs w:val="32"/>
          <w:highlight w:val="none"/>
          <w:u w:val="none"/>
          <w:shd w:val="clear" w:color="auto" w:fill="auto"/>
          <w:lang w:val="zh-TW" w:eastAsia="zh-CN" w:bidi="zh-TW"/>
        </w:rPr>
      </w:pPr>
      <w:r>
        <w:rPr>
          <w:rFonts w:hint="eastAsia" w:ascii="仿宋" w:hAnsi="仿宋" w:eastAsia="仿宋" w:cs="仿宋"/>
          <w:color w:val="000000"/>
          <w:spacing w:val="0"/>
          <w:w w:val="100"/>
          <w:kern w:val="0"/>
          <w:position w:val="0"/>
          <w:sz w:val="32"/>
          <w:szCs w:val="32"/>
          <w:highlight w:val="none"/>
          <w:u w:val="none"/>
          <w:shd w:val="clear" w:color="auto" w:fill="auto"/>
          <w:lang w:val="zh-TW" w:eastAsia="zh-CN" w:bidi="zh-TW"/>
        </w:rPr>
        <w:t>202</w:t>
      </w:r>
      <w:r>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t>1</w:t>
      </w:r>
      <w:r>
        <w:rPr>
          <w:rFonts w:hint="eastAsia" w:ascii="仿宋" w:hAnsi="仿宋" w:eastAsia="仿宋" w:cs="仿宋"/>
          <w:color w:val="000000"/>
          <w:spacing w:val="0"/>
          <w:w w:val="100"/>
          <w:kern w:val="0"/>
          <w:position w:val="0"/>
          <w:sz w:val="32"/>
          <w:szCs w:val="32"/>
          <w:highlight w:val="none"/>
          <w:u w:val="none"/>
          <w:shd w:val="clear" w:color="auto" w:fill="auto"/>
          <w:lang w:val="zh-TW" w:eastAsia="zh-CN" w:bidi="zh-TW"/>
        </w:rPr>
        <w:t>年度</w:t>
      </w:r>
      <w:r>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t>武汉市东西湖区自然资源和规划局</w:t>
      </w:r>
      <w:r>
        <w:rPr>
          <w:rFonts w:hint="eastAsia" w:ascii="仿宋" w:hAnsi="仿宋" w:eastAsia="仿宋" w:cs="仿宋"/>
          <w:color w:val="000000"/>
          <w:spacing w:val="0"/>
          <w:w w:val="100"/>
          <w:kern w:val="0"/>
          <w:position w:val="0"/>
          <w:sz w:val="32"/>
          <w:szCs w:val="32"/>
          <w:highlight w:val="none"/>
          <w:u w:val="none"/>
          <w:shd w:val="clear" w:color="auto" w:fill="auto"/>
          <w:lang w:val="zh-TW" w:eastAsia="zh-CN" w:bidi="zh-TW"/>
        </w:rPr>
        <w:t>整体绩效评价自评综合得分</w:t>
      </w:r>
      <w:r>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t>98.14</w:t>
      </w:r>
      <w:r>
        <w:rPr>
          <w:rFonts w:hint="eastAsia" w:ascii="仿宋" w:hAnsi="仿宋" w:eastAsia="仿宋" w:cs="仿宋"/>
          <w:color w:val="000000"/>
          <w:spacing w:val="0"/>
          <w:w w:val="100"/>
          <w:kern w:val="0"/>
          <w:position w:val="0"/>
          <w:sz w:val="32"/>
          <w:szCs w:val="32"/>
          <w:highlight w:val="none"/>
          <w:u w:val="none"/>
          <w:shd w:val="clear" w:color="auto" w:fill="auto"/>
          <w:lang w:val="zh-TW" w:eastAsia="zh-CN" w:bidi="zh-TW"/>
        </w:rPr>
        <w:t>分，其中：预算执行率基准分值20分，得分</w:t>
      </w:r>
      <w:r>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t>18.25</w:t>
      </w:r>
      <w:r>
        <w:rPr>
          <w:rFonts w:hint="eastAsia" w:ascii="仿宋" w:hAnsi="仿宋" w:eastAsia="仿宋" w:cs="仿宋"/>
          <w:color w:val="000000"/>
          <w:spacing w:val="0"/>
          <w:w w:val="100"/>
          <w:kern w:val="0"/>
          <w:position w:val="0"/>
          <w:sz w:val="32"/>
          <w:szCs w:val="32"/>
          <w:highlight w:val="none"/>
          <w:u w:val="none"/>
          <w:shd w:val="clear" w:color="auto" w:fill="auto"/>
          <w:lang w:val="zh-TW" w:eastAsia="zh-CN" w:bidi="zh-TW"/>
        </w:rPr>
        <w:t>分；</w:t>
      </w:r>
      <w:r>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t>产出、</w:t>
      </w:r>
      <w:r>
        <w:rPr>
          <w:rFonts w:hint="eastAsia" w:ascii="仿宋" w:hAnsi="仿宋" w:eastAsia="仿宋" w:cs="仿宋"/>
          <w:color w:val="000000"/>
          <w:spacing w:val="0"/>
          <w:w w:val="100"/>
          <w:kern w:val="0"/>
          <w:position w:val="0"/>
          <w:sz w:val="32"/>
          <w:szCs w:val="32"/>
          <w:highlight w:val="none"/>
          <w:u w:val="none"/>
          <w:shd w:val="clear" w:color="auto" w:fill="auto"/>
          <w:lang w:val="zh-TW" w:eastAsia="zh-CN" w:bidi="zh-TW"/>
        </w:rPr>
        <w:t>效益和满意度指标基准分值</w:t>
      </w:r>
      <w:r>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t>8</w:t>
      </w:r>
      <w:r>
        <w:rPr>
          <w:rFonts w:hint="eastAsia" w:ascii="仿宋" w:hAnsi="仿宋" w:eastAsia="仿宋" w:cs="仿宋"/>
          <w:color w:val="000000"/>
          <w:spacing w:val="0"/>
          <w:w w:val="100"/>
          <w:kern w:val="0"/>
          <w:position w:val="0"/>
          <w:sz w:val="32"/>
          <w:szCs w:val="32"/>
          <w:highlight w:val="none"/>
          <w:u w:val="none"/>
          <w:shd w:val="clear" w:color="auto" w:fill="auto"/>
          <w:lang w:val="zh-TW" w:eastAsia="zh-CN" w:bidi="zh-TW"/>
        </w:rPr>
        <w:t>0分，得</w:t>
      </w:r>
      <w:r>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t>分79.89</w:t>
      </w:r>
      <w:r>
        <w:rPr>
          <w:rFonts w:hint="eastAsia" w:ascii="仿宋" w:hAnsi="仿宋" w:eastAsia="仿宋" w:cs="仿宋"/>
          <w:color w:val="000000"/>
          <w:spacing w:val="0"/>
          <w:w w:val="100"/>
          <w:kern w:val="0"/>
          <w:position w:val="0"/>
          <w:sz w:val="32"/>
          <w:szCs w:val="32"/>
          <w:highlight w:val="none"/>
          <w:u w:val="none"/>
          <w:shd w:val="clear" w:color="auto" w:fill="auto"/>
          <w:lang w:val="zh-TW" w:eastAsia="zh-CN" w:bidi="zh-TW"/>
        </w:rPr>
        <w:t>分。</w:t>
      </w:r>
    </w:p>
    <w:p>
      <w:pPr>
        <w:widowControl/>
        <w:spacing w:line="560" w:lineRule="exact"/>
        <w:ind w:firstLine="640" w:firstLineChars="200"/>
        <w:jc w:val="left"/>
        <w:rPr>
          <w:rFonts w:hint="eastAsia" w:ascii="楷体" w:hAnsi="楷体" w:eastAsia="楷体" w:cs="楷体"/>
          <w:color w:val="000000"/>
          <w:spacing w:val="0"/>
          <w:w w:val="100"/>
          <w:kern w:val="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kern w:val="0"/>
          <w:position w:val="0"/>
          <w:sz w:val="32"/>
          <w:szCs w:val="32"/>
          <w:highlight w:val="none"/>
          <w:u w:val="none"/>
          <w:shd w:val="clear" w:color="auto" w:fill="auto"/>
          <w:lang w:val="en-US" w:eastAsia="zh-CN" w:bidi="zh-TW"/>
        </w:rPr>
        <w:t>（二）部门整体绩效目标完成情况</w:t>
      </w:r>
    </w:p>
    <w:p>
      <w:pPr>
        <w:pStyle w:val="18"/>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640" w:firstLineChars="200"/>
        <w:jc w:val="both"/>
        <w:textAlignment w:val="auto"/>
        <w:rPr>
          <w:rFonts w:hint="eastAsia" w:ascii="楷体" w:hAnsi="楷体" w:eastAsia="楷体" w:cs="楷体"/>
          <w:color w:val="000000"/>
          <w:spacing w:val="0"/>
          <w:w w:val="100"/>
          <w:kern w:val="0"/>
          <w:position w:val="0"/>
          <w:sz w:val="32"/>
          <w:szCs w:val="32"/>
          <w:highlight w:val="none"/>
          <w:lang w:val="en-US" w:eastAsia="zh-CN"/>
        </w:rPr>
      </w:pPr>
      <w:r>
        <w:rPr>
          <w:rFonts w:hint="eastAsia" w:ascii="楷体" w:hAnsi="楷体" w:eastAsia="楷体" w:cs="楷体"/>
          <w:color w:val="000000"/>
          <w:spacing w:val="0"/>
          <w:w w:val="100"/>
          <w:kern w:val="0"/>
          <w:position w:val="0"/>
          <w:sz w:val="32"/>
          <w:szCs w:val="32"/>
          <w:highlight w:val="none"/>
          <w:lang w:val="en-US" w:eastAsia="zh-CN"/>
        </w:rPr>
        <w:t>1.预算执行情况</w:t>
      </w:r>
    </w:p>
    <w:p>
      <w:pPr>
        <w:widowControl/>
        <w:spacing w:line="560" w:lineRule="exact"/>
        <w:ind w:firstLine="640" w:firstLineChars="200"/>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pPr>
      <w:bookmarkStart w:id="0" w:name="_Toc21184818"/>
      <w:r>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t>2021年度武汉市东西湖区自然资源和规划局整体调整后预算总额147,125.86万元，</w:t>
      </w:r>
      <w:bookmarkEnd w:id="0"/>
      <w:r>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t>决算支出总额134,250.89万元。</w:t>
      </w:r>
    </w:p>
    <w:p>
      <w:pPr>
        <w:widowControl/>
        <w:spacing w:line="560" w:lineRule="exact"/>
        <w:ind w:firstLine="640" w:firstLineChars="200"/>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t>预算执行率=（决算支出总额/调整后预算总额）×100%=91.25%。</w:t>
      </w:r>
    </w:p>
    <w:p>
      <w:pPr>
        <w:pStyle w:val="18"/>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640" w:firstLineChars="200"/>
        <w:jc w:val="both"/>
        <w:textAlignment w:val="auto"/>
        <w:rPr>
          <w:rFonts w:hint="eastAsia" w:ascii="楷体" w:hAnsi="楷体" w:eastAsia="楷体" w:cs="楷体"/>
          <w:color w:val="000000"/>
          <w:spacing w:val="0"/>
          <w:w w:val="100"/>
          <w:kern w:val="0"/>
          <w:position w:val="0"/>
          <w:sz w:val="32"/>
          <w:szCs w:val="32"/>
          <w:highlight w:val="none"/>
          <w:lang w:val="en-US" w:eastAsia="zh-CN"/>
        </w:rPr>
      </w:pPr>
      <w:r>
        <w:rPr>
          <w:rFonts w:hint="eastAsia" w:ascii="楷体" w:hAnsi="楷体" w:eastAsia="楷体" w:cs="楷体"/>
          <w:color w:val="000000"/>
          <w:spacing w:val="0"/>
          <w:w w:val="100"/>
          <w:kern w:val="0"/>
          <w:position w:val="0"/>
          <w:sz w:val="32"/>
          <w:szCs w:val="32"/>
          <w:highlight w:val="none"/>
          <w:lang w:val="en-US" w:eastAsia="zh-CN"/>
        </w:rPr>
        <w:t>2.完成的绩效目标</w:t>
      </w:r>
    </w:p>
    <w:tbl>
      <w:tblPr>
        <w:tblStyle w:val="9"/>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1"/>
        <w:gridCol w:w="1071"/>
        <w:gridCol w:w="1389"/>
        <w:gridCol w:w="1770"/>
        <w:gridCol w:w="1320"/>
        <w:gridCol w:w="1305"/>
        <w:gridCol w:w="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blHeader/>
          <w:jc w:val="center"/>
        </w:trPr>
        <w:tc>
          <w:tcPr>
            <w:tcW w:w="1051" w:type="dxa"/>
            <w:vAlign w:val="center"/>
          </w:tcPr>
          <w:p>
            <w:pPr>
              <w:widowControl/>
              <w:jc w:val="center"/>
              <w:rPr>
                <w:rFonts w:ascii="仿宋" w:hAnsi="仿宋" w:eastAsia="仿宋"/>
                <w:b/>
                <w:bCs/>
                <w:color w:val="000000"/>
                <w:kern w:val="0"/>
                <w:szCs w:val="21"/>
              </w:rPr>
            </w:pPr>
            <w:r>
              <w:rPr>
                <w:rFonts w:hint="eastAsia" w:ascii="仿宋" w:hAnsi="仿宋" w:eastAsia="仿宋"/>
                <w:b/>
                <w:bCs/>
                <w:color w:val="000000"/>
                <w:kern w:val="0"/>
                <w:szCs w:val="21"/>
              </w:rPr>
              <w:t>目标</w:t>
            </w:r>
          </w:p>
        </w:tc>
        <w:tc>
          <w:tcPr>
            <w:tcW w:w="1071" w:type="dxa"/>
            <w:vAlign w:val="center"/>
          </w:tcPr>
          <w:p>
            <w:pPr>
              <w:widowControl/>
              <w:jc w:val="center"/>
              <w:rPr>
                <w:rFonts w:hint="eastAsia" w:ascii="仿宋" w:hAnsi="仿宋" w:eastAsia="仿宋"/>
                <w:b/>
                <w:bCs/>
                <w:color w:val="000000"/>
                <w:kern w:val="0"/>
                <w:szCs w:val="21"/>
              </w:rPr>
            </w:pPr>
            <w:r>
              <w:rPr>
                <w:rFonts w:hint="eastAsia" w:ascii="仿宋" w:hAnsi="仿宋" w:eastAsia="仿宋"/>
                <w:b/>
                <w:bCs/>
                <w:color w:val="000000"/>
                <w:kern w:val="0"/>
                <w:szCs w:val="21"/>
                <w:lang w:val="en-US" w:eastAsia="zh-CN"/>
              </w:rPr>
              <w:t>一级指标</w:t>
            </w:r>
          </w:p>
        </w:tc>
        <w:tc>
          <w:tcPr>
            <w:tcW w:w="1389" w:type="dxa"/>
            <w:vAlign w:val="center"/>
          </w:tcPr>
          <w:p>
            <w:pPr>
              <w:widowControl/>
              <w:jc w:val="center"/>
              <w:rPr>
                <w:rFonts w:hint="eastAsia" w:ascii="仿宋" w:hAnsi="仿宋" w:eastAsia="仿宋"/>
                <w:b/>
                <w:bCs/>
                <w:color w:val="000000"/>
                <w:kern w:val="0"/>
                <w:szCs w:val="21"/>
              </w:rPr>
            </w:pPr>
            <w:r>
              <w:rPr>
                <w:rFonts w:hint="eastAsia" w:ascii="仿宋" w:hAnsi="仿宋" w:eastAsia="仿宋"/>
                <w:b/>
                <w:bCs/>
                <w:color w:val="000000"/>
                <w:kern w:val="0"/>
                <w:szCs w:val="21"/>
                <w:lang w:val="en-US" w:eastAsia="zh-CN"/>
              </w:rPr>
              <w:t>二级指标</w:t>
            </w:r>
          </w:p>
        </w:tc>
        <w:tc>
          <w:tcPr>
            <w:tcW w:w="1770" w:type="dxa"/>
            <w:vAlign w:val="center"/>
          </w:tcPr>
          <w:p>
            <w:pPr>
              <w:widowControl/>
              <w:jc w:val="center"/>
              <w:rPr>
                <w:rFonts w:hint="eastAsia" w:ascii="仿宋" w:hAnsi="仿宋" w:eastAsia="仿宋"/>
                <w:b/>
                <w:bCs/>
                <w:color w:val="000000"/>
                <w:kern w:val="0"/>
                <w:szCs w:val="21"/>
              </w:rPr>
            </w:pPr>
            <w:r>
              <w:rPr>
                <w:rFonts w:hint="eastAsia" w:ascii="仿宋" w:hAnsi="仿宋" w:eastAsia="仿宋"/>
                <w:b/>
                <w:bCs/>
                <w:color w:val="000000"/>
                <w:kern w:val="0"/>
                <w:szCs w:val="21"/>
                <w:lang w:val="en-US" w:eastAsia="zh-CN"/>
              </w:rPr>
              <w:t>三级指标</w:t>
            </w:r>
          </w:p>
        </w:tc>
        <w:tc>
          <w:tcPr>
            <w:tcW w:w="1320" w:type="dxa"/>
            <w:vAlign w:val="center"/>
          </w:tcPr>
          <w:p>
            <w:pPr>
              <w:widowControl/>
              <w:jc w:val="center"/>
              <w:rPr>
                <w:rFonts w:hint="eastAsia" w:ascii="仿宋" w:hAnsi="仿宋" w:eastAsia="仿宋"/>
                <w:b/>
                <w:bCs/>
                <w:color w:val="000000"/>
                <w:kern w:val="0"/>
                <w:szCs w:val="21"/>
              </w:rPr>
            </w:pPr>
            <w:r>
              <w:rPr>
                <w:rFonts w:hint="eastAsia" w:ascii="仿宋" w:hAnsi="仿宋" w:eastAsia="仿宋"/>
                <w:b/>
                <w:bCs/>
                <w:color w:val="000000"/>
                <w:kern w:val="0"/>
                <w:szCs w:val="21"/>
                <w:lang w:val="en-US" w:eastAsia="zh-CN"/>
              </w:rPr>
              <w:t>年初目标值（A）</w:t>
            </w:r>
          </w:p>
        </w:tc>
        <w:tc>
          <w:tcPr>
            <w:tcW w:w="1305" w:type="dxa"/>
            <w:vAlign w:val="center"/>
          </w:tcPr>
          <w:p>
            <w:pPr>
              <w:widowControl/>
              <w:jc w:val="center"/>
              <w:rPr>
                <w:rFonts w:hint="eastAsia" w:ascii="仿宋" w:hAnsi="仿宋" w:eastAsia="仿宋"/>
                <w:b/>
                <w:bCs/>
                <w:color w:val="000000"/>
                <w:kern w:val="0"/>
                <w:szCs w:val="21"/>
              </w:rPr>
            </w:pPr>
            <w:r>
              <w:rPr>
                <w:rFonts w:hint="eastAsia" w:ascii="仿宋" w:hAnsi="仿宋" w:eastAsia="仿宋"/>
                <w:b/>
                <w:bCs/>
                <w:color w:val="000000"/>
                <w:kern w:val="0"/>
                <w:szCs w:val="21"/>
                <w:lang w:val="en-US" w:eastAsia="zh-CN"/>
              </w:rPr>
              <w:t>实际完成值（B）</w:t>
            </w:r>
          </w:p>
        </w:tc>
        <w:tc>
          <w:tcPr>
            <w:tcW w:w="672" w:type="dxa"/>
            <w:vAlign w:val="center"/>
          </w:tcPr>
          <w:p>
            <w:pPr>
              <w:widowControl/>
              <w:jc w:val="center"/>
              <w:rPr>
                <w:rFonts w:hint="eastAsia" w:ascii="仿宋" w:hAnsi="仿宋" w:eastAsia="仿宋"/>
                <w:b/>
                <w:bCs/>
                <w:color w:val="000000"/>
                <w:kern w:val="0"/>
                <w:szCs w:val="21"/>
              </w:rPr>
            </w:pPr>
            <w:r>
              <w:rPr>
                <w:rFonts w:hint="eastAsia" w:ascii="仿宋" w:hAnsi="仿宋" w:eastAsia="仿宋"/>
                <w:b/>
                <w:bCs/>
                <w:color w:val="000000"/>
                <w:kern w:val="0"/>
                <w:szCs w:val="21"/>
                <w:lang w:val="en-US" w:eastAsia="zh-CN"/>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1051" w:type="dxa"/>
            <w:vMerge w:val="restart"/>
            <w:vAlign w:val="center"/>
          </w:tcPr>
          <w:p>
            <w:pPr>
              <w:keepNext w:val="0"/>
              <w:keepLines w:val="0"/>
              <w:widowControl/>
              <w:suppressLineNumbers w:val="0"/>
              <w:jc w:val="center"/>
              <w:textAlignment w:val="center"/>
              <w:rPr>
                <w:rFonts w:hint="eastAsia" w:ascii="仿宋" w:hAnsi="仿宋" w:eastAsia="仿宋" w:cs="宋体"/>
                <w:color w:val="000000"/>
                <w:kern w:val="0"/>
                <w:sz w:val="21"/>
                <w:szCs w:val="21"/>
                <w:lang w:val="en-US" w:eastAsia="zh-CN" w:bidi="ar-SA"/>
              </w:rPr>
            </w:pPr>
            <w:r>
              <w:rPr>
                <w:rFonts w:hint="eastAsia" w:ascii="仿宋" w:hAnsi="仿宋" w:eastAsia="仿宋" w:cs="仿宋"/>
                <w:i w:val="0"/>
                <w:iCs w:val="0"/>
                <w:color w:val="000000"/>
                <w:kern w:val="0"/>
                <w:sz w:val="21"/>
                <w:szCs w:val="21"/>
                <w:u w:val="none"/>
                <w:lang w:val="en-US" w:eastAsia="zh-CN" w:bidi="ar"/>
              </w:rPr>
              <w:t>年度目标1：保民生 （22分）</w:t>
            </w:r>
          </w:p>
        </w:tc>
        <w:tc>
          <w:tcPr>
            <w:tcW w:w="1071" w:type="dxa"/>
            <w:vMerge w:val="restart"/>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产出指标（18分）</w:t>
            </w:r>
          </w:p>
        </w:tc>
        <w:tc>
          <w:tcPr>
            <w:tcW w:w="1389" w:type="dxa"/>
            <w:vAlign w:val="center"/>
          </w:tcPr>
          <w:p>
            <w:pPr>
              <w:jc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数量指标  （10分）</w:t>
            </w:r>
          </w:p>
        </w:tc>
        <w:tc>
          <w:tcPr>
            <w:tcW w:w="1770" w:type="dxa"/>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不动产登记发证量（5分）</w:t>
            </w:r>
          </w:p>
        </w:tc>
        <w:tc>
          <w:tcPr>
            <w:tcW w:w="1320" w:type="dxa"/>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10万</w:t>
            </w:r>
          </w:p>
        </w:tc>
        <w:tc>
          <w:tcPr>
            <w:tcW w:w="130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12.73万</w:t>
            </w:r>
          </w:p>
        </w:tc>
        <w:tc>
          <w:tcPr>
            <w:tcW w:w="672"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1051" w:type="dxa"/>
            <w:vMerge w:val="continue"/>
            <w:vAlign w:val="center"/>
          </w:tcPr>
          <w:p>
            <w:pPr>
              <w:keepNext w:val="0"/>
              <w:keepLines w:val="0"/>
              <w:widowControl/>
              <w:suppressLineNumbers w:val="0"/>
              <w:jc w:val="center"/>
              <w:textAlignment w:val="center"/>
              <w:rPr>
                <w:rFonts w:hint="eastAsia" w:ascii="仿宋" w:hAnsi="仿宋" w:eastAsia="仿宋" w:cs="Times New Roman"/>
                <w:color w:val="000000"/>
                <w:kern w:val="2"/>
                <w:sz w:val="21"/>
                <w:szCs w:val="21"/>
                <w:highlight w:val="none"/>
                <w:lang w:val="en-US" w:eastAsia="zh-CN" w:bidi="ar-SA"/>
              </w:rPr>
            </w:pPr>
          </w:p>
        </w:tc>
        <w:tc>
          <w:tcPr>
            <w:tcW w:w="1071" w:type="dxa"/>
            <w:vMerge w:val="continue"/>
            <w:vAlign w:val="center"/>
          </w:tcPr>
          <w:p>
            <w:pPr>
              <w:jc w:val="center"/>
              <w:rPr>
                <w:rFonts w:hint="eastAsia" w:ascii="仿宋" w:hAnsi="仿宋" w:eastAsia="仿宋" w:cs="仿宋"/>
                <w:i w:val="0"/>
                <w:iCs w:val="0"/>
                <w:color w:val="000000"/>
                <w:kern w:val="0"/>
                <w:sz w:val="21"/>
                <w:szCs w:val="21"/>
                <w:u w:val="none"/>
                <w:lang w:val="en-US" w:eastAsia="zh-CN" w:bidi="ar"/>
              </w:rPr>
            </w:pPr>
          </w:p>
        </w:tc>
        <w:tc>
          <w:tcPr>
            <w:tcW w:w="1389"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时效指标  （4分）</w:t>
            </w:r>
          </w:p>
        </w:tc>
        <w:tc>
          <w:tcPr>
            <w:tcW w:w="177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人大政协提案办复率</w:t>
            </w:r>
          </w:p>
        </w:tc>
        <w:tc>
          <w:tcPr>
            <w:tcW w:w="132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100%</w:t>
            </w:r>
          </w:p>
        </w:tc>
        <w:tc>
          <w:tcPr>
            <w:tcW w:w="130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100%</w:t>
            </w:r>
          </w:p>
        </w:tc>
        <w:tc>
          <w:tcPr>
            <w:tcW w:w="672"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051" w:type="dxa"/>
            <w:vMerge w:val="continue"/>
            <w:vAlign w:val="center"/>
          </w:tcPr>
          <w:p>
            <w:pPr>
              <w:keepNext w:val="0"/>
              <w:keepLines w:val="0"/>
              <w:widowControl/>
              <w:suppressLineNumbers w:val="0"/>
              <w:jc w:val="center"/>
              <w:textAlignment w:val="center"/>
              <w:rPr>
                <w:rFonts w:ascii="仿宋" w:hAnsi="仿宋" w:eastAsia="仿宋"/>
                <w:color w:val="000000"/>
                <w:szCs w:val="21"/>
              </w:rPr>
            </w:pPr>
          </w:p>
        </w:tc>
        <w:tc>
          <w:tcPr>
            <w:tcW w:w="1071" w:type="dxa"/>
            <w:vMerge w:val="continue"/>
            <w:vAlign w:val="center"/>
          </w:tcPr>
          <w:p>
            <w:pPr>
              <w:jc w:val="center"/>
              <w:rPr>
                <w:rFonts w:hint="eastAsia" w:ascii="仿宋" w:hAnsi="仿宋" w:eastAsia="仿宋" w:cs="仿宋"/>
                <w:i w:val="0"/>
                <w:iCs w:val="0"/>
                <w:color w:val="000000"/>
                <w:kern w:val="0"/>
                <w:sz w:val="21"/>
                <w:szCs w:val="21"/>
                <w:u w:val="none"/>
                <w:lang w:val="en-US" w:eastAsia="zh-CN" w:bidi="ar"/>
              </w:rPr>
            </w:pPr>
          </w:p>
        </w:tc>
        <w:tc>
          <w:tcPr>
            <w:tcW w:w="1389"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成本指标  （4分）</w:t>
            </w:r>
          </w:p>
        </w:tc>
        <w:tc>
          <w:tcPr>
            <w:tcW w:w="1770" w:type="dxa"/>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成本控制率</w:t>
            </w:r>
          </w:p>
        </w:tc>
        <w:tc>
          <w:tcPr>
            <w:tcW w:w="1320" w:type="dxa"/>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控制在预算内</w:t>
            </w:r>
          </w:p>
        </w:tc>
        <w:tc>
          <w:tcPr>
            <w:tcW w:w="130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控制在预算内</w:t>
            </w:r>
          </w:p>
        </w:tc>
        <w:tc>
          <w:tcPr>
            <w:tcW w:w="672"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1051" w:type="dxa"/>
            <w:vMerge w:val="continue"/>
            <w:vAlign w:val="center"/>
          </w:tcPr>
          <w:p>
            <w:pPr>
              <w:keepNext w:val="0"/>
              <w:keepLines w:val="0"/>
              <w:widowControl/>
              <w:suppressLineNumbers w:val="0"/>
              <w:jc w:val="center"/>
              <w:textAlignment w:val="center"/>
              <w:rPr>
                <w:rFonts w:hint="eastAsia" w:ascii="仿宋" w:hAnsi="仿宋" w:eastAsia="仿宋" w:cs="宋体"/>
                <w:color w:val="000000"/>
                <w:kern w:val="0"/>
                <w:szCs w:val="21"/>
              </w:rPr>
            </w:pPr>
          </w:p>
        </w:tc>
        <w:tc>
          <w:tcPr>
            <w:tcW w:w="1071"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效益指标（4分）</w:t>
            </w:r>
          </w:p>
        </w:tc>
        <w:tc>
          <w:tcPr>
            <w:tcW w:w="1389"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社会效益指标（4分）</w:t>
            </w:r>
          </w:p>
        </w:tc>
        <w:tc>
          <w:tcPr>
            <w:tcW w:w="177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保障耕地安全</w:t>
            </w:r>
          </w:p>
        </w:tc>
        <w:tc>
          <w:tcPr>
            <w:tcW w:w="132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保障耕地安全</w:t>
            </w:r>
          </w:p>
        </w:tc>
        <w:tc>
          <w:tcPr>
            <w:tcW w:w="130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保障耕地安全</w:t>
            </w:r>
          </w:p>
        </w:tc>
        <w:tc>
          <w:tcPr>
            <w:tcW w:w="672"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51" w:type="dxa"/>
            <w:vMerge w:val="restart"/>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年度目标2：保发展（28分）</w:t>
            </w:r>
          </w:p>
        </w:tc>
        <w:tc>
          <w:tcPr>
            <w:tcW w:w="1071" w:type="dxa"/>
            <w:vMerge w:val="restart"/>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产出指标（24分）</w:t>
            </w:r>
          </w:p>
        </w:tc>
        <w:tc>
          <w:tcPr>
            <w:tcW w:w="1389" w:type="dxa"/>
            <w:vMerge w:val="restart"/>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数量指标 （20分）</w:t>
            </w:r>
          </w:p>
        </w:tc>
        <w:tc>
          <w:tcPr>
            <w:tcW w:w="177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规划编制项目</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个数（5分）</w:t>
            </w:r>
          </w:p>
        </w:tc>
        <w:tc>
          <w:tcPr>
            <w:tcW w:w="132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1个</w:t>
            </w:r>
          </w:p>
        </w:tc>
        <w:tc>
          <w:tcPr>
            <w:tcW w:w="130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1个</w:t>
            </w:r>
          </w:p>
        </w:tc>
        <w:tc>
          <w:tcPr>
            <w:tcW w:w="672"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51" w:type="dxa"/>
            <w:vMerge w:val="continue"/>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p>
        </w:tc>
        <w:tc>
          <w:tcPr>
            <w:tcW w:w="1071" w:type="dxa"/>
            <w:vMerge w:val="continue"/>
            <w:vAlign w:val="center"/>
          </w:tcPr>
          <w:p>
            <w:pPr>
              <w:jc w:val="center"/>
              <w:rPr>
                <w:rFonts w:hint="eastAsia" w:ascii="仿宋" w:hAnsi="仿宋" w:eastAsia="仿宋" w:cs="仿宋"/>
                <w:i w:val="0"/>
                <w:iCs w:val="0"/>
                <w:color w:val="000000"/>
                <w:kern w:val="0"/>
                <w:sz w:val="21"/>
                <w:szCs w:val="21"/>
                <w:u w:val="none"/>
                <w:lang w:val="en-US" w:eastAsia="zh-CN" w:bidi="ar"/>
              </w:rPr>
            </w:pPr>
          </w:p>
        </w:tc>
        <w:tc>
          <w:tcPr>
            <w:tcW w:w="1389" w:type="dxa"/>
            <w:vMerge w:val="continue"/>
            <w:vAlign w:val="center"/>
          </w:tcPr>
          <w:p>
            <w:pPr>
              <w:jc w:val="center"/>
              <w:rPr>
                <w:rFonts w:hint="eastAsia" w:ascii="仿宋" w:hAnsi="仿宋" w:eastAsia="仿宋" w:cs="仿宋"/>
                <w:i w:val="0"/>
                <w:iCs w:val="0"/>
                <w:color w:val="000000"/>
                <w:kern w:val="0"/>
                <w:sz w:val="21"/>
                <w:szCs w:val="21"/>
                <w:u w:val="none"/>
                <w:lang w:val="en-US" w:eastAsia="zh-CN" w:bidi="ar"/>
              </w:rPr>
            </w:pPr>
          </w:p>
        </w:tc>
        <w:tc>
          <w:tcPr>
            <w:tcW w:w="177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建设用地年度</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获批总量（5分）</w:t>
            </w:r>
          </w:p>
        </w:tc>
        <w:tc>
          <w:tcPr>
            <w:tcW w:w="132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100%</w:t>
            </w:r>
          </w:p>
        </w:tc>
        <w:tc>
          <w:tcPr>
            <w:tcW w:w="130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100%</w:t>
            </w:r>
          </w:p>
        </w:tc>
        <w:tc>
          <w:tcPr>
            <w:tcW w:w="672"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51" w:type="dxa"/>
            <w:vMerge w:val="continue"/>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p>
        </w:tc>
        <w:tc>
          <w:tcPr>
            <w:tcW w:w="1071" w:type="dxa"/>
            <w:vMerge w:val="continue"/>
            <w:vAlign w:val="center"/>
          </w:tcPr>
          <w:p>
            <w:pPr>
              <w:jc w:val="center"/>
              <w:rPr>
                <w:rFonts w:hint="eastAsia" w:ascii="仿宋" w:hAnsi="仿宋" w:eastAsia="仿宋" w:cs="仿宋"/>
                <w:i w:val="0"/>
                <w:iCs w:val="0"/>
                <w:color w:val="000000"/>
                <w:kern w:val="0"/>
                <w:sz w:val="21"/>
                <w:szCs w:val="21"/>
                <w:u w:val="none"/>
                <w:lang w:val="en-US" w:eastAsia="zh-CN" w:bidi="ar"/>
              </w:rPr>
            </w:pPr>
          </w:p>
        </w:tc>
        <w:tc>
          <w:tcPr>
            <w:tcW w:w="1389" w:type="dxa"/>
            <w:vMerge w:val="continue"/>
            <w:vAlign w:val="center"/>
          </w:tcPr>
          <w:p>
            <w:pPr>
              <w:jc w:val="center"/>
              <w:rPr>
                <w:rFonts w:hint="eastAsia" w:ascii="仿宋" w:hAnsi="仿宋" w:eastAsia="仿宋" w:cs="仿宋"/>
                <w:i w:val="0"/>
                <w:iCs w:val="0"/>
                <w:color w:val="000000"/>
                <w:kern w:val="0"/>
                <w:sz w:val="21"/>
                <w:szCs w:val="21"/>
                <w:u w:val="none"/>
                <w:lang w:val="en-US" w:eastAsia="zh-CN" w:bidi="ar"/>
              </w:rPr>
            </w:pPr>
          </w:p>
        </w:tc>
        <w:tc>
          <w:tcPr>
            <w:tcW w:w="177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建设工程规划许可证的审核办理（5分）</w:t>
            </w:r>
          </w:p>
        </w:tc>
        <w:tc>
          <w:tcPr>
            <w:tcW w:w="132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600万平方米</w:t>
            </w:r>
          </w:p>
        </w:tc>
        <w:tc>
          <w:tcPr>
            <w:tcW w:w="130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907万平方米</w:t>
            </w:r>
          </w:p>
        </w:tc>
        <w:tc>
          <w:tcPr>
            <w:tcW w:w="672"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51" w:type="dxa"/>
            <w:vMerge w:val="continue"/>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p>
        </w:tc>
        <w:tc>
          <w:tcPr>
            <w:tcW w:w="1071" w:type="dxa"/>
            <w:vMerge w:val="continue"/>
            <w:vAlign w:val="center"/>
          </w:tcPr>
          <w:p>
            <w:pPr>
              <w:jc w:val="center"/>
              <w:rPr>
                <w:rFonts w:hint="eastAsia" w:ascii="仿宋" w:hAnsi="仿宋" w:eastAsia="仿宋" w:cs="仿宋"/>
                <w:i w:val="0"/>
                <w:iCs w:val="0"/>
                <w:color w:val="000000"/>
                <w:kern w:val="0"/>
                <w:sz w:val="21"/>
                <w:szCs w:val="21"/>
                <w:u w:val="none"/>
                <w:lang w:val="en-US" w:eastAsia="zh-CN" w:bidi="ar"/>
              </w:rPr>
            </w:pPr>
          </w:p>
        </w:tc>
        <w:tc>
          <w:tcPr>
            <w:tcW w:w="1389" w:type="dxa"/>
            <w:vMerge w:val="continue"/>
            <w:vAlign w:val="center"/>
          </w:tcPr>
          <w:p>
            <w:pPr>
              <w:jc w:val="center"/>
              <w:rPr>
                <w:rFonts w:hint="eastAsia" w:ascii="仿宋" w:hAnsi="仿宋" w:eastAsia="仿宋" w:cs="仿宋"/>
                <w:i w:val="0"/>
                <w:iCs w:val="0"/>
                <w:color w:val="000000"/>
                <w:kern w:val="0"/>
                <w:sz w:val="21"/>
                <w:szCs w:val="21"/>
                <w:u w:val="none"/>
                <w:lang w:val="en-US" w:eastAsia="zh-CN" w:bidi="ar"/>
              </w:rPr>
            </w:pPr>
          </w:p>
        </w:tc>
        <w:tc>
          <w:tcPr>
            <w:tcW w:w="177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审批档案</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电子化率（5分）</w:t>
            </w:r>
          </w:p>
        </w:tc>
        <w:tc>
          <w:tcPr>
            <w:tcW w:w="132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90%</w:t>
            </w:r>
          </w:p>
        </w:tc>
        <w:tc>
          <w:tcPr>
            <w:tcW w:w="130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91%</w:t>
            </w:r>
          </w:p>
        </w:tc>
        <w:tc>
          <w:tcPr>
            <w:tcW w:w="672"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51" w:type="dxa"/>
            <w:vMerge w:val="continue"/>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p>
        </w:tc>
        <w:tc>
          <w:tcPr>
            <w:tcW w:w="1071" w:type="dxa"/>
            <w:vMerge w:val="continue"/>
            <w:vAlign w:val="center"/>
          </w:tcPr>
          <w:p>
            <w:pPr>
              <w:jc w:val="center"/>
              <w:rPr>
                <w:rFonts w:hint="eastAsia" w:ascii="仿宋" w:hAnsi="仿宋" w:eastAsia="仿宋" w:cs="仿宋"/>
                <w:i w:val="0"/>
                <w:iCs w:val="0"/>
                <w:color w:val="000000"/>
                <w:kern w:val="0"/>
                <w:sz w:val="21"/>
                <w:szCs w:val="21"/>
                <w:u w:val="none"/>
                <w:lang w:val="en-US" w:eastAsia="zh-CN" w:bidi="ar"/>
              </w:rPr>
            </w:pPr>
          </w:p>
        </w:tc>
        <w:tc>
          <w:tcPr>
            <w:tcW w:w="1389"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成本指标  （4分）</w:t>
            </w:r>
          </w:p>
        </w:tc>
        <w:tc>
          <w:tcPr>
            <w:tcW w:w="177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成本控制率</w:t>
            </w:r>
          </w:p>
        </w:tc>
        <w:tc>
          <w:tcPr>
            <w:tcW w:w="132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控制在预算内</w:t>
            </w:r>
          </w:p>
        </w:tc>
        <w:tc>
          <w:tcPr>
            <w:tcW w:w="130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已完成</w:t>
            </w:r>
          </w:p>
        </w:tc>
        <w:tc>
          <w:tcPr>
            <w:tcW w:w="672"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51" w:type="dxa"/>
            <w:vMerge w:val="continue"/>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p>
        </w:tc>
        <w:tc>
          <w:tcPr>
            <w:tcW w:w="1071"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效益指标（4分）</w:t>
            </w:r>
          </w:p>
        </w:tc>
        <w:tc>
          <w:tcPr>
            <w:tcW w:w="1389"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经济效益指标（4分）</w:t>
            </w:r>
          </w:p>
        </w:tc>
        <w:tc>
          <w:tcPr>
            <w:tcW w:w="177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土地出让金的征收</w:t>
            </w:r>
          </w:p>
        </w:tc>
        <w:tc>
          <w:tcPr>
            <w:tcW w:w="132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控制在预算内</w:t>
            </w:r>
          </w:p>
        </w:tc>
        <w:tc>
          <w:tcPr>
            <w:tcW w:w="130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已完成</w:t>
            </w:r>
          </w:p>
        </w:tc>
        <w:tc>
          <w:tcPr>
            <w:tcW w:w="672"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51" w:type="dxa"/>
            <w:vMerge w:val="restart"/>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年度目标3：保权益（30分）</w:t>
            </w:r>
          </w:p>
        </w:tc>
        <w:tc>
          <w:tcPr>
            <w:tcW w:w="1071" w:type="dxa"/>
            <w:vMerge w:val="restart"/>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产出指标（15分）</w:t>
            </w:r>
          </w:p>
        </w:tc>
        <w:tc>
          <w:tcPr>
            <w:tcW w:w="1389"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数量指标  （5分）</w:t>
            </w:r>
          </w:p>
        </w:tc>
        <w:tc>
          <w:tcPr>
            <w:tcW w:w="177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达到区信访局制发信访事项登记录入考核值</w:t>
            </w:r>
          </w:p>
        </w:tc>
        <w:tc>
          <w:tcPr>
            <w:tcW w:w="132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95%</w:t>
            </w:r>
          </w:p>
        </w:tc>
        <w:tc>
          <w:tcPr>
            <w:tcW w:w="130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95%</w:t>
            </w:r>
          </w:p>
        </w:tc>
        <w:tc>
          <w:tcPr>
            <w:tcW w:w="672" w:type="dxa"/>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51" w:type="dxa"/>
            <w:vMerge w:val="continue"/>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p>
        </w:tc>
        <w:tc>
          <w:tcPr>
            <w:tcW w:w="1071" w:type="dxa"/>
            <w:vMerge w:val="continue"/>
            <w:vAlign w:val="center"/>
          </w:tcPr>
          <w:p>
            <w:pPr>
              <w:jc w:val="center"/>
              <w:rPr>
                <w:rFonts w:hint="eastAsia" w:ascii="仿宋" w:hAnsi="仿宋" w:eastAsia="仿宋" w:cs="仿宋"/>
                <w:i w:val="0"/>
                <w:iCs w:val="0"/>
                <w:color w:val="000000"/>
                <w:kern w:val="0"/>
                <w:sz w:val="21"/>
                <w:szCs w:val="21"/>
                <w:u w:val="none"/>
                <w:lang w:val="en-US" w:eastAsia="zh-CN" w:bidi="ar"/>
              </w:rPr>
            </w:pPr>
          </w:p>
        </w:tc>
        <w:tc>
          <w:tcPr>
            <w:tcW w:w="1389"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质量指标  （5分）</w:t>
            </w:r>
          </w:p>
        </w:tc>
        <w:tc>
          <w:tcPr>
            <w:tcW w:w="177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地质环境监测项目合格率</w:t>
            </w:r>
          </w:p>
        </w:tc>
        <w:tc>
          <w:tcPr>
            <w:tcW w:w="132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通过验收</w:t>
            </w:r>
          </w:p>
        </w:tc>
        <w:tc>
          <w:tcPr>
            <w:tcW w:w="130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通过验收</w:t>
            </w:r>
          </w:p>
        </w:tc>
        <w:tc>
          <w:tcPr>
            <w:tcW w:w="672"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51" w:type="dxa"/>
            <w:vMerge w:val="continue"/>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p>
        </w:tc>
        <w:tc>
          <w:tcPr>
            <w:tcW w:w="1071" w:type="dxa"/>
            <w:vMerge w:val="continue"/>
            <w:vAlign w:val="center"/>
          </w:tcPr>
          <w:p>
            <w:pPr>
              <w:jc w:val="center"/>
              <w:rPr>
                <w:rFonts w:hint="eastAsia" w:ascii="仿宋" w:hAnsi="仿宋" w:eastAsia="仿宋" w:cs="仿宋"/>
                <w:i w:val="0"/>
                <w:iCs w:val="0"/>
                <w:color w:val="000000"/>
                <w:kern w:val="0"/>
                <w:sz w:val="21"/>
                <w:szCs w:val="21"/>
                <w:u w:val="none"/>
                <w:lang w:val="en-US" w:eastAsia="zh-CN" w:bidi="ar"/>
              </w:rPr>
            </w:pPr>
          </w:p>
        </w:tc>
        <w:tc>
          <w:tcPr>
            <w:tcW w:w="1389"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成本指标  （5分）</w:t>
            </w:r>
          </w:p>
        </w:tc>
        <w:tc>
          <w:tcPr>
            <w:tcW w:w="177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成本控制率</w:t>
            </w:r>
          </w:p>
        </w:tc>
        <w:tc>
          <w:tcPr>
            <w:tcW w:w="132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控制在预算内</w:t>
            </w:r>
          </w:p>
        </w:tc>
        <w:tc>
          <w:tcPr>
            <w:tcW w:w="130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控制在预算内</w:t>
            </w:r>
          </w:p>
        </w:tc>
        <w:tc>
          <w:tcPr>
            <w:tcW w:w="672" w:type="dxa"/>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51" w:type="dxa"/>
            <w:vMerge w:val="continue"/>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p>
        </w:tc>
        <w:tc>
          <w:tcPr>
            <w:tcW w:w="1071" w:type="dxa"/>
            <w:vMerge w:val="restart"/>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效益指标（10分）</w:t>
            </w:r>
          </w:p>
        </w:tc>
        <w:tc>
          <w:tcPr>
            <w:tcW w:w="1389"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社会效益指标（5分）</w:t>
            </w:r>
          </w:p>
        </w:tc>
        <w:tc>
          <w:tcPr>
            <w:tcW w:w="177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对外服务水平</w:t>
            </w:r>
          </w:p>
        </w:tc>
        <w:tc>
          <w:tcPr>
            <w:tcW w:w="132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考核排名保持前列</w:t>
            </w:r>
          </w:p>
        </w:tc>
        <w:tc>
          <w:tcPr>
            <w:tcW w:w="130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考核排名保持前列</w:t>
            </w:r>
          </w:p>
        </w:tc>
        <w:tc>
          <w:tcPr>
            <w:tcW w:w="672"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51" w:type="dxa"/>
            <w:vMerge w:val="continue"/>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p>
        </w:tc>
        <w:tc>
          <w:tcPr>
            <w:tcW w:w="1071" w:type="dxa"/>
            <w:vMerge w:val="continue"/>
            <w:vAlign w:val="center"/>
          </w:tcPr>
          <w:p>
            <w:pPr>
              <w:jc w:val="center"/>
              <w:rPr>
                <w:rFonts w:hint="eastAsia" w:ascii="仿宋" w:hAnsi="仿宋" w:eastAsia="仿宋" w:cs="仿宋"/>
                <w:i w:val="0"/>
                <w:iCs w:val="0"/>
                <w:color w:val="000000"/>
                <w:kern w:val="0"/>
                <w:sz w:val="21"/>
                <w:szCs w:val="21"/>
                <w:u w:val="none"/>
                <w:lang w:val="en-US" w:eastAsia="zh-CN" w:bidi="ar"/>
              </w:rPr>
            </w:pPr>
          </w:p>
        </w:tc>
        <w:tc>
          <w:tcPr>
            <w:tcW w:w="1389"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可持续影响指标（5分）</w:t>
            </w:r>
          </w:p>
        </w:tc>
        <w:tc>
          <w:tcPr>
            <w:tcW w:w="177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提高群众防灾减灾意识</w:t>
            </w:r>
          </w:p>
        </w:tc>
        <w:tc>
          <w:tcPr>
            <w:tcW w:w="132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95%</w:t>
            </w:r>
          </w:p>
        </w:tc>
        <w:tc>
          <w:tcPr>
            <w:tcW w:w="130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95%</w:t>
            </w:r>
          </w:p>
        </w:tc>
        <w:tc>
          <w:tcPr>
            <w:tcW w:w="672"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51" w:type="dxa"/>
            <w:vMerge w:val="continue"/>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p>
        </w:tc>
        <w:tc>
          <w:tcPr>
            <w:tcW w:w="1071"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满意度指标     （5分）</w:t>
            </w:r>
          </w:p>
        </w:tc>
        <w:tc>
          <w:tcPr>
            <w:tcW w:w="1389"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服务对象满意度指标  （5分）</w:t>
            </w:r>
          </w:p>
        </w:tc>
        <w:tc>
          <w:tcPr>
            <w:tcW w:w="177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信访群众满意度</w:t>
            </w:r>
          </w:p>
        </w:tc>
        <w:tc>
          <w:tcPr>
            <w:tcW w:w="132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80%</w:t>
            </w:r>
          </w:p>
        </w:tc>
        <w:tc>
          <w:tcPr>
            <w:tcW w:w="130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80%</w:t>
            </w:r>
          </w:p>
        </w:tc>
        <w:tc>
          <w:tcPr>
            <w:tcW w:w="672"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w:t>
            </w:r>
          </w:p>
        </w:tc>
      </w:tr>
    </w:tbl>
    <w:p>
      <w:pPr>
        <w:widowControl/>
        <w:numPr>
          <w:ilvl w:val="0"/>
          <w:numId w:val="0"/>
        </w:numPr>
        <w:spacing w:line="560" w:lineRule="exact"/>
        <w:ind w:firstLine="640" w:firstLineChars="200"/>
        <w:jc w:val="left"/>
        <w:rPr>
          <w:rFonts w:hint="eastAsia" w:ascii="楷体" w:hAnsi="楷体" w:eastAsia="楷体" w:cs="楷体"/>
          <w:color w:val="000000"/>
          <w:spacing w:val="0"/>
          <w:w w:val="100"/>
          <w:kern w:val="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kern w:val="0"/>
          <w:position w:val="0"/>
          <w:sz w:val="32"/>
          <w:szCs w:val="32"/>
          <w:highlight w:val="none"/>
          <w:u w:val="none"/>
          <w:shd w:val="clear" w:color="auto" w:fill="auto"/>
          <w:lang w:val="en-US" w:eastAsia="zh-CN" w:bidi="zh-TW"/>
        </w:rPr>
        <w:t>3.未完成的绩效目标</w:t>
      </w:r>
    </w:p>
    <w:tbl>
      <w:tblPr>
        <w:tblStyle w:val="9"/>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1"/>
        <w:gridCol w:w="1071"/>
        <w:gridCol w:w="1389"/>
        <w:gridCol w:w="1770"/>
        <w:gridCol w:w="1320"/>
        <w:gridCol w:w="1305"/>
        <w:gridCol w:w="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blHeader/>
          <w:jc w:val="center"/>
        </w:trPr>
        <w:tc>
          <w:tcPr>
            <w:tcW w:w="1051" w:type="dxa"/>
            <w:vAlign w:val="center"/>
          </w:tcPr>
          <w:p>
            <w:pPr>
              <w:widowControl/>
              <w:jc w:val="center"/>
              <w:rPr>
                <w:rFonts w:ascii="仿宋" w:hAnsi="仿宋" w:eastAsia="仿宋"/>
                <w:b/>
                <w:bCs/>
                <w:color w:val="000000"/>
                <w:kern w:val="0"/>
                <w:szCs w:val="21"/>
              </w:rPr>
            </w:pPr>
            <w:r>
              <w:rPr>
                <w:rFonts w:hint="eastAsia" w:ascii="仿宋" w:hAnsi="仿宋" w:eastAsia="仿宋"/>
                <w:b/>
                <w:bCs/>
                <w:color w:val="000000"/>
                <w:kern w:val="0"/>
                <w:szCs w:val="21"/>
              </w:rPr>
              <w:t>目标</w:t>
            </w:r>
          </w:p>
        </w:tc>
        <w:tc>
          <w:tcPr>
            <w:tcW w:w="1071" w:type="dxa"/>
            <w:vAlign w:val="center"/>
          </w:tcPr>
          <w:p>
            <w:pPr>
              <w:widowControl/>
              <w:jc w:val="center"/>
              <w:rPr>
                <w:rFonts w:hint="eastAsia" w:ascii="仿宋" w:hAnsi="仿宋" w:eastAsia="仿宋"/>
                <w:b/>
                <w:bCs/>
                <w:color w:val="000000"/>
                <w:kern w:val="0"/>
                <w:szCs w:val="21"/>
              </w:rPr>
            </w:pPr>
            <w:r>
              <w:rPr>
                <w:rFonts w:hint="eastAsia" w:ascii="仿宋" w:hAnsi="仿宋" w:eastAsia="仿宋"/>
                <w:b/>
                <w:bCs/>
                <w:color w:val="000000"/>
                <w:kern w:val="0"/>
                <w:szCs w:val="21"/>
                <w:lang w:val="en-US" w:eastAsia="zh-CN"/>
              </w:rPr>
              <w:t>一级指标</w:t>
            </w:r>
          </w:p>
        </w:tc>
        <w:tc>
          <w:tcPr>
            <w:tcW w:w="1389" w:type="dxa"/>
            <w:vAlign w:val="center"/>
          </w:tcPr>
          <w:p>
            <w:pPr>
              <w:widowControl/>
              <w:jc w:val="center"/>
              <w:rPr>
                <w:rFonts w:hint="eastAsia" w:ascii="仿宋" w:hAnsi="仿宋" w:eastAsia="仿宋"/>
                <w:b/>
                <w:bCs/>
                <w:color w:val="000000"/>
                <w:kern w:val="0"/>
                <w:szCs w:val="21"/>
              </w:rPr>
            </w:pPr>
            <w:r>
              <w:rPr>
                <w:rFonts w:hint="eastAsia" w:ascii="仿宋" w:hAnsi="仿宋" w:eastAsia="仿宋"/>
                <w:b/>
                <w:bCs/>
                <w:color w:val="000000"/>
                <w:kern w:val="0"/>
                <w:szCs w:val="21"/>
                <w:lang w:val="en-US" w:eastAsia="zh-CN"/>
              </w:rPr>
              <w:t>二级指标</w:t>
            </w:r>
          </w:p>
        </w:tc>
        <w:tc>
          <w:tcPr>
            <w:tcW w:w="1770" w:type="dxa"/>
            <w:vAlign w:val="center"/>
          </w:tcPr>
          <w:p>
            <w:pPr>
              <w:widowControl/>
              <w:jc w:val="center"/>
              <w:rPr>
                <w:rFonts w:hint="eastAsia" w:ascii="仿宋" w:hAnsi="仿宋" w:eastAsia="仿宋"/>
                <w:b/>
                <w:bCs/>
                <w:color w:val="000000"/>
                <w:kern w:val="0"/>
                <w:szCs w:val="21"/>
              </w:rPr>
            </w:pPr>
            <w:r>
              <w:rPr>
                <w:rFonts w:hint="eastAsia" w:ascii="仿宋" w:hAnsi="仿宋" w:eastAsia="仿宋"/>
                <w:b/>
                <w:bCs/>
                <w:color w:val="000000"/>
                <w:kern w:val="0"/>
                <w:szCs w:val="21"/>
                <w:lang w:val="en-US" w:eastAsia="zh-CN"/>
              </w:rPr>
              <w:t>三级指标</w:t>
            </w:r>
          </w:p>
        </w:tc>
        <w:tc>
          <w:tcPr>
            <w:tcW w:w="1320" w:type="dxa"/>
            <w:vAlign w:val="center"/>
          </w:tcPr>
          <w:p>
            <w:pPr>
              <w:widowControl/>
              <w:jc w:val="center"/>
              <w:rPr>
                <w:rFonts w:hint="eastAsia" w:ascii="仿宋" w:hAnsi="仿宋" w:eastAsia="仿宋"/>
                <w:b/>
                <w:bCs/>
                <w:color w:val="000000"/>
                <w:kern w:val="0"/>
                <w:szCs w:val="21"/>
              </w:rPr>
            </w:pPr>
            <w:r>
              <w:rPr>
                <w:rFonts w:hint="eastAsia" w:ascii="仿宋" w:hAnsi="仿宋" w:eastAsia="仿宋"/>
                <w:b/>
                <w:bCs/>
                <w:color w:val="000000"/>
                <w:kern w:val="0"/>
                <w:szCs w:val="21"/>
                <w:lang w:val="en-US" w:eastAsia="zh-CN"/>
              </w:rPr>
              <w:t>年初目标值（A）</w:t>
            </w:r>
          </w:p>
        </w:tc>
        <w:tc>
          <w:tcPr>
            <w:tcW w:w="1305" w:type="dxa"/>
            <w:vAlign w:val="center"/>
          </w:tcPr>
          <w:p>
            <w:pPr>
              <w:widowControl/>
              <w:jc w:val="center"/>
              <w:rPr>
                <w:rFonts w:hint="eastAsia" w:ascii="仿宋" w:hAnsi="仿宋" w:eastAsia="仿宋"/>
                <w:b/>
                <w:bCs/>
                <w:color w:val="000000"/>
                <w:kern w:val="0"/>
                <w:szCs w:val="21"/>
              </w:rPr>
            </w:pPr>
            <w:r>
              <w:rPr>
                <w:rFonts w:hint="eastAsia" w:ascii="仿宋" w:hAnsi="仿宋" w:eastAsia="仿宋"/>
                <w:b/>
                <w:bCs/>
                <w:color w:val="000000"/>
                <w:kern w:val="0"/>
                <w:szCs w:val="21"/>
                <w:lang w:val="en-US" w:eastAsia="zh-CN"/>
              </w:rPr>
              <w:t>实际完成值（B）</w:t>
            </w:r>
          </w:p>
        </w:tc>
        <w:tc>
          <w:tcPr>
            <w:tcW w:w="672" w:type="dxa"/>
            <w:vAlign w:val="center"/>
          </w:tcPr>
          <w:p>
            <w:pPr>
              <w:widowControl/>
              <w:jc w:val="center"/>
              <w:rPr>
                <w:rFonts w:hint="eastAsia" w:ascii="仿宋" w:hAnsi="仿宋" w:eastAsia="仿宋"/>
                <w:b/>
                <w:bCs/>
                <w:color w:val="000000"/>
                <w:kern w:val="0"/>
                <w:szCs w:val="21"/>
              </w:rPr>
            </w:pPr>
            <w:r>
              <w:rPr>
                <w:rFonts w:hint="eastAsia" w:ascii="仿宋" w:hAnsi="仿宋" w:eastAsia="仿宋"/>
                <w:b/>
                <w:bCs/>
                <w:color w:val="000000"/>
                <w:kern w:val="0"/>
                <w:szCs w:val="21"/>
                <w:lang w:val="en-US" w:eastAsia="zh-CN"/>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blHeader/>
          <w:jc w:val="center"/>
        </w:trPr>
        <w:tc>
          <w:tcPr>
            <w:tcW w:w="1051" w:type="dxa"/>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年度目标1：保民生</w:t>
            </w:r>
          </w:p>
        </w:tc>
        <w:tc>
          <w:tcPr>
            <w:tcW w:w="1071" w:type="dxa"/>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产出指标</w:t>
            </w:r>
          </w:p>
        </w:tc>
        <w:tc>
          <w:tcPr>
            <w:tcW w:w="1389" w:type="dxa"/>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数量指标</w:t>
            </w:r>
          </w:p>
        </w:tc>
        <w:tc>
          <w:tcPr>
            <w:tcW w:w="177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新建公共停车位个数（5分）</w:t>
            </w:r>
          </w:p>
        </w:tc>
        <w:tc>
          <w:tcPr>
            <w:tcW w:w="132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5000个</w:t>
            </w:r>
          </w:p>
        </w:tc>
        <w:tc>
          <w:tcPr>
            <w:tcW w:w="130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4894个</w:t>
            </w:r>
          </w:p>
        </w:tc>
        <w:tc>
          <w:tcPr>
            <w:tcW w:w="672"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4.89 </w:t>
            </w:r>
          </w:p>
        </w:tc>
      </w:tr>
    </w:tbl>
    <w:p>
      <w:pPr>
        <w:pStyle w:val="18"/>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640" w:firstLineChars="200"/>
        <w:jc w:val="both"/>
        <w:textAlignment w:val="auto"/>
        <w:rPr>
          <w:rFonts w:hint="eastAsia" w:ascii="楷体" w:hAnsi="楷体" w:eastAsia="楷体" w:cs="楷体"/>
          <w:color w:val="000000"/>
          <w:spacing w:val="0"/>
          <w:w w:val="100"/>
          <w:kern w:val="0"/>
          <w:position w:val="0"/>
          <w:sz w:val="32"/>
          <w:szCs w:val="32"/>
          <w:highlight w:val="none"/>
          <w:lang w:val="en-US" w:eastAsia="zh-CN"/>
        </w:rPr>
      </w:pPr>
      <w:r>
        <w:rPr>
          <w:rFonts w:hint="eastAsia" w:ascii="楷体" w:hAnsi="楷体" w:eastAsia="楷体" w:cs="楷体"/>
          <w:color w:val="000000"/>
          <w:spacing w:val="0"/>
          <w:w w:val="100"/>
          <w:kern w:val="0"/>
          <w:position w:val="0"/>
          <w:sz w:val="32"/>
          <w:szCs w:val="32"/>
          <w:highlight w:val="none"/>
          <w:lang w:val="en-US" w:eastAsia="zh-CN"/>
        </w:rPr>
        <w:t>（三）存在的问题和原因</w:t>
      </w:r>
    </w:p>
    <w:p>
      <w:pPr>
        <w:widowControl/>
        <w:spacing w:beforeLines="50" w:afterLines="50" w:line="560" w:lineRule="exact"/>
        <w:ind w:firstLine="640" w:firstLineChars="200"/>
        <w:jc w:val="left"/>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pPr>
      <w:r>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t>1.本年度预算存在偏差，主要是以下几方面原因：</w:t>
      </w:r>
    </w:p>
    <w:p>
      <w:pPr>
        <w:widowControl/>
        <w:numPr>
          <w:ilvl w:val="0"/>
          <w:numId w:val="0"/>
        </w:numPr>
        <w:ind w:firstLine="640" w:firstLineChars="200"/>
        <w:jc w:val="left"/>
        <w:rPr>
          <w:rFonts w:hint="eastAsia" w:ascii="仿宋" w:hAnsi="仿宋" w:eastAsia="仿宋" w:cs="仿宋"/>
          <w:color w:val="000000"/>
          <w:spacing w:val="0"/>
          <w:w w:val="100"/>
          <w:position w:val="0"/>
          <w:sz w:val="32"/>
          <w:szCs w:val="32"/>
          <w:highlight w:val="none"/>
          <w:lang w:val="en-US" w:eastAsia="zh-CN"/>
        </w:rPr>
      </w:pPr>
      <w:r>
        <w:rPr>
          <w:rFonts w:hint="default" w:ascii="仿宋" w:hAnsi="仿宋" w:eastAsia="仿宋" w:cs="仿宋"/>
          <w:color w:val="auto"/>
          <w:spacing w:val="0"/>
          <w:w w:val="100"/>
          <w:kern w:val="0"/>
          <w:position w:val="0"/>
          <w:sz w:val="32"/>
          <w:szCs w:val="32"/>
          <w:highlight w:val="none"/>
          <w:u w:val="none"/>
          <w:shd w:val="clear" w:color="auto" w:fill="auto"/>
          <w:lang w:val="en-US" w:eastAsia="zh-CN" w:bidi="zh-TW"/>
        </w:rPr>
        <w:t>①</w:t>
      </w:r>
      <w:r>
        <w:rPr>
          <w:rFonts w:hint="eastAsia" w:ascii="仿宋" w:hAnsi="仿宋" w:eastAsia="仿宋" w:cs="仿宋"/>
          <w:color w:val="000000"/>
          <w:spacing w:val="0"/>
          <w:w w:val="100"/>
          <w:position w:val="0"/>
          <w:sz w:val="32"/>
          <w:szCs w:val="32"/>
          <w:highlight w:val="none"/>
          <w:lang w:val="en-US" w:eastAsia="zh-CN"/>
        </w:rPr>
        <w:t>征地和拆迁补偿支出项目</w:t>
      </w:r>
      <w:r>
        <w:rPr>
          <w:rFonts w:hint="eastAsia" w:ascii="仿宋" w:hAnsi="仿宋" w:eastAsia="仿宋" w:cs="仿宋"/>
          <w:color w:val="000000"/>
          <w:spacing w:val="0"/>
          <w:w w:val="100"/>
          <w:position w:val="0"/>
          <w:sz w:val="32"/>
          <w:szCs w:val="32"/>
          <w:highlight w:val="none"/>
        </w:rPr>
        <w:t>20</w:t>
      </w:r>
      <w:r>
        <w:rPr>
          <w:rFonts w:hint="eastAsia" w:ascii="仿宋" w:hAnsi="仿宋" w:eastAsia="仿宋" w:cs="仿宋"/>
          <w:color w:val="000000"/>
          <w:spacing w:val="0"/>
          <w:w w:val="100"/>
          <w:position w:val="0"/>
          <w:sz w:val="32"/>
          <w:szCs w:val="32"/>
          <w:highlight w:val="none"/>
          <w:lang w:val="en-US" w:eastAsia="zh-CN"/>
        </w:rPr>
        <w:t>21年度</w:t>
      </w:r>
      <w:r>
        <w:rPr>
          <w:rFonts w:hint="eastAsia" w:ascii="仿宋" w:hAnsi="仿宋" w:eastAsia="仿宋" w:cs="仿宋"/>
          <w:color w:val="000000"/>
          <w:spacing w:val="0"/>
          <w:w w:val="100"/>
          <w:position w:val="0"/>
          <w:sz w:val="32"/>
          <w:szCs w:val="32"/>
          <w:highlight w:val="none"/>
        </w:rPr>
        <w:t>年初预算为</w:t>
      </w:r>
      <w:r>
        <w:rPr>
          <w:rFonts w:hint="eastAsia" w:ascii="仿宋" w:hAnsi="仿宋" w:eastAsia="仿宋" w:cs="仿宋"/>
          <w:color w:val="000000"/>
          <w:spacing w:val="0"/>
          <w:w w:val="100"/>
          <w:position w:val="0"/>
          <w:sz w:val="32"/>
          <w:szCs w:val="32"/>
          <w:highlight w:val="none"/>
          <w:lang w:val="en-US" w:eastAsia="zh-CN"/>
        </w:rPr>
        <w:t>25,225.00</w:t>
      </w:r>
      <w:r>
        <w:rPr>
          <w:rFonts w:hint="eastAsia" w:ascii="仿宋" w:hAnsi="仿宋" w:eastAsia="仿宋" w:cs="仿宋"/>
          <w:color w:val="000000"/>
          <w:spacing w:val="0"/>
          <w:w w:val="100"/>
          <w:position w:val="0"/>
          <w:sz w:val="32"/>
          <w:szCs w:val="32"/>
          <w:highlight w:val="none"/>
        </w:rPr>
        <w:t>万元，</w:t>
      </w:r>
      <w:r>
        <w:rPr>
          <w:rFonts w:hint="eastAsia" w:ascii="仿宋" w:hAnsi="仿宋" w:eastAsia="仿宋" w:cs="仿宋"/>
          <w:color w:val="000000"/>
          <w:spacing w:val="0"/>
          <w:w w:val="100"/>
          <w:position w:val="0"/>
          <w:sz w:val="32"/>
          <w:szCs w:val="32"/>
          <w:highlight w:val="none"/>
          <w:lang w:val="en-US" w:eastAsia="zh-CN"/>
        </w:rPr>
        <w:t>经区财政局批复，从此项目中支出土地储备金项目缺口资金4,937.42万元，预算金额调减至20,287.58万元，该项目实际支出为10,361.53万元，</w:t>
      </w:r>
      <w:r>
        <w:rPr>
          <w:rFonts w:hint="eastAsia" w:ascii="仿宋" w:hAnsi="仿宋" w:eastAsia="仿宋" w:cs="仿宋"/>
          <w:color w:val="000000"/>
          <w:spacing w:val="0"/>
          <w:w w:val="100"/>
          <w:position w:val="0"/>
          <w:sz w:val="32"/>
          <w:szCs w:val="32"/>
          <w:highlight w:val="none"/>
        </w:rPr>
        <w:t>实际预算执行率为</w:t>
      </w:r>
      <w:r>
        <w:rPr>
          <w:rFonts w:hint="eastAsia" w:ascii="仿宋" w:hAnsi="仿宋" w:eastAsia="仿宋" w:cs="仿宋"/>
          <w:color w:val="000000"/>
          <w:spacing w:val="0"/>
          <w:w w:val="100"/>
          <w:position w:val="0"/>
          <w:sz w:val="32"/>
          <w:szCs w:val="32"/>
          <w:highlight w:val="none"/>
          <w:lang w:val="en-US" w:eastAsia="zh-CN"/>
        </w:rPr>
        <w:t>51.07</w:t>
      </w:r>
      <w:r>
        <w:rPr>
          <w:rFonts w:hint="eastAsia" w:ascii="仿宋" w:hAnsi="仿宋" w:eastAsia="仿宋" w:cs="仿宋"/>
          <w:color w:val="000000"/>
          <w:spacing w:val="0"/>
          <w:w w:val="100"/>
          <w:position w:val="0"/>
          <w:sz w:val="32"/>
          <w:szCs w:val="32"/>
          <w:highlight w:val="none"/>
          <w:lang w:val="en-US" w:eastAsia="en-US"/>
        </w:rPr>
        <w:t>%</w:t>
      </w:r>
      <w:r>
        <w:rPr>
          <w:rFonts w:hint="eastAsia" w:ascii="仿宋" w:hAnsi="仿宋" w:eastAsia="仿宋" w:cs="仿宋"/>
          <w:color w:val="000000"/>
          <w:spacing w:val="0"/>
          <w:w w:val="100"/>
          <w:position w:val="0"/>
          <w:sz w:val="32"/>
          <w:szCs w:val="32"/>
          <w:highlight w:val="none"/>
          <w:lang w:val="en-US" w:eastAsia="zh-CN"/>
        </w:rPr>
        <w:t>。该项目执行率过低的主要原因为：一是2021年实际支出与土地收储面积息息相关，受各方面原因影响本年度农用地转用低于其他年度量较大；二是由于区政府对土地供应决策进行了调整，经区政府批准另行申请了F类资金用于土地收储相关项目支出，导致预算内相关项目支出减少；三是该项目2021年预算中补偿费6,600.00万元，支出由财政局直接将补偿费拨付给了街道，导致此项预算无法执行，预算执行率过低。</w:t>
      </w:r>
    </w:p>
    <w:p>
      <w:pPr>
        <w:widowControl/>
        <w:numPr>
          <w:ilvl w:val="0"/>
          <w:numId w:val="0"/>
        </w:numPr>
        <w:ind w:firstLine="640" w:firstLineChars="200"/>
        <w:jc w:val="left"/>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pPr>
      <w:r>
        <w:rPr>
          <w:rFonts w:hint="default" w:ascii="仿宋" w:hAnsi="仿宋" w:eastAsia="仿宋" w:cs="仿宋"/>
          <w:color w:val="auto"/>
          <w:spacing w:val="0"/>
          <w:w w:val="100"/>
          <w:kern w:val="0"/>
          <w:position w:val="0"/>
          <w:sz w:val="32"/>
          <w:szCs w:val="32"/>
          <w:highlight w:val="none"/>
          <w:u w:val="none"/>
          <w:shd w:val="clear" w:color="auto" w:fill="auto"/>
          <w:lang w:val="en-US" w:eastAsia="zh-CN" w:bidi="zh-TW"/>
        </w:rPr>
        <w:t>②第三次国土调查</w:t>
      </w:r>
      <w:r>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t>项目，年初预算192.17万元，实际执行120.48万元，预算时包含了工作经费（宣传、培训等），实际开展过程中，均由上级主管部门组织完成，导致预算执行偏低。</w:t>
      </w:r>
    </w:p>
    <w:p>
      <w:pPr>
        <w:widowControl/>
        <w:numPr>
          <w:ilvl w:val="0"/>
          <w:numId w:val="0"/>
        </w:numPr>
        <w:ind w:firstLine="640" w:firstLineChars="200"/>
        <w:jc w:val="left"/>
        <w:rPr>
          <w:rFonts w:hint="default" w:ascii="仿宋" w:hAnsi="仿宋" w:eastAsia="仿宋" w:cs="仿宋"/>
          <w:color w:val="auto"/>
          <w:spacing w:val="0"/>
          <w:w w:val="100"/>
          <w:kern w:val="0"/>
          <w:position w:val="0"/>
          <w:sz w:val="32"/>
          <w:szCs w:val="32"/>
          <w:highlight w:val="none"/>
          <w:u w:val="none"/>
          <w:shd w:val="clear" w:color="auto" w:fill="auto"/>
          <w:lang w:val="en-US" w:eastAsia="zh-CN" w:bidi="zh-TW"/>
        </w:rPr>
      </w:pPr>
      <w:r>
        <w:rPr>
          <w:rFonts w:hint="default" w:ascii="仿宋" w:hAnsi="仿宋" w:eastAsia="仿宋" w:cs="仿宋"/>
          <w:color w:val="auto"/>
          <w:spacing w:val="0"/>
          <w:w w:val="100"/>
          <w:kern w:val="0"/>
          <w:position w:val="0"/>
          <w:sz w:val="32"/>
          <w:szCs w:val="32"/>
          <w:highlight w:val="none"/>
          <w:u w:val="none"/>
          <w:shd w:val="clear" w:color="auto" w:fill="auto"/>
          <w:lang w:val="en-US" w:eastAsia="zh-CN" w:bidi="zh-TW"/>
        </w:rPr>
        <w:t>③土地变更经费</w:t>
      </w:r>
      <w:r>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t>项目，年初预算28.00万元，实际执行14.95万元，第三次国土调查结束后，年度国土变更调查工作发生较大调整，组织模式和经费预算较往年有较大调整，导致预算执行情况有差异。</w:t>
      </w:r>
    </w:p>
    <w:p>
      <w:pPr>
        <w:widowControl/>
        <w:numPr>
          <w:ilvl w:val="0"/>
          <w:numId w:val="0"/>
        </w:numPr>
        <w:ind w:firstLine="640" w:firstLineChars="200"/>
        <w:jc w:val="left"/>
        <w:rPr>
          <w:rFonts w:hint="default" w:ascii="仿宋" w:hAnsi="仿宋" w:eastAsia="仿宋" w:cs="仿宋"/>
          <w:color w:val="auto"/>
          <w:spacing w:val="0"/>
          <w:w w:val="100"/>
          <w:kern w:val="0"/>
          <w:position w:val="0"/>
          <w:sz w:val="32"/>
          <w:szCs w:val="32"/>
          <w:highlight w:val="yellow"/>
          <w:u w:val="none"/>
          <w:shd w:val="clear" w:color="auto" w:fill="auto"/>
          <w:lang w:val="en-US" w:eastAsia="zh-CN" w:bidi="zh-TW"/>
        </w:rPr>
      </w:pPr>
      <w:r>
        <w:rPr>
          <w:rFonts w:hint="eastAsia" w:ascii="宋体" w:hAnsi="宋体" w:eastAsia="宋体" w:cs="宋体"/>
          <w:color w:val="auto"/>
          <w:spacing w:val="0"/>
          <w:w w:val="100"/>
          <w:kern w:val="0"/>
          <w:position w:val="0"/>
          <w:sz w:val="32"/>
          <w:szCs w:val="32"/>
          <w:highlight w:val="none"/>
          <w:u w:val="none"/>
          <w:shd w:val="clear" w:color="auto" w:fill="auto"/>
          <w:lang w:val="en-US" w:eastAsia="zh-CN" w:bidi="zh-TW"/>
        </w:rPr>
        <w:t>④</w:t>
      </w:r>
      <w:r>
        <w:rPr>
          <w:rFonts w:hint="default" w:ascii="仿宋" w:hAnsi="仿宋" w:eastAsia="仿宋" w:cs="仿宋"/>
          <w:color w:val="auto"/>
          <w:spacing w:val="0"/>
          <w:w w:val="100"/>
          <w:kern w:val="0"/>
          <w:position w:val="0"/>
          <w:sz w:val="32"/>
          <w:szCs w:val="32"/>
          <w:highlight w:val="none"/>
          <w:u w:val="none"/>
          <w:shd w:val="clear" w:color="auto" w:fill="auto"/>
          <w:lang w:val="en-US" w:eastAsia="zh-CN" w:bidi="zh-TW"/>
        </w:rPr>
        <w:t>信息化建设经费</w:t>
      </w:r>
      <w:r>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t>项目，年初预算437.00万元，实际执行314.45万元，因我区队执法职能调整，“东西湖区自然资源和规划在线执法信息系统”的需求和细节需调整，项目未能在该年度完成。</w:t>
      </w:r>
    </w:p>
    <w:p>
      <w:pPr>
        <w:widowControl/>
        <w:numPr>
          <w:ilvl w:val="0"/>
          <w:numId w:val="0"/>
        </w:numPr>
        <w:ind w:firstLine="640" w:firstLineChars="200"/>
        <w:jc w:val="left"/>
        <w:rPr>
          <w:rFonts w:hint="default" w:ascii="仿宋" w:hAnsi="仿宋" w:eastAsia="仿宋" w:cs="仿宋"/>
          <w:color w:val="auto"/>
          <w:spacing w:val="0"/>
          <w:w w:val="100"/>
          <w:kern w:val="0"/>
          <w:position w:val="0"/>
          <w:sz w:val="32"/>
          <w:szCs w:val="32"/>
          <w:highlight w:val="none"/>
          <w:u w:val="none"/>
          <w:shd w:val="clear" w:color="auto" w:fill="auto"/>
          <w:lang w:val="en-US" w:eastAsia="zh-CN" w:bidi="zh-TW"/>
        </w:rPr>
      </w:pPr>
      <w:r>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t xml:space="preserve"> 2.</w:t>
      </w:r>
      <w:r>
        <w:rPr>
          <w:rFonts w:hint="default" w:ascii="仿宋" w:hAnsi="仿宋" w:eastAsia="仿宋" w:cs="仿宋"/>
          <w:color w:val="auto"/>
          <w:spacing w:val="0"/>
          <w:w w:val="100"/>
          <w:kern w:val="0"/>
          <w:position w:val="0"/>
          <w:sz w:val="32"/>
          <w:szCs w:val="32"/>
          <w:highlight w:val="none"/>
          <w:u w:val="none"/>
          <w:shd w:val="clear" w:color="auto" w:fill="auto"/>
          <w:lang w:val="zh-TW" w:eastAsia="zh-TW" w:bidi="zh-TW"/>
        </w:rPr>
        <w:t>绩效</w:t>
      </w:r>
      <w:r>
        <w:rPr>
          <w:rFonts w:hint="eastAsia" w:ascii="仿宋" w:hAnsi="仿宋" w:eastAsia="仿宋" w:cs="仿宋"/>
          <w:color w:val="auto"/>
          <w:spacing w:val="0"/>
          <w:w w:val="100"/>
          <w:kern w:val="0"/>
          <w:position w:val="0"/>
          <w:sz w:val="32"/>
          <w:szCs w:val="32"/>
          <w:highlight w:val="none"/>
          <w:u w:val="none"/>
          <w:shd w:val="clear" w:color="auto" w:fill="auto"/>
          <w:lang w:val="zh-TW" w:eastAsia="zh-CN" w:bidi="zh-TW"/>
        </w:rPr>
        <w:t>指标设置不合理，</w:t>
      </w:r>
      <w:r>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t>如整体项目绩效指标中，</w:t>
      </w:r>
      <w:r>
        <w:rPr>
          <w:rFonts w:hint="eastAsia" w:ascii="仿宋" w:hAnsi="仿宋" w:eastAsia="仿宋" w:cs="仿宋"/>
          <w:color w:val="auto"/>
          <w:spacing w:val="0"/>
          <w:w w:val="100"/>
          <w:kern w:val="0"/>
          <w:position w:val="0"/>
          <w:sz w:val="32"/>
          <w:szCs w:val="32"/>
          <w:highlight w:val="none"/>
          <w:u w:val="none"/>
          <w:shd w:val="clear" w:color="auto" w:fill="auto"/>
          <w:lang w:val="zh-TW" w:eastAsia="zh-CN" w:bidi="zh-TW"/>
        </w:rPr>
        <w:t>部分年度目标未设置满意度指标；部分绩效目标值设置不合理，例如数量指标建设用地年度获批总量</w:t>
      </w:r>
      <w:r>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t>100%（可以将目标值改为具体面积，或者将指标设为“建设用地年度获批率”，指标值设为“100%”）；</w:t>
      </w:r>
      <w:r>
        <w:rPr>
          <w:rFonts w:hint="eastAsia" w:ascii="仿宋" w:hAnsi="仿宋" w:eastAsia="仿宋" w:cs="仿宋"/>
          <w:color w:val="000000"/>
          <w:spacing w:val="0"/>
          <w:w w:val="100"/>
          <w:position w:val="0"/>
          <w:sz w:val="32"/>
          <w:szCs w:val="32"/>
          <w:highlight w:val="none"/>
          <w:lang w:val="en-US" w:eastAsia="zh-CN"/>
        </w:rPr>
        <w:t>征地和拆迁补偿支出项目</w:t>
      </w:r>
      <w:r>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t>2021年预算包含6,600.00万补偿费，未对此项目支出设置绩效考核指标。</w:t>
      </w:r>
    </w:p>
    <w:p>
      <w:pPr>
        <w:pStyle w:val="18"/>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640" w:firstLineChars="200"/>
        <w:jc w:val="both"/>
        <w:textAlignment w:val="auto"/>
        <w:rPr>
          <w:rFonts w:hint="eastAsia" w:ascii="楷体" w:hAnsi="楷体" w:eastAsia="楷体" w:cs="楷体"/>
          <w:color w:val="000000"/>
          <w:spacing w:val="0"/>
          <w:w w:val="100"/>
          <w:kern w:val="0"/>
          <w:position w:val="0"/>
          <w:sz w:val="32"/>
          <w:szCs w:val="32"/>
          <w:highlight w:val="none"/>
          <w:lang w:val="en-US" w:eastAsia="zh-CN"/>
        </w:rPr>
      </w:pPr>
      <w:r>
        <w:rPr>
          <w:rFonts w:hint="eastAsia" w:ascii="楷体" w:hAnsi="楷体" w:eastAsia="楷体" w:cs="楷体"/>
          <w:color w:val="000000"/>
          <w:spacing w:val="0"/>
          <w:w w:val="100"/>
          <w:kern w:val="0"/>
          <w:position w:val="0"/>
          <w:sz w:val="32"/>
          <w:szCs w:val="32"/>
          <w:highlight w:val="none"/>
          <w:lang w:val="en-US" w:eastAsia="zh-CN"/>
        </w:rPr>
        <w:t>（四）下一步拟改进措施</w:t>
      </w:r>
    </w:p>
    <w:p>
      <w:pPr>
        <w:numPr>
          <w:ilvl w:val="0"/>
          <w:numId w:val="0"/>
        </w:numPr>
        <w:ind w:firstLine="640" w:firstLineChars="200"/>
        <w:jc w:val="left"/>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pPr>
      <w:r>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t>1.年中根据预算执行情况，对预算进行适当调整。加强各科室《预算法》、《行政单位会计制度》等相关方面的业务培训学习，规范部门预算收支核算，严格按项目和进度执行预算，增强预算的约束力和严肃性。落实预算执行分析，及时了解预算执行差异，合理调整、纠正预算执行偏差，切实提高部门预算收支管理水平。</w:t>
      </w:r>
    </w:p>
    <w:p>
      <w:pPr>
        <w:numPr>
          <w:ilvl w:val="0"/>
          <w:numId w:val="0"/>
        </w:numPr>
        <w:ind w:firstLine="640" w:firstLineChars="200"/>
        <w:jc w:val="left"/>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pPr>
      <w:r>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t>2.</w:t>
      </w:r>
      <w:r>
        <w:rPr>
          <w:rFonts w:hint="eastAsia" w:ascii="仿宋" w:hAnsi="仿宋" w:eastAsia="仿宋" w:cs="仿宋"/>
          <w:kern w:val="2"/>
          <w:sz w:val="32"/>
          <w:szCs w:val="32"/>
          <w:highlight w:val="none"/>
          <w:u w:val="none"/>
          <w:shd w:val="clear" w:color="auto" w:fill="auto"/>
          <w:lang w:val="en-US" w:eastAsia="zh-CN" w:bidi="zh-TW"/>
        </w:rPr>
        <w:t>进一步优化和改善指标体系，更科学、全面的制定并细化绩效指标目标值</w:t>
      </w:r>
      <w:r>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t>。根据自身项目特点，优先选择最能反映绩效管理要求的关键性指标。减除不重要的指标，增设项目资金投放比重高的业务产出指标、效益指标。指标值设置需具有挑战性和适当压力性，同时还要考虑绩效目标评价的可操作性。</w:t>
      </w:r>
    </w:p>
    <w:p>
      <w:pPr>
        <w:numPr>
          <w:ilvl w:val="0"/>
          <w:numId w:val="0"/>
        </w:numPr>
        <w:ind w:firstLine="640" w:firstLineChars="200"/>
        <w:jc w:val="left"/>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pPr>
      <w:r>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t>附件：2021年度武汉市东西湖区自然资源和规划局部门整体绩效自评表</w:t>
      </w:r>
    </w:p>
    <w:p>
      <w:pPr>
        <w:numPr>
          <w:ilvl w:val="0"/>
          <w:numId w:val="1"/>
        </w:numPr>
        <w:ind w:left="750" w:leftChars="0" w:firstLine="0" w:firstLineChars="0"/>
        <w:rPr>
          <w:rFonts w:hint="eastAsia" w:ascii="黑体" w:hAnsi="黑体" w:eastAsia="黑体" w:cs="黑体"/>
          <w:color w:val="000000"/>
          <w:spacing w:val="0"/>
          <w:w w:val="100"/>
          <w:kern w:val="0"/>
          <w:position w:val="0"/>
          <w:sz w:val="32"/>
          <w:szCs w:val="32"/>
          <w:highlight w:val="none"/>
          <w:u w:val="none"/>
          <w:shd w:val="clear" w:color="auto" w:fill="auto"/>
          <w:lang w:val="en-US" w:eastAsia="zh-CN" w:bidi="zh-TW"/>
        </w:rPr>
      </w:pPr>
      <w:r>
        <w:rPr>
          <w:rFonts w:hint="eastAsia" w:ascii="黑体" w:hAnsi="黑体" w:eastAsia="黑体" w:cs="黑体"/>
          <w:color w:val="000000"/>
          <w:spacing w:val="0"/>
          <w:w w:val="100"/>
          <w:kern w:val="0"/>
          <w:position w:val="0"/>
          <w:sz w:val="32"/>
          <w:szCs w:val="32"/>
          <w:highlight w:val="none"/>
          <w:u w:val="none"/>
          <w:shd w:val="clear" w:color="auto" w:fill="auto"/>
          <w:lang w:val="en-US" w:eastAsia="zh-CN" w:bidi="zh-TW"/>
        </w:rPr>
        <w:t>佐证材料</w:t>
      </w:r>
    </w:p>
    <w:p>
      <w:pPr>
        <w:pStyle w:val="18"/>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520"/>
        <w:jc w:val="both"/>
        <w:textAlignment w:val="auto"/>
        <w:rPr>
          <w:rFonts w:hint="eastAsia"/>
        </w:rPr>
      </w:pPr>
      <w:r>
        <w:rPr>
          <w:rFonts w:hint="eastAsia" w:ascii="楷体" w:hAnsi="楷体" w:eastAsia="楷体" w:cs="楷体"/>
          <w:color w:val="000000"/>
          <w:spacing w:val="0"/>
          <w:w w:val="100"/>
          <w:position w:val="0"/>
          <w:sz w:val="32"/>
          <w:szCs w:val="32"/>
          <w:highlight w:val="none"/>
          <w:lang w:val="en-US" w:eastAsia="zh-CN"/>
        </w:rPr>
        <w:t>（一)基本情况</w:t>
      </w:r>
    </w:p>
    <w:p>
      <w:pPr>
        <w:pStyle w:val="18"/>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640" w:firstLineChars="200"/>
        <w:jc w:val="both"/>
        <w:textAlignment w:val="auto"/>
        <w:rPr>
          <w:rFonts w:hint="eastAsia" w:ascii="楷体" w:hAnsi="楷体" w:eastAsia="楷体" w:cs="楷体"/>
          <w:color w:val="000000"/>
          <w:spacing w:val="0"/>
          <w:w w:val="100"/>
          <w:kern w:val="0"/>
          <w:position w:val="0"/>
          <w:sz w:val="32"/>
          <w:szCs w:val="32"/>
          <w:lang w:val="en-US" w:eastAsia="zh-CN"/>
        </w:rPr>
      </w:pPr>
      <w:r>
        <w:rPr>
          <w:rFonts w:hint="eastAsia" w:ascii="楷体" w:hAnsi="楷体" w:eastAsia="楷体" w:cs="楷体"/>
          <w:color w:val="000000"/>
          <w:spacing w:val="0"/>
          <w:w w:val="100"/>
          <w:kern w:val="0"/>
          <w:position w:val="0"/>
          <w:sz w:val="32"/>
          <w:szCs w:val="32"/>
          <w:lang w:val="en-US" w:eastAsia="zh-CN"/>
        </w:rPr>
        <w:t>1.部门主要职能</w:t>
      </w:r>
    </w:p>
    <w:p>
      <w:pPr>
        <w:numPr>
          <w:ilvl w:val="0"/>
          <w:numId w:val="0"/>
        </w:numPr>
        <w:ind w:firstLine="640" w:firstLineChars="200"/>
        <w:jc w:val="left"/>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pPr>
      <w:r>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t>①贯彻执行国家、省、市关于城乡规划、国土资源、测绘勘察方面的法律、法规、规章和方针、政策；参与起草城乡规划、国土资源、测绘勘察有关规定，经批准后依法组织实施和监督检查。</w:t>
      </w:r>
    </w:p>
    <w:p>
      <w:pPr>
        <w:numPr>
          <w:ilvl w:val="0"/>
          <w:numId w:val="0"/>
        </w:numPr>
        <w:ind w:firstLine="640" w:firstLineChars="200"/>
        <w:jc w:val="left"/>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pPr>
      <w:r>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t>②负责组织城乡发展战略研究，提出统筹城乡规划和建设发展、促进“两型社会”建设的政策建议；负责组织国土资源可持续利用和土地资产经营战略研究，提出深化土地使用制度改革、统筹土地资产经营管理的政策建议；参与拟订国民经济和社会发展规划、区域经济发展规划等。</w:t>
      </w:r>
    </w:p>
    <w:p>
      <w:pPr>
        <w:numPr>
          <w:ilvl w:val="0"/>
          <w:numId w:val="0"/>
        </w:numPr>
        <w:ind w:firstLine="640" w:firstLineChars="200"/>
        <w:jc w:val="left"/>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pPr>
      <w:r>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t>③负责组织编制、修订和统筹协调城镇体系规划、城乡总体规划、国土规划、土地利用总体规划、地质环境保护规划、矿产资源保护利用规划、测绘勘察事业发展规划等，并组织报批、实施和监督检查。</w:t>
      </w:r>
    </w:p>
    <w:p>
      <w:pPr>
        <w:numPr>
          <w:ilvl w:val="0"/>
          <w:numId w:val="0"/>
        </w:numPr>
        <w:ind w:firstLine="640" w:firstLineChars="200"/>
        <w:jc w:val="left"/>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pPr>
      <w:r>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t>④负责组织编制、修订分区规划、详细规划和城市设计，综合协调历史文化名城保护、地下空间开发利用、风景名胜区、综合交通体系、市政公用设施等规划，指导编制乡镇、村庄规划；负责组织编制、修订土地开发整理复垦、基本农田保护、高产农田建设和中低产田改造等规划，指导编制区、场级土地利用规划；依法审查、审批以上各类规划，并组织实施和监督检查。</w:t>
      </w:r>
    </w:p>
    <w:p>
      <w:pPr>
        <w:numPr>
          <w:ilvl w:val="0"/>
          <w:numId w:val="0"/>
        </w:numPr>
        <w:ind w:firstLine="640" w:firstLineChars="200"/>
        <w:jc w:val="left"/>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pPr>
      <w:r>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t>⑤负责组织编制、修订近期建设规划和年度实施计划，拟订并组织实施全区土地利用及储备供应、矿产资源保护利用、规划编制、基础测绘等年度计划；参与拟订城市基础设施、园林绿化等年度建设计划；参与重大建设项目的前期研究工作。</w:t>
      </w:r>
    </w:p>
    <w:p>
      <w:pPr>
        <w:numPr>
          <w:ilvl w:val="0"/>
          <w:numId w:val="0"/>
        </w:numPr>
        <w:ind w:firstLine="640" w:firstLineChars="200"/>
        <w:jc w:val="left"/>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pPr>
      <w:r>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t>⑥负责耕地保护和土地用途管制工作。拟订实施耕地保护和鼓励耕地开发的措施；负责基本农田保护工作；负责组织未利用地开发、土地整理复垦、高产农田建设和中低产田改造工作；负责城乡建设用地增减挂钩管理工作。</w:t>
      </w:r>
    </w:p>
    <w:p>
      <w:pPr>
        <w:numPr>
          <w:ilvl w:val="0"/>
          <w:numId w:val="0"/>
        </w:numPr>
        <w:ind w:firstLine="640" w:firstLineChars="200"/>
        <w:jc w:val="left"/>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pPr>
      <w:r>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t>⑦负责规划选址定点和建设用地规划许可。依法高效办理各类建设工程（包括建筑物、构筑物、交通、市政及其它工程设施，下同）的建设项目选址意见书和建设用地规划许可证。</w:t>
      </w:r>
    </w:p>
    <w:p>
      <w:pPr>
        <w:numPr>
          <w:ilvl w:val="0"/>
          <w:numId w:val="0"/>
        </w:numPr>
        <w:ind w:firstLine="640" w:firstLineChars="200"/>
        <w:jc w:val="left"/>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pPr>
      <w:r>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t>⑧负责农用地转用和征收工作。负责各类建设工程的用地预审和下达农用地转用计划指标工作；组织农用地转用、土地征收报批工作；审核土地征收的补偿安置方案。</w:t>
      </w:r>
    </w:p>
    <w:p>
      <w:pPr>
        <w:numPr>
          <w:ilvl w:val="0"/>
          <w:numId w:val="0"/>
        </w:numPr>
        <w:ind w:firstLine="640" w:firstLineChars="200"/>
        <w:jc w:val="left"/>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pPr>
      <w:r>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t>⑨负责土地资产经营管理。负责国有土地使用权划拨和出让、转让及土地资产处置管理工作；组织拟订基准地价；负责土地有形市场建设和土地储备供应管理工作；对建设用地土地使用权流转进行监督管理；负责经营性国有土地使用权出让的招、拍、挂监管。</w:t>
      </w:r>
    </w:p>
    <w:p>
      <w:pPr>
        <w:numPr>
          <w:ilvl w:val="0"/>
          <w:numId w:val="0"/>
        </w:numPr>
        <w:ind w:firstLine="640" w:firstLineChars="200"/>
        <w:jc w:val="left"/>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pPr>
      <w:r>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t>⑩负责土地权属管理。负责土地权属确认、登记、核发证书工作；组织实施土地资源调查。</w:t>
      </w:r>
    </w:p>
    <w:p>
      <w:pPr>
        <w:numPr>
          <w:ilvl w:val="0"/>
          <w:numId w:val="0"/>
        </w:numPr>
        <w:ind w:firstLine="640" w:firstLineChars="200"/>
        <w:jc w:val="left"/>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pPr>
      <w:r>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t>⑪负责建设工程规划许可和规划验收管理，依法高效办理建设工程规划许可证和建设工程规划验收合格证；指导各街道、园区建设的规划管理工作。</w:t>
      </w:r>
    </w:p>
    <w:p>
      <w:pPr>
        <w:numPr>
          <w:ilvl w:val="0"/>
          <w:numId w:val="0"/>
        </w:numPr>
        <w:ind w:firstLine="640" w:firstLineChars="200"/>
        <w:jc w:val="left"/>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pPr>
      <w:r>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t>⑫负责地质矿产资源管理。负责地质环境保护工作，管理地质勘察成果和地质资料，组织实施地质灾害评估防治、矿区环境治理和地质遗迹保护；负责探矿权、采矿权、矿产资源储量管理工作，监督管理矿产资源开发利用。</w:t>
      </w:r>
    </w:p>
    <w:p>
      <w:pPr>
        <w:numPr>
          <w:ilvl w:val="0"/>
          <w:numId w:val="0"/>
        </w:numPr>
        <w:ind w:leftChars="0" w:firstLine="640" w:firstLineChars="200"/>
        <w:jc w:val="left"/>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pPr>
      <w:r>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t>⑬负责测绘勘察管理。负责测绘项目登记，管理测绘市场、地理信息市场和测绘成果；负责测量标志的使用核准和保护工作，监管地图的编制、出版、展示及登载；组织开展规划勘察、基础测绘和其它重大测绘工作；负责基础测绘成果的提供和使用审批。</w:t>
      </w:r>
    </w:p>
    <w:p>
      <w:pPr>
        <w:numPr>
          <w:ilvl w:val="0"/>
          <w:numId w:val="0"/>
        </w:numPr>
        <w:ind w:leftChars="0" w:firstLine="640" w:firstLineChars="200"/>
        <w:jc w:val="left"/>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pPr>
      <w:r>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t>⑭承担国土资源和城乡规划督察日常工作。拟订国土资源和城乡规划督察工作的具体办法和管理制度，并组织实施；对国土资源、城乡规划的审批、实施和执法情况进行监督检查。</w:t>
      </w:r>
    </w:p>
    <w:p>
      <w:pPr>
        <w:numPr>
          <w:ilvl w:val="0"/>
          <w:numId w:val="0"/>
        </w:numPr>
        <w:ind w:leftChars="0" w:firstLine="640" w:firstLineChars="200"/>
        <w:jc w:val="left"/>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pPr>
      <w:r>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t>⑮负责建设工程规划批后执法管理，查处建设工程核位放线至规划验收前未按建设工程规划许可证规定建设的违法建设行为，会同城管部门查处其它违法建设行为；负责国土资源、测绘勘察执法监察，依法查处有关违法违规行为。</w:t>
      </w:r>
    </w:p>
    <w:p>
      <w:pPr>
        <w:numPr>
          <w:ilvl w:val="0"/>
          <w:numId w:val="0"/>
        </w:numPr>
        <w:ind w:leftChars="0" w:firstLine="640" w:firstLineChars="200"/>
        <w:jc w:val="left"/>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pPr>
      <w:r>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t>⑯负责全区基础地理信息的收集整理、系统建设及开发利用；负责城乡规划、国土资源、测绘勘察方面的信息化建设、新技术推广运用和行业资质管理工作；负责规划展示工作。</w:t>
      </w:r>
    </w:p>
    <w:p>
      <w:pPr>
        <w:numPr>
          <w:ilvl w:val="0"/>
          <w:numId w:val="0"/>
        </w:numPr>
        <w:ind w:leftChars="0" w:firstLine="640" w:firstLineChars="200"/>
        <w:jc w:val="left"/>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pPr>
      <w:r>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t>⑰负责全区范围内各类管网建设期的选址和监督管理。指导编制城乡给排水、燃气、热力、电力、通信、消防、交通信号设施等管网建设专项规划，编制综合管线年度建设计划并下达实施。</w:t>
      </w:r>
    </w:p>
    <w:p>
      <w:pPr>
        <w:numPr>
          <w:ilvl w:val="0"/>
          <w:numId w:val="0"/>
        </w:numPr>
        <w:ind w:leftChars="0" w:firstLine="640" w:firstLineChars="200"/>
        <w:jc w:val="left"/>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pPr>
      <w:r>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t>⑱负责国土资源和规划方面的行政复议和应诉工作；负责局系统行政执法责任制等依法行政相关工作；负责政务公开、信访相关工作。</w:t>
      </w:r>
    </w:p>
    <w:p>
      <w:pPr>
        <w:numPr>
          <w:ilvl w:val="0"/>
          <w:numId w:val="0"/>
        </w:numPr>
        <w:ind w:leftChars="0" w:firstLine="640" w:firstLineChars="200"/>
        <w:jc w:val="left"/>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pPr>
      <w:r>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t>⑲负责局系统绩效目标、机构编制、组织人事、宣传教育、财务审计、综合统计、档案管理等工作；依据有关法律、法规和规定收取、代收有关费用。</w:t>
      </w:r>
    </w:p>
    <w:p>
      <w:pPr>
        <w:numPr>
          <w:ilvl w:val="0"/>
          <w:numId w:val="0"/>
        </w:numPr>
        <w:ind w:leftChars="0" w:firstLine="640" w:firstLineChars="200"/>
        <w:jc w:val="left"/>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pPr>
      <w:r>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t>⑳承担区规划委员会、区土地资产管理委员会的日常工作。</w:t>
      </w:r>
    </w:p>
    <w:p>
      <w:pPr>
        <w:numPr>
          <w:ilvl w:val="0"/>
          <w:numId w:val="0"/>
        </w:numPr>
        <w:ind w:leftChars="0" w:firstLine="640" w:firstLineChars="200"/>
        <w:jc w:val="left"/>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pPr>
      <w:r>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t>㉑接受市下放和委托审批事项办理业务。</w:t>
      </w:r>
    </w:p>
    <w:p>
      <w:pPr>
        <w:numPr>
          <w:ilvl w:val="0"/>
          <w:numId w:val="0"/>
        </w:numPr>
        <w:ind w:leftChars="0" w:firstLine="640" w:firstLineChars="200"/>
        <w:jc w:val="left"/>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pPr>
      <w:r>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t>㉒承办上级交办的其它工作。</w:t>
      </w:r>
    </w:p>
    <w:p>
      <w:pPr>
        <w:pStyle w:val="18"/>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640" w:firstLineChars="200"/>
        <w:jc w:val="both"/>
        <w:textAlignment w:val="auto"/>
        <w:rPr>
          <w:rFonts w:hint="eastAsia" w:ascii="楷体" w:hAnsi="楷体" w:eastAsia="楷体" w:cs="楷体"/>
          <w:color w:val="auto"/>
          <w:spacing w:val="0"/>
          <w:w w:val="100"/>
          <w:kern w:val="0"/>
          <w:position w:val="0"/>
          <w:sz w:val="32"/>
          <w:szCs w:val="32"/>
          <w:highlight w:val="none"/>
          <w:shd w:val="clear" w:color="auto" w:fill="auto"/>
          <w:lang w:val="en-US" w:eastAsia="zh-CN"/>
        </w:rPr>
      </w:pPr>
      <w:r>
        <w:rPr>
          <w:rFonts w:hint="eastAsia" w:ascii="楷体" w:hAnsi="楷体" w:eastAsia="楷体" w:cs="楷体"/>
          <w:color w:val="auto"/>
          <w:spacing w:val="0"/>
          <w:w w:val="100"/>
          <w:kern w:val="0"/>
          <w:position w:val="0"/>
          <w:sz w:val="32"/>
          <w:szCs w:val="32"/>
          <w:highlight w:val="none"/>
          <w:shd w:val="clear" w:color="auto" w:fill="auto"/>
          <w:lang w:val="en-US" w:eastAsia="zh-CN"/>
        </w:rPr>
        <w:t>2.部门预算单位构成情况</w:t>
      </w:r>
    </w:p>
    <w:p>
      <w:pPr>
        <w:numPr>
          <w:ilvl w:val="0"/>
          <w:numId w:val="0"/>
        </w:numPr>
        <w:ind w:leftChars="0" w:firstLine="640" w:firstLineChars="200"/>
        <w:jc w:val="left"/>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pPr>
      <w:r>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t>内设机构及干部职数情况：机关内设科室5个，所属二级事业单位19个，干部职数34个。</w:t>
      </w:r>
    </w:p>
    <w:p>
      <w:pPr>
        <w:pStyle w:val="18"/>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640" w:firstLineChars="200"/>
        <w:jc w:val="both"/>
        <w:textAlignment w:val="auto"/>
        <w:rPr>
          <w:rFonts w:hint="eastAsia" w:ascii="楷体" w:hAnsi="楷体" w:eastAsia="楷体" w:cs="楷体"/>
          <w:color w:val="auto"/>
          <w:spacing w:val="0"/>
          <w:w w:val="100"/>
          <w:kern w:val="0"/>
          <w:position w:val="0"/>
          <w:sz w:val="32"/>
          <w:szCs w:val="32"/>
          <w:highlight w:val="none"/>
          <w:shd w:val="clear" w:color="auto" w:fill="auto"/>
          <w:lang w:val="en-US" w:eastAsia="zh-CN"/>
        </w:rPr>
      </w:pPr>
      <w:r>
        <w:rPr>
          <w:rFonts w:hint="eastAsia" w:ascii="楷体" w:hAnsi="楷体" w:eastAsia="楷体" w:cs="楷体"/>
          <w:color w:val="auto"/>
          <w:spacing w:val="0"/>
          <w:w w:val="100"/>
          <w:kern w:val="0"/>
          <w:position w:val="0"/>
          <w:sz w:val="32"/>
          <w:szCs w:val="32"/>
          <w:highlight w:val="none"/>
          <w:shd w:val="clear" w:color="auto" w:fill="auto"/>
          <w:lang w:val="en-US" w:eastAsia="zh-CN"/>
        </w:rPr>
        <w:t>3.人员情况</w:t>
      </w:r>
    </w:p>
    <w:p>
      <w:pPr>
        <w:numPr>
          <w:ilvl w:val="0"/>
          <w:numId w:val="0"/>
        </w:numPr>
        <w:ind w:leftChars="0" w:firstLine="640" w:firstLineChars="200"/>
        <w:jc w:val="left"/>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pPr>
      <w:r>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t>武汉市东西湖区自然资源和规划局共有编制 90人，其中：行政编制10人，事业编制64人，员额编制6人。在职实有人数83人，其中：行政编制8人，事业编制61人（其中参照公务员法管理3人），员额编制3人。离退休人员21人，其中：离休0人，退休21人。</w:t>
      </w:r>
    </w:p>
    <w:p>
      <w:pPr>
        <w:numPr>
          <w:ilvl w:val="0"/>
          <w:numId w:val="0"/>
        </w:numPr>
        <w:ind w:leftChars="0" w:firstLine="640" w:firstLineChars="200"/>
        <w:jc w:val="left"/>
        <w:rPr>
          <w:rFonts w:hint="eastAsia" w:ascii="楷体" w:hAnsi="楷体" w:eastAsia="楷体" w:cs="楷体"/>
          <w:color w:val="000000"/>
          <w:spacing w:val="0"/>
          <w:w w:val="100"/>
          <w:kern w:val="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kern w:val="0"/>
          <w:position w:val="0"/>
          <w:sz w:val="32"/>
          <w:szCs w:val="32"/>
          <w:highlight w:val="none"/>
          <w:u w:val="none"/>
          <w:shd w:val="clear" w:color="auto" w:fill="auto"/>
          <w:lang w:val="en-US" w:eastAsia="zh-CN" w:bidi="zh-TW"/>
        </w:rPr>
        <w:t>（二）部门自评工作开展情况</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 w:hAnsi="仿宋" w:eastAsia="仿宋" w:cs="仿宋"/>
          <w:color w:val="000000"/>
          <w:spacing w:val="0"/>
          <w:w w:val="100"/>
          <w:kern w:val="0"/>
          <w:position w:val="0"/>
          <w:sz w:val="32"/>
          <w:szCs w:val="32"/>
          <w:u w:val="none"/>
          <w:shd w:val="clear" w:color="auto" w:fill="auto"/>
          <w:lang w:val="en-US" w:eastAsia="zh-CN" w:bidi="zh-TW"/>
        </w:rPr>
      </w:pPr>
      <w:r>
        <w:rPr>
          <w:rFonts w:hint="eastAsia" w:ascii="仿宋" w:hAnsi="仿宋" w:eastAsia="仿宋" w:cs="仿宋"/>
          <w:color w:val="000000"/>
          <w:spacing w:val="0"/>
          <w:w w:val="100"/>
          <w:kern w:val="0"/>
          <w:position w:val="0"/>
          <w:sz w:val="32"/>
          <w:szCs w:val="32"/>
          <w:u w:val="none"/>
          <w:shd w:val="clear" w:color="auto" w:fill="auto"/>
          <w:lang w:val="en-US" w:eastAsia="zh-CN" w:bidi="zh-TW"/>
        </w:rPr>
        <w:t>1.制订工作方案。自评工作方案呈单位主要负责同志审核，根据单位主要负责同志要求启动部门自评工作。部门自评工作方案由单位研究制订，主要内容包括评价对象、组织方式、评价方法、调查问卷设计、具体样本确定、评价人员组成、实施时间安排等内容。</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 w:hAnsi="仿宋" w:eastAsia="仿宋" w:cs="仿宋"/>
          <w:color w:val="000000"/>
          <w:spacing w:val="0"/>
          <w:w w:val="100"/>
          <w:kern w:val="0"/>
          <w:position w:val="0"/>
          <w:sz w:val="32"/>
          <w:szCs w:val="32"/>
          <w:u w:val="none"/>
          <w:shd w:val="clear" w:color="auto" w:fill="auto"/>
          <w:lang w:val="en-US" w:eastAsia="zh-CN" w:bidi="zh-TW"/>
        </w:rPr>
      </w:pPr>
      <w:r>
        <w:rPr>
          <w:rFonts w:hint="eastAsia" w:ascii="仿宋" w:hAnsi="仿宋" w:eastAsia="仿宋" w:cs="仿宋"/>
          <w:color w:val="000000"/>
          <w:spacing w:val="0"/>
          <w:w w:val="100"/>
          <w:kern w:val="0"/>
          <w:position w:val="0"/>
          <w:sz w:val="32"/>
          <w:szCs w:val="32"/>
          <w:u w:val="none"/>
          <w:shd w:val="clear" w:color="auto" w:fill="auto"/>
          <w:lang w:val="en-US" w:eastAsia="zh-CN" w:bidi="zh-TW"/>
        </w:rPr>
        <w:t>2.组织实施自评。通过案卷研究、调研访谈、问卷调查等方式收集、核实数据和信息，并对这些数据和信息进行整理分析。重点项目的自评由项目责任部门与聘请的第三方机构共同实施，一般项目由项目责任部门自行实施完成。</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 w:hAnsi="仿宋" w:eastAsia="仿宋" w:cs="仿宋"/>
          <w:color w:val="000000"/>
          <w:spacing w:val="0"/>
          <w:w w:val="100"/>
          <w:kern w:val="0"/>
          <w:position w:val="0"/>
          <w:sz w:val="32"/>
          <w:szCs w:val="32"/>
          <w:u w:val="none"/>
          <w:shd w:val="clear" w:color="auto" w:fill="auto"/>
          <w:lang w:val="en-US" w:eastAsia="zh-CN" w:bidi="zh-TW"/>
        </w:rPr>
      </w:pPr>
      <w:r>
        <w:rPr>
          <w:rFonts w:hint="eastAsia" w:ascii="仿宋" w:hAnsi="仿宋" w:eastAsia="仿宋" w:cs="仿宋"/>
          <w:color w:val="000000"/>
          <w:spacing w:val="0"/>
          <w:w w:val="100"/>
          <w:kern w:val="0"/>
          <w:position w:val="0"/>
          <w:sz w:val="32"/>
          <w:szCs w:val="32"/>
          <w:u w:val="none"/>
          <w:shd w:val="clear" w:color="auto" w:fill="auto"/>
          <w:lang w:val="en-US" w:eastAsia="zh-CN" w:bidi="zh-TW"/>
        </w:rPr>
        <w:t>3.撰写部门自评结果。在整理分析基础上，形成部门自评结果。</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 w:hAnsi="仿宋" w:eastAsia="仿宋" w:cs="仿宋"/>
          <w:color w:val="000000"/>
          <w:spacing w:val="0"/>
          <w:w w:val="100"/>
          <w:kern w:val="0"/>
          <w:position w:val="0"/>
          <w:sz w:val="32"/>
          <w:szCs w:val="32"/>
          <w:u w:val="none"/>
          <w:shd w:val="clear" w:color="auto" w:fill="auto"/>
          <w:lang w:val="en-US" w:eastAsia="zh-CN" w:bidi="zh-TW"/>
        </w:rPr>
      </w:pPr>
      <w:r>
        <w:rPr>
          <w:rFonts w:hint="eastAsia" w:ascii="仿宋" w:hAnsi="仿宋" w:eastAsia="仿宋" w:cs="仿宋"/>
          <w:color w:val="000000"/>
          <w:spacing w:val="0"/>
          <w:w w:val="100"/>
          <w:kern w:val="0"/>
          <w:position w:val="0"/>
          <w:sz w:val="32"/>
          <w:szCs w:val="32"/>
          <w:u w:val="none"/>
          <w:shd w:val="clear" w:color="auto" w:fill="auto"/>
          <w:lang w:val="en-US" w:eastAsia="zh-CN" w:bidi="zh-TW"/>
        </w:rPr>
        <w:t>4.建立部门自评档案。与绩效自评相关的业务资料由秘书科归集存档，保管期限依据单位档案管理制度确定。</w:t>
      </w:r>
    </w:p>
    <w:p>
      <w:pPr>
        <w:numPr>
          <w:ilvl w:val="0"/>
          <w:numId w:val="0"/>
        </w:numPr>
        <w:ind w:leftChars="0" w:firstLine="640" w:firstLineChars="200"/>
        <w:jc w:val="left"/>
        <w:rPr>
          <w:rFonts w:hint="eastAsia" w:ascii="楷体" w:hAnsi="楷体" w:eastAsia="楷体" w:cs="楷体"/>
          <w:color w:val="000000"/>
          <w:spacing w:val="0"/>
          <w:w w:val="100"/>
          <w:kern w:val="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kern w:val="0"/>
          <w:position w:val="0"/>
          <w:sz w:val="32"/>
          <w:szCs w:val="32"/>
          <w:highlight w:val="none"/>
          <w:u w:val="none"/>
          <w:shd w:val="clear" w:color="auto" w:fill="auto"/>
          <w:lang w:val="en-US" w:eastAsia="zh-CN" w:bidi="zh-TW"/>
        </w:rPr>
        <w:t>（三）绩效目标完成情况分析</w:t>
      </w:r>
    </w:p>
    <w:p>
      <w:pPr>
        <w:numPr>
          <w:ilvl w:val="0"/>
          <w:numId w:val="0"/>
        </w:numPr>
        <w:ind w:leftChars="0" w:firstLine="640" w:firstLineChars="200"/>
        <w:jc w:val="left"/>
        <w:rPr>
          <w:rFonts w:hint="eastAsia" w:ascii="楷体" w:hAnsi="楷体" w:eastAsia="楷体" w:cs="楷体"/>
          <w:color w:val="000000"/>
          <w:spacing w:val="0"/>
          <w:w w:val="100"/>
          <w:kern w:val="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kern w:val="0"/>
          <w:position w:val="0"/>
          <w:sz w:val="32"/>
          <w:szCs w:val="32"/>
          <w:highlight w:val="none"/>
          <w:u w:val="none"/>
          <w:shd w:val="clear" w:color="auto" w:fill="auto"/>
          <w:lang w:val="en-US" w:eastAsia="zh-CN" w:bidi="zh-TW"/>
        </w:rPr>
        <w:t>1.预算执行情况分析</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t>2021年度武汉市东西湖区自然资源和规划局整体预算支出32,893.27万元，调整后预算147,125.86万元，收入来源系财政预算拨款和其他收入。决算支出总额134,250.89万元，其中:基本支出总额2,823.95万元，项目支出总额131,426.94万元。</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t>2021年度预算执行情况基准分值为20.00分，得分18.25分，得分率为91.25%。</w:t>
      </w:r>
    </w:p>
    <w:p>
      <w:pPr>
        <w:keepNext w:val="0"/>
        <w:keepLines w:val="0"/>
        <w:pageBreakBefore w:val="0"/>
        <w:numPr>
          <w:ilvl w:val="0"/>
          <w:numId w:val="0"/>
        </w:numPr>
        <w:kinsoku/>
        <w:wordWrap/>
        <w:overflowPunct/>
        <w:topLinePunct w:val="0"/>
        <w:autoSpaceDE/>
        <w:autoSpaceDN/>
        <w:bidi w:val="0"/>
        <w:adjustRightInd/>
        <w:ind w:leftChars="0" w:firstLine="640" w:firstLineChars="200"/>
        <w:jc w:val="left"/>
        <w:textAlignment w:val="auto"/>
        <w:rPr>
          <w:rFonts w:hint="eastAsia" w:ascii="楷体" w:hAnsi="楷体" w:eastAsia="楷体" w:cs="楷体"/>
          <w:color w:val="000000"/>
          <w:spacing w:val="0"/>
          <w:w w:val="100"/>
          <w:kern w:val="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kern w:val="0"/>
          <w:position w:val="0"/>
          <w:sz w:val="32"/>
          <w:szCs w:val="32"/>
          <w:highlight w:val="none"/>
          <w:u w:val="none"/>
          <w:shd w:val="clear" w:color="auto" w:fill="auto"/>
          <w:lang w:val="en-US" w:eastAsia="zh-CN" w:bidi="zh-TW"/>
        </w:rPr>
        <w:t>2.绩效目标完成情况分析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t>（1）指标完成情况分析</w:t>
      </w:r>
    </w:p>
    <w:p>
      <w:pPr>
        <w:widowControl/>
        <w:spacing w:line="560" w:lineRule="exact"/>
        <w:ind w:firstLine="640" w:firstLineChars="200"/>
        <w:jc w:val="left"/>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t>年度绩效目标指标基准分值80分，得分79.89分，得分率为99.86%，具体情况如下：</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default" w:ascii="仿宋" w:hAnsi="仿宋" w:eastAsia="仿宋" w:cs="仿宋"/>
          <w:color w:val="000000"/>
          <w:spacing w:val="0"/>
          <w:w w:val="100"/>
          <w:kern w:val="0"/>
          <w:position w:val="0"/>
          <w:sz w:val="32"/>
          <w:szCs w:val="32"/>
          <w:u w:val="none"/>
          <w:shd w:val="clear" w:color="auto" w:fill="auto"/>
          <w:lang w:val="en-US" w:eastAsia="zh-CN" w:bidi="zh-TW"/>
        </w:rPr>
      </w:pPr>
      <w:r>
        <w:rPr>
          <w:rFonts w:hint="eastAsia" w:ascii="仿宋" w:hAnsi="仿宋" w:eastAsia="仿宋" w:cs="仿宋"/>
          <w:color w:val="000000"/>
          <w:spacing w:val="0"/>
          <w:w w:val="100"/>
          <w:kern w:val="0"/>
          <w:position w:val="0"/>
          <w:sz w:val="32"/>
          <w:szCs w:val="32"/>
          <w:u w:val="none"/>
          <w:shd w:val="clear" w:color="auto" w:fill="auto"/>
          <w:lang w:val="en-US" w:eastAsia="zh-CN" w:bidi="zh-TW"/>
        </w:rPr>
        <w:t>①年度目标1：保民生，基准分值22分，得分21.89分，得分率为99.5%，具体情况如下：</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000000"/>
          <w:spacing w:val="0"/>
          <w:w w:val="100"/>
          <w:kern w:val="0"/>
          <w:position w:val="0"/>
          <w:sz w:val="32"/>
          <w:szCs w:val="32"/>
          <w:u w:val="none"/>
          <w:shd w:val="clear" w:color="auto" w:fill="auto"/>
          <w:lang w:val="en-US" w:eastAsia="zh-CN" w:bidi="zh-TW"/>
        </w:rPr>
      </w:pPr>
      <w:r>
        <w:rPr>
          <w:rFonts w:hint="eastAsia" w:ascii="仿宋" w:hAnsi="仿宋" w:eastAsia="仿宋" w:cs="仿宋"/>
          <w:color w:val="000000"/>
          <w:spacing w:val="0"/>
          <w:w w:val="100"/>
          <w:kern w:val="0"/>
          <w:position w:val="0"/>
          <w:sz w:val="32"/>
          <w:szCs w:val="32"/>
          <w:u w:val="none"/>
          <w:shd w:val="clear" w:color="auto" w:fill="auto"/>
          <w:lang w:val="en-US" w:eastAsia="zh-CN" w:bidi="zh-TW"/>
        </w:rPr>
        <w:t>A.产出指标完成情况分析（18分）</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 w:hAnsi="仿宋" w:eastAsia="仿宋" w:cs="仿宋"/>
          <w:color w:val="000000"/>
          <w:spacing w:val="0"/>
          <w:w w:val="100"/>
          <w:kern w:val="0"/>
          <w:position w:val="0"/>
          <w:sz w:val="32"/>
          <w:szCs w:val="32"/>
          <w:u w:val="none"/>
          <w:shd w:val="clear" w:color="auto" w:fill="auto"/>
          <w:lang w:val="en-US" w:eastAsia="zh-CN" w:bidi="zh-TW"/>
        </w:rPr>
      </w:pPr>
      <w:r>
        <w:rPr>
          <w:rFonts w:hint="eastAsia" w:ascii="仿宋" w:hAnsi="仿宋" w:eastAsia="仿宋" w:cs="仿宋"/>
          <w:color w:val="000000"/>
          <w:spacing w:val="0"/>
          <w:w w:val="100"/>
          <w:kern w:val="0"/>
          <w:position w:val="0"/>
          <w:sz w:val="32"/>
          <w:szCs w:val="32"/>
          <w:u w:val="none"/>
          <w:shd w:val="clear" w:color="auto" w:fill="auto"/>
          <w:lang w:val="en-US" w:eastAsia="zh-CN" w:bidi="zh-TW"/>
        </w:rPr>
        <w:t>a.数量指标：</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 w:hAnsi="仿宋" w:eastAsia="仿宋" w:cs="仿宋"/>
          <w:color w:val="000000"/>
          <w:spacing w:val="0"/>
          <w:w w:val="100"/>
          <w:kern w:val="0"/>
          <w:position w:val="0"/>
          <w:sz w:val="32"/>
          <w:szCs w:val="32"/>
          <w:u w:val="none"/>
          <w:shd w:val="clear" w:color="auto" w:fill="auto"/>
          <w:lang w:val="en-US" w:eastAsia="zh-CN" w:bidi="zh-TW"/>
        </w:rPr>
      </w:pPr>
      <w:r>
        <w:rPr>
          <w:rFonts w:hint="eastAsia" w:ascii="仿宋" w:hAnsi="仿宋" w:eastAsia="仿宋" w:cs="仿宋"/>
          <w:color w:val="000000"/>
          <w:spacing w:val="0"/>
          <w:w w:val="100"/>
          <w:kern w:val="0"/>
          <w:position w:val="0"/>
          <w:sz w:val="32"/>
          <w:szCs w:val="32"/>
          <w:u w:val="none"/>
          <w:shd w:val="clear" w:color="auto" w:fill="auto"/>
          <w:lang w:val="en-US" w:eastAsia="zh-CN" w:bidi="zh-TW"/>
        </w:rPr>
        <w:t>新建公共停车位个数（5分），年初目标值为5000个。2021年实际完成新增公共停车泊位4894个，按已完成值与年初目标值占比，该指标得分为4.89分。</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 w:hAnsi="仿宋" w:eastAsia="仿宋" w:cs="仿宋"/>
          <w:color w:val="000000"/>
          <w:spacing w:val="0"/>
          <w:w w:val="100"/>
          <w:kern w:val="0"/>
          <w:position w:val="0"/>
          <w:sz w:val="32"/>
          <w:szCs w:val="32"/>
          <w:u w:val="none"/>
          <w:shd w:val="clear" w:color="auto" w:fill="auto"/>
          <w:lang w:val="en-US" w:eastAsia="zh-CN" w:bidi="zh-TW"/>
        </w:rPr>
      </w:pPr>
      <w:r>
        <w:rPr>
          <w:rFonts w:hint="eastAsia" w:ascii="仿宋" w:hAnsi="仿宋" w:eastAsia="仿宋" w:cs="仿宋"/>
          <w:color w:val="000000"/>
          <w:spacing w:val="0"/>
          <w:w w:val="100"/>
          <w:kern w:val="0"/>
          <w:position w:val="0"/>
          <w:sz w:val="32"/>
          <w:szCs w:val="32"/>
          <w:u w:val="none"/>
          <w:shd w:val="clear" w:color="auto" w:fill="auto"/>
          <w:lang w:val="en-US" w:eastAsia="zh-CN" w:bidi="zh-TW"/>
        </w:rPr>
        <w:t>不动产登记发证量（5分），年初目标值为10万。实际2021年不动产登记发证量12.73万，远超年初目标，该指标得分为5分。</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 w:hAnsi="仿宋" w:eastAsia="仿宋" w:cs="仿宋"/>
          <w:color w:val="000000"/>
          <w:spacing w:val="0"/>
          <w:w w:val="100"/>
          <w:kern w:val="0"/>
          <w:position w:val="0"/>
          <w:sz w:val="32"/>
          <w:szCs w:val="32"/>
          <w:u w:val="none"/>
          <w:shd w:val="clear" w:color="auto" w:fill="auto"/>
          <w:lang w:val="en-US" w:eastAsia="zh-CN" w:bidi="zh-TW"/>
        </w:rPr>
      </w:pPr>
      <w:r>
        <w:rPr>
          <w:rFonts w:hint="eastAsia" w:ascii="仿宋" w:hAnsi="仿宋" w:eastAsia="仿宋" w:cs="仿宋"/>
          <w:color w:val="000000"/>
          <w:spacing w:val="0"/>
          <w:w w:val="100"/>
          <w:kern w:val="0"/>
          <w:position w:val="0"/>
          <w:sz w:val="32"/>
          <w:szCs w:val="32"/>
          <w:u w:val="none"/>
          <w:shd w:val="clear" w:color="auto" w:fill="auto"/>
          <w:lang w:val="en-US" w:eastAsia="zh-CN" w:bidi="zh-TW"/>
        </w:rPr>
        <w:t>b.时效指标：人大政协提案办复率（4分），年初目标值为100%。实际2021年人大政协提案均在规定时限内办结，该指标得分为4分。</w:t>
      </w:r>
      <w:bookmarkStart w:id="1" w:name="_GoBack"/>
      <w:bookmarkEnd w:id="1"/>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t>c.成本指标：成本控制率（4分），年初目标为控制在预算范围内。实际2021年不动产登记服务外包项目支出未超预算，该指标得分为4分。</w:t>
      </w:r>
    </w:p>
    <w:p>
      <w:pPr>
        <w:pStyle w:val="11"/>
        <w:keepNext w:val="0"/>
        <w:keepLines w:val="0"/>
        <w:pageBreakBefore w:val="0"/>
        <w:widowControl w:val="0"/>
        <w:kinsoku/>
        <w:wordWrap/>
        <w:overflowPunct/>
        <w:topLinePunct w:val="0"/>
        <w:autoSpaceDE/>
        <w:autoSpaceDN/>
        <w:bidi w:val="0"/>
        <w:adjustRightInd/>
        <w:snapToGrid/>
        <w:spacing w:after="0"/>
        <w:ind w:left="0" w:leftChars="0" w:firstLine="640" w:firstLineChars="200"/>
        <w:textAlignment w:val="auto"/>
        <w:rPr>
          <w:rFonts w:hint="default"/>
          <w:lang w:val="en-US" w:eastAsia="zh-CN"/>
        </w:rPr>
      </w:pPr>
      <w:r>
        <w:rPr>
          <w:rFonts w:hint="eastAsia" w:eastAsia="仿宋" w:cs="仿宋"/>
          <w:color w:val="000000"/>
          <w:spacing w:val="0"/>
          <w:w w:val="100"/>
          <w:kern w:val="0"/>
          <w:position w:val="0"/>
          <w:sz w:val="32"/>
          <w:szCs w:val="32"/>
          <w:u w:val="none"/>
          <w:shd w:val="clear" w:color="auto" w:fill="auto"/>
          <w:lang w:val="en-US" w:eastAsia="zh-CN" w:bidi="zh-TW"/>
        </w:rPr>
        <w:t>B.效益指标完成情况分析（4分）</w:t>
      </w:r>
    </w:p>
    <w:p>
      <w:pPr>
        <w:pStyle w:val="11"/>
        <w:keepNext w:val="0"/>
        <w:keepLines w:val="0"/>
        <w:pageBreakBefore w:val="0"/>
        <w:widowControl w:val="0"/>
        <w:kinsoku/>
        <w:wordWrap/>
        <w:overflowPunct/>
        <w:topLinePunct w:val="0"/>
        <w:autoSpaceDE/>
        <w:autoSpaceDN/>
        <w:bidi w:val="0"/>
        <w:adjustRightInd/>
        <w:snapToGrid/>
        <w:spacing w:after="0"/>
        <w:ind w:left="0" w:leftChars="0" w:firstLine="640" w:firstLineChars="200"/>
        <w:textAlignment w:val="auto"/>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32"/>
          <w:szCs w:val="32"/>
          <w:u w:val="none"/>
          <w:shd w:val="clear" w:color="auto" w:fill="auto"/>
          <w:lang w:val="en-US" w:eastAsia="zh-CN" w:bidi="zh-TW"/>
        </w:rPr>
        <w:t>社会效益指标：保障耕地安全（4分），年初目标为保</w:t>
      </w:r>
      <w:r>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t>障耕地安全。实际2021年耕地面积不低于市红线，完成保障耕地安全指标，该指标得分为4分。</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 w:hAnsi="仿宋" w:eastAsia="仿宋" w:cs="仿宋"/>
          <w:color w:val="000000"/>
          <w:spacing w:val="0"/>
          <w:w w:val="100"/>
          <w:kern w:val="0"/>
          <w:position w:val="0"/>
          <w:sz w:val="32"/>
          <w:szCs w:val="32"/>
          <w:u w:val="none"/>
          <w:shd w:val="clear" w:color="auto" w:fill="auto"/>
          <w:lang w:val="en-US" w:eastAsia="zh-CN" w:bidi="zh-TW"/>
        </w:rPr>
      </w:pPr>
      <w:r>
        <w:rPr>
          <w:rFonts w:hint="default" w:ascii="仿宋" w:hAnsi="仿宋" w:eastAsia="仿宋" w:cs="仿宋"/>
          <w:color w:val="000000"/>
          <w:spacing w:val="0"/>
          <w:w w:val="100"/>
          <w:kern w:val="0"/>
          <w:position w:val="0"/>
          <w:sz w:val="32"/>
          <w:szCs w:val="32"/>
          <w:u w:val="none"/>
          <w:shd w:val="clear" w:color="auto" w:fill="auto"/>
          <w:lang w:val="en-US" w:eastAsia="zh-CN" w:bidi="zh-TW"/>
        </w:rPr>
        <w:t>②</w:t>
      </w:r>
      <w:r>
        <w:rPr>
          <w:rFonts w:hint="eastAsia" w:ascii="仿宋" w:hAnsi="仿宋" w:eastAsia="仿宋" w:cs="仿宋"/>
          <w:color w:val="000000"/>
          <w:spacing w:val="0"/>
          <w:w w:val="100"/>
          <w:kern w:val="0"/>
          <w:position w:val="0"/>
          <w:sz w:val="32"/>
          <w:szCs w:val="32"/>
          <w:u w:val="none"/>
          <w:shd w:val="clear" w:color="auto" w:fill="auto"/>
          <w:lang w:val="en-US" w:eastAsia="zh-CN" w:bidi="zh-TW"/>
        </w:rPr>
        <w:t>年度目标2：保发展，基准分值28分，得分28分，得分率为100%，具体情况如下：</w:t>
      </w:r>
    </w:p>
    <w:p>
      <w:pPr>
        <w:pStyle w:val="11"/>
        <w:keepNext w:val="0"/>
        <w:keepLines w:val="0"/>
        <w:pageBreakBefore w:val="0"/>
        <w:widowControl w:val="0"/>
        <w:kinsoku/>
        <w:wordWrap/>
        <w:overflowPunct/>
        <w:topLinePunct w:val="0"/>
        <w:autoSpaceDE/>
        <w:autoSpaceDN/>
        <w:bidi w:val="0"/>
        <w:adjustRightInd/>
        <w:snapToGrid/>
        <w:spacing w:after="0"/>
        <w:ind w:left="0" w:leftChars="0" w:firstLine="640" w:firstLineChars="200"/>
        <w:textAlignment w:val="auto"/>
        <w:rPr>
          <w:rFonts w:hint="default"/>
          <w:lang w:val="en-US" w:eastAsia="zh-CN"/>
        </w:rPr>
      </w:pPr>
      <w:r>
        <w:rPr>
          <w:rFonts w:hint="eastAsia" w:eastAsia="仿宋" w:cs="仿宋"/>
          <w:color w:val="000000"/>
          <w:spacing w:val="0"/>
          <w:w w:val="100"/>
          <w:kern w:val="0"/>
          <w:position w:val="0"/>
          <w:sz w:val="32"/>
          <w:szCs w:val="32"/>
          <w:u w:val="none"/>
          <w:shd w:val="clear" w:color="auto" w:fill="auto"/>
          <w:lang w:val="en-US" w:eastAsia="zh-CN" w:bidi="zh-TW"/>
        </w:rPr>
        <w:t>A.产出指标完成情况分析（24分）</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default" w:ascii="仿宋" w:hAnsi="仿宋" w:eastAsia="仿宋" w:cs="仿宋"/>
          <w:color w:val="000000"/>
          <w:spacing w:val="0"/>
          <w:w w:val="100"/>
          <w:kern w:val="0"/>
          <w:position w:val="0"/>
          <w:sz w:val="32"/>
          <w:szCs w:val="32"/>
          <w:u w:val="none"/>
          <w:shd w:val="clear" w:color="auto" w:fill="auto"/>
          <w:lang w:val="en-US" w:eastAsia="zh-CN" w:bidi="zh-TW"/>
        </w:rPr>
      </w:pPr>
      <w:r>
        <w:rPr>
          <w:rFonts w:hint="eastAsia" w:ascii="仿宋" w:hAnsi="仿宋" w:eastAsia="仿宋" w:cs="仿宋"/>
          <w:color w:val="000000"/>
          <w:spacing w:val="0"/>
          <w:w w:val="100"/>
          <w:kern w:val="0"/>
          <w:position w:val="0"/>
          <w:sz w:val="32"/>
          <w:szCs w:val="32"/>
          <w:u w:val="none"/>
          <w:shd w:val="clear" w:color="auto" w:fill="auto"/>
          <w:lang w:val="en-US" w:eastAsia="zh-CN" w:bidi="zh-TW"/>
        </w:rPr>
        <w:t>a.数量指标：</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 w:hAnsi="仿宋" w:eastAsia="仿宋" w:cs="仿宋"/>
          <w:color w:val="000000"/>
          <w:spacing w:val="0"/>
          <w:w w:val="100"/>
          <w:kern w:val="0"/>
          <w:position w:val="0"/>
          <w:sz w:val="32"/>
          <w:szCs w:val="32"/>
          <w:u w:val="none"/>
          <w:shd w:val="clear" w:color="auto" w:fill="auto"/>
          <w:lang w:val="en-US" w:eastAsia="zh-CN" w:bidi="zh-TW"/>
        </w:rPr>
      </w:pPr>
      <w:r>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t>规划编制项目个数（5分），年初目标值为1个。2021</w:t>
      </w:r>
      <w:r>
        <w:rPr>
          <w:rFonts w:hint="eastAsia" w:ascii="仿宋" w:hAnsi="仿宋" w:eastAsia="仿宋" w:cs="仿宋"/>
          <w:color w:val="000000"/>
          <w:spacing w:val="0"/>
          <w:w w:val="100"/>
          <w:kern w:val="0"/>
          <w:position w:val="0"/>
          <w:sz w:val="32"/>
          <w:szCs w:val="32"/>
          <w:u w:val="none"/>
          <w:shd w:val="clear" w:color="auto" w:fill="auto"/>
          <w:lang w:val="en-US" w:eastAsia="zh-CN" w:bidi="zh-TW"/>
        </w:rPr>
        <w:t>年实际完成规划编制4个，该指标得分为5分。</w:t>
      </w:r>
    </w:p>
    <w:p>
      <w:pPr>
        <w:numPr>
          <w:ilvl w:val="0"/>
          <w:numId w:val="0"/>
        </w:numPr>
        <w:ind w:leftChars="0" w:firstLine="640" w:firstLineChars="200"/>
        <w:jc w:val="left"/>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t>建设用地年度获批总量（5分），年初目标值为100%。2021年完成上级下达我区年度用地计划，建设用地年度获批量为100%，该指标得分为5分。</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 w:hAnsi="仿宋" w:eastAsia="仿宋" w:cs="仿宋"/>
          <w:color w:val="000000"/>
          <w:spacing w:val="0"/>
          <w:w w:val="100"/>
          <w:kern w:val="0"/>
          <w:position w:val="0"/>
          <w:sz w:val="32"/>
          <w:szCs w:val="32"/>
          <w:u w:val="none"/>
          <w:shd w:val="clear" w:color="auto" w:fill="auto"/>
          <w:lang w:val="en-US" w:eastAsia="zh-CN" w:bidi="zh-TW"/>
        </w:rPr>
      </w:pPr>
      <w:r>
        <w:rPr>
          <w:rFonts w:hint="eastAsia" w:ascii="仿宋" w:hAnsi="仿宋" w:eastAsia="仿宋" w:cs="仿宋"/>
          <w:color w:val="000000"/>
          <w:spacing w:val="0"/>
          <w:w w:val="100"/>
          <w:kern w:val="0"/>
          <w:position w:val="0"/>
          <w:sz w:val="32"/>
          <w:szCs w:val="32"/>
          <w:u w:val="none"/>
          <w:shd w:val="clear" w:color="auto" w:fill="auto"/>
          <w:lang w:val="en-US" w:eastAsia="zh-CN" w:bidi="zh-TW"/>
        </w:rPr>
        <w:t>建设工程规划许可证的审核办理（5分），年初目标值为600万平方米。2021年核发建设工程规划许可总建筑面积为907万平方米，远超年初目标，该指标得分为5分。</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 w:hAnsi="仿宋" w:eastAsia="仿宋" w:cs="仿宋"/>
          <w:color w:val="000000"/>
          <w:spacing w:val="0"/>
          <w:w w:val="100"/>
          <w:kern w:val="0"/>
          <w:position w:val="0"/>
          <w:sz w:val="32"/>
          <w:szCs w:val="32"/>
          <w:u w:val="none"/>
          <w:shd w:val="clear" w:color="auto" w:fill="auto"/>
          <w:lang w:val="en-US" w:eastAsia="zh-CN" w:bidi="zh-TW"/>
        </w:rPr>
      </w:pPr>
      <w:r>
        <w:rPr>
          <w:rFonts w:hint="eastAsia" w:ascii="仿宋" w:hAnsi="仿宋" w:eastAsia="仿宋" w:cs="仿宋"/>
          <w:color w:val="000000"/>
          <w:spacing w:val="0"/>
          <w:w w:val="100"/>
          <w:kern w:val="0"/>
          <w:position w:val="0"/>
          <w:sz w:val="32"/>
          <w:szCs w:val="32"/>
          <w:u w:val="none"/>
          <w:shd w:val="clear" w:color="auto" w:fill="auto"/>
          <w:lang w:val="en-US" w:eastAsia="zh-CN" w:bidi="zh-TW"/>
        </w:rPr>
        <w:t>审批档案电子化率（5分），年初目标值为90%。2021年库藏档案目录录入100%，全文扫描91%，该指标得分为5分。</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t>b.成本指标：成本控制率（4分），年初目标为控制在预算内。实际2021年成本控制率控制在预算范围内，该指标得分为4分。</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default" w:ascii="仿宋" w:hAnsi="仿宋" w:eastAsia="仿宋" w:cs="仿宋"/>
          <w:color w:val="000000"/>
          <w:spacing w:val="0"/>
          <w:w w:val="100"/>
          <w:kern w:val="0"/>
          <w:position w:val="0"/>
          <w:sz w:val="32"/>
          <w:szCs w:val="32"/>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t>B.效益指标完成情况分析（4分）</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t>经济效益指标：土地出让金的征收（4分），年初目标为控制在预算内，</w:t>
      </w:r>
      <w:r>
        <w:rPr>
          <w:rFonts w:hint="eastAsia" w:ascii="仿宋" w:hAnsi="仿宋" w:eastAsia="仿宋" w:cs="仿宋"/>
          <w:color w:val="000000"/>
          <w:spacing w:val="0"/>
          <w:w w:val="100"/>
          <w:kern w:val="0"/>
          <w:position w:val="0"/>
          <w:sz w:val="32"/>
          <w:szCs w:val="32"/>
          <w:u w:val="none"/>
          <w:shd w:val="clear" w:color="auto" w:fill="auto"/>
          <w:lang w:val="en-US" w:eastAsia="zh-CN" w:bidi="zh-TW"/>
        </w:rPr>
        <w:t>实际2021年土地出让金的支出均控制在预算内，</w:t>
      </w:r>
      <w:r>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t>该指标得分为4分。</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pPr>
      <w:r>
        <w:rPr>
          <w:rFonts w:hint="default" w:ascii="仿宋" w:hAnsi="仿宋" w:eastAsia="仿宋" w:cs="仿宋"/>
          <w:color w:val="000000"/>
          <w:spacing w:val="0"/>
          <w:w w:val="100"/>
          <w:kern w:val="0"/>
          <w:position w:val="0"/>
          <w:sz w:val="32"/>
          <w:szCs w:val="32"/>
          <w:highlight w:val="none"/>
          <w:u w:val="none"/>
          <w:shd w:val="clear" w:color="auto" w:fill="auto"/>
          <w:lang w:val="en-US" w:eastAsia="zh-CN" w:bidi="zh-TW"/>
        </w:rPr>
        <w:t>③</w:t>
      </w:r>
      <w:r>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t>年度目标3：保权益，基准分值30分，得分30分，得分率为100%，具体情况如下：</w:t>
      </w:r>
    </w:p>
    <w:p>
      <w:pPr>
        <w:pStyle w:val="11"/>
        <w:keepNext w:val="0"/>
        <w:keepLines w:val="0"/>
        <w:pageBreakBefore w:val="0"/>
        <w:widowControl w:val="0"/>
        <w:kinsoku/>
        <w:wordWrap/>
        <w:overflowPunct/>
        <w:topLinePunct w:val="0"/>
        <w:autoSpaceDE/>
        <w:autoSpaceDN/>
        <w:bidi w:val="0"/>
        <w:adjustRightInd/>
        <w:snapToGrid/>
        <w:spacing w:after="0"/>
        <w:ind w:left="0" w:leftChars="0" w:firstLine="640" w:firstLineChars="200"/>
        <w:textAlignment w:val="auto"/>
        <w:rPr>
          <w:rFonts w:hint="default"/>
          <w:highlight w:val="none"/>
          <w:lang w:val="en-US" w:eastAsia="zh-CN"/>
        </w:rPr>
      </w:pPr>
      <w:r>
        <w:rPr>
          <w:rFonts w:hint="eastAsia" w:eastAsia="仿宋" w:cs="仿宋"/>
          <w:color w:val="000000"/>
          <w:spacing w:val="0"/>
          <w:w w:val="100"/>
          <w:kern w:val="0"/>
          <w:position w:val="0"/>
          <w:sz w:val="32"/>
          <w:szCs w:val="32"/>
          <w:highlight w:val="none"/>
          <w:u w:val="none"/>
          <w:shd w:val="clear" w:color="auto" w:fill="auto"/>
          <w:lang w:val="en-US" w:eastAsia="zh-CN" w:bidi="zh-TW"/>
        </w:rPr>
        <w:t>A.产出指标完成情况分析（15分）</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t>a.数量指标：达到市信访局制发信访事项登记录入考核值（5分），年初目标值为95%。2021年完成值为95%，该指标得分为5分。</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t>b.质量指标：地质环境监测项目合格率（5分），年初目标位通过验收。地质环境监测项目完成后，2021年通过组织专家验收，合格率100%，该指标得分为5分。</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t>c.成本指标：成本控制率（5分），年初目标为控制在预算内。实际2021年成本控制率控制在预算范围内，该指标得分为5分。</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default" w:ascii="仿宋" w:hAnsi="仿宋" w:eastAsia="仿宋" w:cs="仿宋"/>
          <w:color w:val="000000"/>
          <w:spacing w:val="0"/>
          <w:w w:val="100"/>
          <w:kern w:val="0"/>
          <w:position w:val="0"/>
          <w:sz w:val="32"/>
          <w:szCs w:val="32"/>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t>B.效益指标完成情况分析（10分）</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t>a.社会效益指标：对外服务水平（5分），年初目标为考核排名保持前列。2021年优化营商环境工作考核，考核排名保持前列，该指标得分为5分。</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t>b.可持续影响指标：提高群众防灾减灾意识（5分），年初目标值为95%。2021年通过地质灾害防治宣传活动，发放防灾减灾支持宣传手册，提高群众防灾减灾意识达到95%，该指标得分为5分。</w:t>
      </w:r>
    </w:p>
    <w:p>
      <w:pPr>
        <w:pStyle w:val="11"/>
        <w:keepNext w:val="0"/>
        <w:keepLines w:val="0"/>
        <w:pageBreakBefore w:val="0"/>
        <w:widowControl w:val="0"/>
        <w:kinsoku/>
        <w:wordWrap/>
        <w:overflowPunct/>
        <w:topLinePunct w:val="0"/>
        <w:autoSpaceDE/>
        <w:autoSpaceDN/>
        <w:bidi w:val="0"/>
        <w:adjustRightInd/>
        <w:snapToGrid/>
        <w:spacing w:after="0"/>
        <w:ind w:left="0" w:leftChars="0" w:firstLine="640" w:firstLineChars="200"/>
        <w:textAlignment w:val="auto"/>
        <w:rPr>
          <w:rFonts w:hint="default" w:ascii="仿宋" w:hAnsi="仿宋" w:eastAsia="仿宋" w:cs="仿宋"/>
          <w:color w:val="000000"/>
          <w:spacing w:val="0"/>
          <w:w w:val="100"/>
          <w:kern w:val="0"/>
          <w:position w:val="0"/>
          <w:sz w:val="32"/>
          <w:szCs w:val="32"/>
          <w:highlight w:val="none"/>
          <w:u w:val="none"/>
          <w:shd w:val="clear" w:color="auto" w:fill="auto"/>
          <w:lang w:val="en-US" w:eastAsia="zh-CN" w:bidi="zh-TW"/>
        </w:rPr>
      </w:pPr>
      <w:r>
        <w:rPr>
          <w:rFonts w:hint="eastAsia" w:eastAsia="仿宋" w:cs="仿宋"/>
          <w:color w:val="000000"/>
          <w:spacing w:val="0"/>
          <w:w w:val="100"/>
          <w:kern w:val="0"/>
          <w:position w:val="0"/>
          <w:sz w:val="32"/>
          <w:szCs w:val="32"/>
          <w:highlight w:val="none"/>
          <w:u w:val="none"/>
          <w:shd w:val="clear" w:color="auto" w:fill="auto"/>
          <w:lang w:val="en-US" w:eastAsia="zh-CN" w:bidi="zh-TW"/>
        </w:rPr>
        <w:t>C.满意度指标完成情况分析（5分）</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t>信访群众满意度（5分），年初目标值为80%，2021年实际信访群众满意度80%，该指标得分为5分。</w:t>
      </w:r>
    </w:p>
    <w:p>
      <w:pPr>
        <w:numPr>
          <w:ilvl w:val="0"/>
          <w:numId w:val="2"/>
        </w:numPr>
        <w:ind w:leftChars="0" w:firstLine="640" w:firstLineChars="200"/>
        <w:jc w:val="left"/>
        <w:rPr>
          <w:rFonts w:hint="eastAsia" w:ascii="楷体" w:hAnsi="楷体" w:eastAsia="楷体" w:cs="楷体"/>
          <w:color w:val="000000"/>
          <w:spacing w:val="0"/>
          <w:w w:val="100"/>
          <w:kern w:val="0"/>
          <w:position w:val="0"/>
          <w:sz w:val="32"/>
          <w:szCs w:val="32"/>
          <w:u w:val="none"/>
          <w:shd w:val="clear" w:color="auto" w:fill="auto"/>
          <w:lang w:val="en-US" w:eastAsia="zh-CN" w:bidi="zh-TW"/>
        </w:rPr>
      </w:pPr>
      <w:r>
        <w:rPr>
          <w:rFonts w:hint="eastAsia" w:ascii="楷体" w:hAnsi="楷体" w:eastAsia="楷体" w:cs="楷体"/>
          <w:color w:val="000000"/>
          <w:spacing w:val="0"/>
          <w:w w:val="100"/>
          <w:kern w:val="0"/>
          <w:position w:val="0"/>
          <w:sz w:val="32"/>
          <w:szCs w:val="32"/>
          <w:u w:val="none"/>
          <w:shd w:val="clear" w:color="auto" w:fill="auto"/>
          <w:lang w:val="en-US" w:eastAsia="zh-CN" w:bidi="zh-TW"/>
        </w:rPr>
        <w:t>上年度部门整体部门自评结果应用情况</w:t>
      </w:r>
    </w:p>
    <w:p>
      <w:pPr>
        <w:numPr>
          <w:ilvl w:val="0"/>
          <w:numId w:val="0"/>
        </w:numPr>
        <w:ind w:leftChars="0" w:firstLine="640" w:firstLineChars="200"/>
        <w:jc w:val="left"/>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t>2020年度武汉市东西湖区自然资源和规划局整体预算支出8,854.73万元，调整后预算8,361.29万元，收入来源系财政预算拨款和其他收入。决算支出总额6,272.94万元，其中基本支出总额3,006万元，项目支出总额3,266.94万元，预算执行率为75.02%。</w:t>
      </w:r>
    </w:p>
    <w:p>
      <w:pPr>
        <w:numPr>
          <w:ilvl w:val="0"/>
          <w:numId w:val="0"/>
        </w:numPr>
        <w:ind w:leftChars="0" w:firstLine="640" w:firstLineChars="200"/>
        <w:jc w:val="left"/>
        <w:rPr>
          <w:rFonts w:hint="eastAsia"/>
          <w:highlight w:val="yellow"/>
          <w:lang w:val="en-US" w:eastAsia="zh-CN"/>
        </w:rPr>
      </w:pPr>
      <w:r>
        <w:rPr>
          <w:rFonts w:hint="eastAsia" w:ascii="仿宋" w:hAnsi="仿宋" w:eastAsia="仿宋" w:cs="仿宋"/>
          <w:sz w:val="32"/>
          <w:szCs w:val="32"/>
          <w:lang w:val="en-US" w:eastAsia="zh-CN"/>
        </w:rPr>
        <w:t>将绩效自评结果与项目预算安排挂钩，本年度预算参照上年预算绩效评价结果，结合本年实际情况，进行预算安排。</w:t>
      </w:r>
    </w:p>
    <w:p>
      <w:pPr>
        <w:numPr>
          <w:ilvl w:val="0"/>
          <w:numId w:val="2"/>
        </w:numPr>
        <w:ind w:leftChars="0" w:firstLine="640" w:firstLineChars="200"/>
        <w:jc w:val="left"/>
        <w:rPr>
          <w:rFonts w:hint="eastAsia" w:ascii="楷体" w:hAnsi="楷体" w:eastAsia="楷体" w:cs="楷体"/>
          <w:color w:val="000000"/>
          <w:spacing w:val="0"/>
          <w:w w:val="100"/>
          <w:kern w:val="0"/>
          <w:position w:val="0"/>
          <w:sz w:val="32"/>
          <w:szCs w:val="32"/>
          <w:u w:val="none"/>
          <w:shd w:val="clear" w:color="auto" w:fill="auto"/>
          <w:lang w:val="en-US" w:eastAsia="zh-CN" w:bidi="zh-TW"/>
        </w:rPr>
      </w:pPr>
      <w:r>
        <w:rPr>
          <w:rFonts w:hint="eastAsia" w:ascii="楷体" w:hAnsi="楷体" w:eastAsia="楷体" w:cs="楷体"/>
          <w:color w:val="000000"/>
          <w:spacing w:val="0"/>
          <w:w w:val="100"/>
          <w:kern w:val="0"/>
          <w:position w:val="0"/>
          <w:sz w:val="32"/>
          <w:szCs w:val="32"/>
          <w:u w:val="none"/>
          <w:shd w:val="clear" w:color="auto" w:fill="auto"/>
          <w:lang w:val="en-US" w:eastAsia="zh-CN" w:bidi="zh-TW"/>
        </w:rPr>
        <w:t>其他佐证材料：无。</w:t>
      </w:r>
    </w:p>
    <w:p>
      <w:pPr>
        <w:pStyle w:val="2"/>
        <w:rPr>
          <w:rFonts w:hint="eastAsia" w:ascii="楷体" w:hAnsi="楷体" w:eastAsia="楷体" w:cs="楷体"/>
          <w:color w:val="000000"/>
          <w:spacing w:val="0"/>
          <w:w w:val="100"/>
          <w:kern w:val="0"/>
          <w:position w:val="0"/>
          <w:sz w:val="32"/>
          <w:szCs w:val="32"/>
          <w:u w:val="none"/>
          <w:shd w:val="clear" w:color="auto" w:fill="auto"/>
          <w:lang w:val="en-US" w:eastAsia="zh-CN" w:bidi="zh-TW"/>
        </w:rPr>
      </w:pPr>
    </w:p>
    <w:p>
      <w:pPr>
        <w:pStyle w:val="2"/>
        <w:rPr>
          <w:rFonts w:hint="eastAsia" w:ascii="楷体" w:hAnsi="楷体" w:eastAsia="楷体" w:cs="楷体"/>
          <w:color w:val="000000"/>
          <w:spacing w:val="0"/>
          <w:w w:val="100"/>
          <w:kern w:val="0"/>
          <w:position w:val="0"/>
          <w:sz w:val="32"/>
          <w:szCs w:val="32"/>
          <w:u w:val="none"/>
          <w:shd w:val="clear" w:color="auto" w:fill="auto"/>
          <w:lang w:val="en-US" w:eastAsia="zh-CN" w:bidi="zh-TW"/>
        </w:rPr>
      </w:pPr>
    </w:p>
    <w:p>
      <w:pPr>
        <w:numPr>
          <w:ilvl w:val="0"/>
          <w:numId w:val="0"/>
        </w:numPr>
        <w:ind w:firstLine="2560" w:firstLineChars="800"/>
        <w:jc w:val="right"/>
        <w:rPr>
          <w:rFonts w:hint="eastAsia" w:ascii="仿宋" w:hAnsi="仿宋" w:eastAsia="仿宋" w:cs="仿宋"/>
          <w:color w:val="000000"/>
          <w:spacing w:val="0"/>
          <w:w w:val="100"/>
          <w:kern w:val="0"/>
          <w:position w:val="0"/>
          <w:sz w:val="32"/>
          <w:szCs w:val="32"/>
          <w:u w:val="none"/>
          <w:shd w:val="clear" w:color="auto" w:fill="auto"/>
          <w:lang w:val="en-US" w:eastAsia="zh-CN" w:bidi="zh-TW"/>
        </w:rPr>
      </w:pPr>
      <w:r>
        <w:rPr>
          <w:rFonts w:hint="eastAsia" w:ascii="仿宋" w:hAnsi="仿宋" w:eastAsia="仿宋" w:cs="仿宋"/>
          <w:color w:val="000000"/>
          <w:spacing w:val="0"/>
          <w:w w:val="100"/>
          <w:kern w:val="0"/>
          <w:position w:val="0"/>
          <w:sz w:val="32"/>
          <w:szCs w:val="32"/>
          <w:u w:val="none"/>
          <w:shd w:val="clear" w:color="auto" w:fill="auto"/>
          <w:lang w:val="en-US" w:eastAsia="zh-CN" w:bidi="zh-TW"/>
        </w:rPr>
        <w:t>武汉市东西湖区自然资源和规划局</w:t>
      </w:r>
    </w:p>
    <w:p>
      <w:pPr>
        <w:numPr>
          <w:ilvl w:val="0"/>
          <w:numId w:val="0"/>
        </w:numPr>
        <w:ind w:leftChars="0" w:firstLine="640" w:firstLineChars="200"/>
        <w:jc w:val="left"/>
        <w:rPr>
          <w:rFonts w:ascii="仿宋" w:hAnsi="仿宋" w:eastAsia="仿宋" w:cs="宋体"/>
          <w:sz w:val="32"/>
          <w:szCs w:val="32"/>
        </w:rPr>
      </w:pPr>
      <w:r>
        <w:rPr>
          <w:rFonts w:hint="eastAsia" w:ascii="仿宋" w:hAnsi="仿宋" w:eastAsia="仿宋" w:cs="仿宋"/>
          <w:color w:val="000000"/>
          <w:spacing w:val="0"/>
          <w:w w:val="100"/>
          <w:kern w:val="0"/>
          <w:position w:val="0"/>
          <w:sz w:val="32"/>
          <w:szCs w:val="32"/>
          <w:u w:val="none"/>
          <w:shd w:val="clear" w:color="auto" w:fill="auto"/>
          <w:lang w:val="en-US" w:eastAsia="zh-CN" w:bidi="zh-TW"/>
        </w:rPr>
        <w:t xml:space="preserve">                         2022年5月20日</w:t>
      </w:r>
    </w:p>
    <w:sectPr>
      <w:footerReference r:id="rId3" w:type="default"/>
      <w:pgSz w:w="11906" w:h="16838"/>
      <w:pgMar w:top="1440" w:right="1740" w:bottom="1440" w:left="17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
    <w:altName w:val="宋体"/>
    <w:panose1 w:val="02010609060101010101"/>
    <w:charset w:val="86"/>
    <w:family w:val="auto"/>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MS PGothic">
    <w:panose1 w:val="020B0600070205080204"/>
    <w:charset w:val="80"/>
    <w:family w:val="auto"/>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rFonts w:hint="eastAsia"/>
      </w:rPr>
      <w:t>-</w:t>
    </w:r>
    <w:r>
      <w:fldChar w:fldCharType="begin"/>
    </w:r>
    <w:r>
      <w:instrText xml:space="preserve">PAGE   \* MERGEFORMAT</w:instrText>
    </w:r>
    <w:r>
      <w:fldChar w:fldCharType="separate"/>
    </w:r>
    <w:r>
      <w:rPr>
        <w:lang w:val="zh-CN"/>
      </w:rPr>
      <w:t>17</w:t>
    </w:r>
    <w:r>
      <w:fldChar w:fldCharType="end"/>
    </w:r>
    <w:r>
      <w:rPr>
        <w:rFonts w:hint="eastAsia"/>
      </w:rPr>
      <w:t>-</w:t>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E8A59F3"/>
    <w:multiLevelType w:val="singleLevel"/>
    <w:tmpl w:val="9E8A59F3"/>
    <w:lvl w:ilvl="0" w:tentative="0">
      <w:start w:val="2"/>
      <w:numFmt w:val="chineseCounting"/>
      <w:suff w:val="nothing"/>
      <w:lvlText w:val="%1、"/>
      <w:lvlJc w:val="left"/>
      <w:pPr>
        <w:ind w:left="750" w:leftChars="0" w:firstLine="0" w:firstLineChars="0"/>
      </w:pPr>
      <w:rPr>
        <w:rFonts w:hint="eastAsia"/>
      </w:rPr>
    </w:lvl>
  </w:abstractNum>
  <w:abstractNum w:abstractNumId="1">
    <w:nsid w:val="1BBC2A04"/>
    <w:multiLevelType w:val="singleLevel"/>
    <w:tmpl w:val="1BBC2A04"/>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GM5NWE4YzVkNzk4MzFjYjMwZmE1ZTdiNWE5Y2VkNWYifQ=="/>
  </w:docVars>
  <w:rsids>
    <w:rsidRoot w:val="00000000"/>
    <w:rsid w:val="02611A2B"/>
    <w:rsid w:val="05631AA7"/>
    <w:rsid w:val="07F91461"/>
    <w:rsid w:val="0A2C74B1"/>
    <w:rsid w:val="18473456"/>
    <w:rsid w:val="1DE33EDB"/>
    <w:rsid w:val="26747E2C"/>
    <w:rsid w:val="345A5D9D"/>
    <w:rsid w:val="35204D3A"/>
    <w:rsid w:val="373A6104"/>
    <w:rsid w:val="38420616"/>
    <w:rsid w:val="3E753E87"/>
    <w:rsid w:val="3F2A43A2"/>
    <w:rsid w:val="41BA764A"/>
    <w:rsid w:val="43247792"/>
    <w:rsid w:val="43C20D21"/>
    <w:rsid w:val="44710E45"/>
    <w:rsid w:val="49486B16"/>
    <w:rsid w:val="4BFB68A3"/>
    <w:rsid w:val="53D12320"/>
    <w:rsid w:val="53F13EB2"/>
    <w:rsid w:val="53F6571D"/>
    <w:rsid w:val="57BE4FF4"/>
    <w:rsid w:val="5A002A23"/>
    <w:rsid w:val="5CDE618A"/>
    <w:rsid w:val="5EBC7A30"/>
    <w:rsid w:val="649C44F9"/>
    <w:rsid w:val="6CEF3F82"/>
    <w:rsid w:val="73DF702B"/>
    <w:rsid w:val="7A706B03"/>
    <w:rsid w:val="7B8F594D"/>
    <w:rsid w:val="7DFF28C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0"/>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customStyle="1" w:styleId="2">
    <w:name w:val="Body Text First Indent 2"/>
    <w:basedOn w:val="3"/>
    <w:qFormat/>
    <w:uiPriority w:val="0"/>
    <w:rPr>
      <w:rFonts w:ascii="仿宋" w:hAnsi="仿宋" w:eastAsia="仿宋_GB2312"/>
      <w:sz w:val="28"/>
      <w:szCs w:val="24"/>
    </w:rPr>
  </w:style>
  <w:style w:type="paragraph" w:customStyle="1" w:styleId="3">
    <w:name w:val="Body Text Indent"/>
    <w:basedOn w:val="1"/>
    <w:qFormat/>
    <w:uiPriority w:val="0"/>
    <w:pPr>
      <w:spacing w:after="120"/>
      <w:ind w:left="420" w:leftChars="200"/>
    </w:pPr>
    <w:rPr>
      <w:rFonts w:ascii="仿宋" w:hAnsi="仿宋" w:eastAsia="仿宋_GB2312"/>
      <w:sz w:val="28"/>
      <w:szCs w:val="24"/>
    </w:rPr>
  </w:style>
  <w:style w:type="paragraph" w:styleId="4">
    <w:name w:val="Document Map"/>
    <w:basedOn w:val="1"/>
    <w:link w:val="19"/>
    <w:semiHidden/>
    <w:unhideWhenUsed/>
    <w:qFormat/>
    <w:uiPriority w:val="99"/>
    <w:rPr>
      <w:rFonts w:ascii="宋体"/>
      <w:sz w:val="18"/>
      <w:szCs w:val="18"/>
    </w:rPr>
  </w:style>
  <w:style w:type="paragraph" w:styleId="5">
    <w:name w:val="Balloon Text"/>
    <w:basedOn w:val="1"/>
    <w:link w:val="25"/>
    <w:semiHidden/>
    <w:unhideWhenUsed/>
    <w:qFormat/>
    <w:uiPriority w:val="99"/>
    <w:rPr>
      <w:sz w:val="18"/>
      <w:szCs w:val="18"/>
    </w:rPr>
  </w:style>
  <w:style w:type="paragraph" w:styleId="6">
    <w:name w:val="footer"/>
    <w:basedOn w:val="1"/>
    <w:link w:val="23"/>
    <w:unhideWhenUsed/>
    <w:qFormat/>
    <w:uiPriority w:val="99"/>
    <w:pPr>
      <w:tabs>
        <w:tab w:val="center" w:pos="4153"/>
        <w:tab w:val="right" w:pos="8306"/>
      </w:tabs>
      <w:snapToGrid w:val="0"/>
      <w:jc w:val="left"/>
    </w:pPr>
    <w:rPr>
      <w:sz w:val="18"/>
      <w:szCs w:val="18"/>
    </w:rPr>
  </w:style>
  <w:style w:type="paragraph" w:styleId="7">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customStyle="1" w:styleId="11">
    <w:name w:val="Body Text First Indent 21"/>
    <w:basedOn w:val="12"/>
    <w:qFormat/>
    <w:uiPriority w:val="0"/>
    <w:rPr>
      <w:rFonts w:ascii="仿宋" w:hAnsi="仿宋" w:eastAsia="仿宋_GB2312"/>
      <w:sz w:val="28"/>
      <w:szCs w:val="24"/>
    </w:rPr>
  </w:style>
  <w:style w:type="paragraph" w:customStyle="1" w:styleId="12">
    <w:name w:val="Body Text Indent1"/>
    <w:basedOn w:val="1"/>
    <w:qFormat/>
    <w:uiPriority w:val="0"/>
    <w:pPr>
      <w:spacing w:after="120"/>
      <w:ind w:left="420" w:leftChars="200"/>
    </w:pPr>
    <w:rPr>
      <w:rFonts w:ascii="仿宋" w:hAnsi="仿宋" w:eastAsia="仿宋_GB2312"/>
      <w:sz w:val="28"/>
      <w:szCs w:val="24"/>
    </w:rPr>
  </w:style>
  <w:style w:type="paragraph" w:customStyle="1" w:styleId="13">
    <w:name w:val="样式1"/>
    <w:basedOn w:val="1"/>
    <w:qFormat/>
    <w:uiPriority w:val="0"/>
    <w:pPr>
      <w:spacing w:beforeLines="50" w:afterLines="50" w:line="480" w:lineRule="exact"/>
      <w:ind w:firstLine="560" w:firstLineChars="200"/>
      <w:outlineLvl w:val="0"/>
    </w:pPr>
    <w:rPr>
      <w:rFonts w:ascii="黑体" w:hAnsi="黑体" w:eastAsia="黑体"/>
      <w:sz w:val="28"/>
      <w:szCs w:val="28"/>
    </w:rPr>
  </w:style>
  <w:style w:type="paragraph" w:customStyle="1" w:styleId="14">
    <w:name w:val="样式2"/>
    <w:basedOn w:val="1"/>
    <w:link w:val="20"/>
    <w:qFormat/>
    <w:uiPriority w:val="0"/>
    <w:pPr>
      <w:spacing w:beforeLines="50" w:afterLines="50" w:line="480" w:lineRule="exact"/>
      <w:ind w:firstLine="560" w:firstLineChars="200"/>
      <w:outlineLvl w:val="0"/>
    </w:pPr>
    <w:rPr>
      <w:rFonts w:ascii="楷体" w:hAnsi="楷体" w:eastAsia="楷体"/>
      <w:sz w:val="28"/>
      <w:szCs w:val="28"/>
    </w:rPr>
  </w:style>
  <w:style w:type="paragraph" w:customStyle="1" w:styleId="15">
    <w:name w:val="样式3"/>
    <w:basedOn w:val="1"/>
    <w:link w:val="21"/>
    <w:qFormat/>
    <w:uiPriority w:val="0"/>
    <w:pPr>
      <w:spacing w:before="50" w:afterLines="50" w:line="480" w:lineRule="exact"/>
      <w:ind w:firstLine="560" w:firstLineChars="200"/>
      <w:outlineLvl w:val="0"/>
    </w:pPr>
    <w:rPr>
      <w:rFonts w:ascii="仿宋" w:hAnsi="仿宋" w:eastAsia="仿宋"/>
      <w:sz w:val="28"/>
      <w:szCs w:val="28"/>
    </w:rPr>
  </w:style>
  <w:style w:type="paragraph" w:customStyle="1" w:styleId="16">
    <w:name w:val="List Paragraph"/>
    <w:basedOn w:val="1"/>
    <w:qFormat/>
    <w:uiPriority w:val="34"/>
    <w:pPr>
      <w:ind w:firstLine="420" w:firstLineChars="200"/>
    </w:pPr>
    <w:rPr>
      <w:rFonts w:ascii="Calibri" w:hAnsi="Calibri" w:eastAsia="宋体" w:cs="黑体"/>
      <w:szCs w:val="22"/>
    </w:rPr>
  </w:style>
  <w:style w:type="paragraph" w:customStyle="1" w:styleId="17">
    <w:name w:val="No Spacing"/>
    <w:link w:val="24"/>
    <w:qFormat/>
    <w:uiPriority w:val="1"/>
    <w:rPr>
      <w:rFonts w:ascii="Calibri" w:hAnsi="Calibri" w:eastAsia="宋体" w:cs="黑体"/>
      <w:kern w:val="0"/>
      <w:sz w:val="22"/>
      <w:szCs w:val="22"/>
      <w:lang w:val="en-US" w:eastAsia="zh-CN" w:bidi="ar-SA"/>
    </w:rPr>
  </w:style>
  <w:style w:type="paragraph" w:customStyle="1" w:styleId="18">
    <w:name w:val="Body text|1"/>
    <w:basedOn w:val="1"/>
    <w:qFormat/>
    <w:uiPriority w:val="0"/>
    <w:pPr>
      <w:widowControl w:val="0"/>
      <w:shd w:val="clear" w:color="auto" w:fill="auto"/>
      <w:spacing w:line="437" w:lineRule="auto"/>
      <w:ind w:firstLine="400"/>
    </w:pPr>
    <w:rPr>
      <w:rFonts w:ascii="宋体" w:hAnsi="宋体" w:eastAsia="宋体" w:cs="宋体"/>
      <w:sz w:val="22"/>
      <w:szCs w:val="22"/>
      <w:u w:val="none"/>
      <w:shd w:val="clear" w:color="auto" w:fill="auto"/>
      <w:lang w:val="zh-TW" w:eastAsia="zh-TW" w:bidi="zh-TW"/>
    </w:rPr>
  </w:style>
  <w:style w:type="character" w:customStyle="1" w:styleId="19">
    <w:name w:val="文档结构图 Char"/>
    <w:basedOn w:val="10"/>
    <w:link w:val="4"/>
    <w:semiHidden/>
    <w:qFormat/>
    <w:uiPriority w:val="99"/>
    <w:rPr>
      <w:rFonts w:ascii="宋体" w:hAnsi="Calibri" w:eastAsia="宋体" w:cs="Times New Roman"/>
      <w:sz w:val="18"/>
      <w:szCs w:val="18"/>
    </w:rPr>
  </w:style>
  <w:style w:type="character" w:customStyle="1" w:styleId="20">
    <w:name w:val="样式2 Char"/>
    <w:basedOn w:val="10"/>
    <w:link w:val="14"/>
    <w:qFormat/>
    <w:uiPriority w:val="0"/>
    <w:rPr>
      <w:rFonts w:ascii="楷体" w:hAnsi="楷体" w:eastAsia="楷体" w:cs="Times New Roman"/>
      <w:sz w:val="28"/>
      <w:szCs w:val="28"/>
    </w:rPr>
  </w:style>
  <w:style w:type="character" w:customStyle="1" w:styleId="21">
    <w:name w:val="样式3 Char"/>
    <w:basedOn w:val="10"/>
    <w:link w:val="15"/>
    <w:qFormat/>
    <w:uiPriority w:val="0"/>
    <w:rPr>
      <w:rFonts w:ascii="仿宋" w:hAnsi="仿宋" w:eastAsia="仿宋" w:cs="Times New Roman"/>
      <w:sz w:val="28"/>
      <w:szCs w:val="28"/>
    </w:rPr>
  </w:style>
  <w:style w:type="character" w:customStyle="1" w:styleId="22">
    <w:name w:val="页眉 Char"/>
    <w:basedOn w:val="10"/>
    <w:link w:val="7"/>
    <w:qFormat/>
    <w:uiPriority w:val="99"/>
    <w:rPr>
      <w:rFonts w:ascii="Calibri" w:hAnsi="Calibri" w:eastAsia="宋体" w:cs="Times New Roman"/>
      <w:sz w:val="18"/>
      <w:szCs w:val="18"/>
    </w:rPr>
  </w:style>
  <w:style w:type="character" w:customStyle="1" w:styleId="23">
    <w:name w:val="页脚 Char"/>
    <w:basedOn w:val="10"/>
    <w:link w:val="6"/>
    <w:qFormat/>
    <w:uiPriority w:val="99"/>
    <w:rPr>
      <w:rFonts w:ascii="Calibri" w:hAnsi="Calibri" w:eastAsia="宋体" w:cs="Times New Roman"/>
      <w:sz w:val="18"/>
      <w:szCs w:val="18"/>
    </w:rPr>
  </w:style>
  <w:style w:type="character" w:customStyle="1" w:styleId="24">
    <w:name w:val="无间隔 Char"/>
    <w:basedOn w:val="10"/>
    <w:link w:val="17"/>
    <w:qFormat/>
    <w:uiPriority w:val="1"/>
    <w:rPr>
      <w:kern w:val="0"/>
      <w:sz w:val="22"/>
    </w:rPr>
  </w:style>
  <w:style w:type="character" w:customStyle="1" w:styleId="25">
    <w:name w:val="批注框文本 Char"/>
    <w:basedOn w:val="10"/>
    <w:link w:val="5"/>
    <w:semiHidden/>
    <w:qFormat/>
    <w:uiPriority w:val="99"/>
    <w:rPr>
      <w:rFonts w:ascii="Calibri" w:hAnsi="Calibri" w:eastAsia="宋体" w:cs="Times New Roman"/>
      <w:sz w:val="18"/>
      <w:szCs w:val="18"/>
    </w:rPr>
  </w:style>
  <w:style w:type="character" w:customStyle="1" w:styleId="26">
    <w:name w:val="font11"/>
    <w:basedOn w:val="10"/>
    <w:qFormat/>
    <w:uiPriority w:val="0"/>
    <w:rPr>
      <w:rFonts w:hint="eastAsia" w:ascii="仿宋" w:hAnsi="仿宋" w:eastAsia="仿宋" w:cs="仿宋"/>
      <w:color w:val="000000"/>
      <w:sz w:val="21"/>
      <w:szCs w:val="21"/>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14</Pages>
  <Words>5646</Words>
  <Characters>6131</Characters>
  <Lines>84</Lines>
  <Paragraphs>23</Paragraphs>
  <TotalTime>14</TotalTime>
  <ScaleCrop>false</ScaleCrop>
  <LinksUpToDate>false</LinksUpToDate>
  <CharactersWithSpaces>6184</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2021-04-23T02:00:00Z</dcterms:created>
  <dc:creator>PC</dc:creator>
  <cp:lastModifiedBy>未来</cp:lastModifiedBy>
  <cp:lastPrinted>2021-05-08T04:30:00Z</cp:lastPrinted>
  <dcterms:modified xsi:type="dcterms:W3CDTF">2022-06-15T09:01:04Z</dcterms:modified>
  <dc:title>2020年度武汉临空港经济技术开发区高新技术产业建设管理办公室整体绩效自评结果</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0E72CF6EC503485294D33864393945A8</vt:lpwstr>
  </property>
</Properties>
</file>