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40" w:firstLineChars="400"/>
        <w:jc w:val="both"/>
        <w:rPr>
          <w:rFonts w:hint="eastAsia" w:ascii="方正小标宋简体" w:hAnsi="方正小标宋简体" w:eastAsia="方正小标宋简体" w:cs="方正小标宋简体"/>
          <w:color w:val="000000"/>
          <w:kern w:val="0"/>
          <w:sz w:val="36"/>
          <w:szCs w:val="36"/>
          <w:lang w:val="en-US" w:eastAsia="en-US"/>
        </w:rPr>
      </w:pPr>
      <w:r>
        <w:rPr>
          <w:rFonts w:hint="eastAsia" w:ascii="方正小标宋简体" w:hAnsi="方正小标宋简体" w:eastAsia="方正小标宋简体" w:cs="方正小标宋简体"/>
          <w:color w:val="000000"/>
          <w:kern w:val="0"/>
          <w:sz w:val="36"/>
          <w:szCs w:val="36"/>
          <w:lang w:val="en-US" w:eastAsia="en-US"/>
        </w:rPr>
        <w:t>武汉市东西湖区自然资源和规划局</w:t>
      </w:r>
    </w:p>
    <w:p>
      <w:pPr>
        <w:jc w:val="center"/>
        <w:rPr>
          <w:rFonts w:hint="eastAsia" w:ascii="方正小标宋简体" w:hAnsi="方正小标宋简体" w:eastAsia="方正小标宋简体" w:cs="方正小标宋简体"/>
          <w:color w:val="000000"/>
          <w:kern w:val="0"/>
          <w:sz w:val="36"/>
          <w:szCs w:val="36"/>
          <w:lang w:val="en-US" w:eastAsia="en-US"/>
        </w:rPr>
      </w:pPr>
      <w:r>
        <w:rPr>
          <w:rFonts w:hint="eastAsia" w:ascii="方正小标宋简体" w:hAnsi="方正小标宋简体" w:eastAsia="方正小标宋简体" w:cs="方正小标宋简体"/>
          <w:color w:val="000000"/>
          <w:kern w:val="0"/>
          <w:sz w:val="36"/>
          <w:szCs w:val="36"/>
          <w:lang w:val="en-US" w:eastAsia="zh-CN"/>
        </w:rPr>
        <w:t>2021年</w:t>
      </w:r>
      <w:r>
        <w:rPr>
          <w:rFonts w:hint="eastAsia" w:ascii="方正小标宋简体" w:hAnsi="方正小标宋简体" w:eastAsia="方正小标宋简体" w:cs="方正小标宋简体"/>
          <w:color w:val="000000"/>
          <w:kern w:val="0"/>
          <w:sz w:val="36"/>
          <w:szCs w:val="36"/>
          <w:lang w:val="en-US" w:eastAsia="en-US"/>
        </w:rPr>
        <w:t>整体绩效自评结果</w:t>
      </w:r>
    </w:p>
    <w:p>
      <w:pPr>
        <w:widowControl/>
        <w:spacing w:line="560" w:lineRule="exact"/>
        <w:jc w:val="center"/>
      </w:pPr>
      <w:r>
        <w:rPr>
          <w:rFonts w:hint="eastAsia" w:ascii="楷体" w:hAnsi="楷体" w:eastAsia="楷体" w:cs="宋体"/>
          <w:color w:val="000000"/>
          <w:kern w:val="0"/>
          <w:sz w:val="28"/>
          <w:szCs w:val="28"/>
        </w:rPr>
        <w:t>（</w:t>
      </w:r>
      <w:r>
        <w:rPr>
          <w:rFonts w:hint="eastAsia" w:ascii="楷体" w:hAnsi="楷体" w:eastAsia="楷体" w:cs="宋体"/>
          <w:color w:val="000000"/>
          <w:kern w:val="0"/>
          <w:sz w:val="28"/>
          <w:szCs w:val="28"/>
          <w:lang w:eastAsia="zh-CN"/>
        </w:rPr>
        <w:t>摘要</w:t>
      </w:r>
      <w:r>
        <w:rPr>
          <w:rFonts w:hint="eastAsia" w:ascii="楷体" w:hAnsi="楷体" w:eastAsia="楷体" w:cs="宋体"/>
          <w:color w:val="000000"/>
          <w:kern w:val="0"/>
          <w:sz w:val="28"/>
          <w:szCs w:val="28"/>
        </w:rPr>
        <w:t>版）</w:t>
      </w: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黑体" w:hAnsi="黑体" w:eastAsia="黑体" w:cs="黑体"/>
          <w:color w:val="000000"/>
          <w:spacing w:val="0"/>
          <w:w w:val="100"/>
          <w:kern w:val="0"/>
          <w:position w:val="0"/>
          <w:sz w:val="32"/>
          <w:szCs w:val="32"/>
          <w:highlight w:val="none"/>
          <w:lang w:eastAsia="zh-CN"/>
        </w:rPr>
      </w:pPr>
      <w:r>
        <w:rPr>
          <w:rFonts w:hint="eastAsia" w:ascii="黑体" w:hAnsi="黑体" w:eastAsia="黑体" w:cs="黑体"/>
          <w:color w:val="000000"/>
          <w:spacing w:val="0"/>
          <w:w w:val="100"/>
          <w:kern w:val="0"/>
          <w:position w:val="0"/>
          <w:sz w:val="32"/>
          <w:szCs w:val="32"/>
          <w:highlight w:val="none"/>
          <w:lang w:eastAsia="zh-CN"/>
        </w:rPr>
        <w:t>一、自评结论</w:t>
      </w:r>
    </w:p>
    <w:p>
      <w:pPr>
        <w:widowControl/>
        <w:spacing w:line="560" w:lineRule="exact"/>
        <w:ind w:firstLine="640" w:firstLineChars="200"/>
        <w:jc w:val="left"/>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（一）部门整体绩效自评得分</w:t>
      </w:r>
    </w:p>
    <w:p>
      <w:pPr>
        <w:widowControl/>
        <w:spacing w:line="560" w:lineRule="exact"/>
        <w:ind w:firstLine="640" w:firstLineChars="200"/>
        <w:jc w:val="left"/>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202</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1</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年度</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武汉市东西湖区自然资源和规划局</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整体绩效评价自评综合得分</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98.14</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分，其中：预算执行率基准分值20分，得分</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18.25</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分；</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产出、</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效益和满意度指标基准分值</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8</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0分，得</w:t>
      </w: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分79.89</w:t>
      </w:r>
      <w:r>
        <w:rPr>
          <w:rFonts w:hint="eastAsia" w:ascii="仿宋" w:hAnsi="仿宋" w:eastAsia="仿宋" w:cs="仿宋"/>
          <w:color w:val="000000"/>
          <w:spacing w:val="0"/>
          <w:w w:val="100"/>
          <w:kern w:val="0"/>
          <w:position w:val="0"/>
          <w:sz w:val="32"/>
          <w:szCs w:val="32"/>
          <w:highlight w:val="none"/>
          <w:u w:val="none"/>
          <w:shd w:val="clear" w:color="auto" w:fill="auto"/>
          <w:lang w:val="zh-TW" w:eastAsia="zh-CN" w:bidi="zh-TW"/>
        </w:rPr>
        <w:t>分。</w:t>
      </w:r>
    </w:p>
    <w:p>
      <w:pPr>
        <w:widowControl/>
        <w:spacing w:line="560" w:lineRule="exact"/>
        <w:ind w:firstLine="640" w:firstLineChars="200"/>
        <w:jc w:val="left"/>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（二）部门整体绩效目标完成情况</w:t>
      </w: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lang w:val="en-US" w:eastAsia="zh-CN"/>
        </w:rPr>
      </w:pPr>
      <w:r>
        <w:rPr>
          <w:rFonts w:hint="eastAsia" w:ascii="楷体" w:hAnsi="楷体" w:eastAsia="楷体" w:cs="楷体"/>
          <w:color w:val="000000"/>
          <w:spacing w:val="0"/>
          <w:w w:val="100"/>
          <w:kern w:val="0"/>
          <w:position w:val="0"/>
          <w:sz w:val="32"/>
          <w:szCs w:val="32"/>
          <w:highlight w:val="none"/>
          <w:lang w:val="en-US" w:eastAsia="zh-CN"/>
        </w:rPr>
        <w:t>1.预算执行情况</w:t>
      </w:r>
    </w:p>
    <w:p>
      <w:pPr>
        <w:widowControl/>
        <w:spacing w:line="560" w:lineRule="exact"/>
        <w:ind w:firstLine="640" w:firstLineChars="200"/>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bookmarkStart w:id="0" w:name="_Toc21184818"/>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2021年度武汉市东西湖区自然资源和规划局整体调整后预算总额147,125.86万元，</w:t>
      </w:r>
      <w:bookmarkEnd w:id="0"/>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决算支出总额134,250.89万元。</w:t>
      </w:r>
    </w:p>
    <w:p>
      <w:pPr>
        <w:widowControl/>
        <w:spacing w:line="560" w:lineRule="exact"/>
        <w:ind w:firstLine="640" w:firstLineChars="200"/>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32"/>
          <w:szCs w:val="32"/>
          <w:highlight w:val="none"/>
          <w:u w:val="none"/>
          <w:shd w:val="clear" w:color="auto" w:fill="auto"/>
          <w:lang w:val="en-US" w:eastAsia="zh-CN" w:bidi="zh-TW"/>
        </w:rPr>
        <w:t>预算执行率=（决算支出总额/调整后预算总额）×100%=91.25%。</w:t>
      </w: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lang w:val="en-US" w:eastAsia="zh-CN"/>
        </w:rPr>
      </w:pPr>
      <w:r>
        <w:rPr>
          <w:rFonts w:hint="eastAsia" w:ascii="楷体" w:hAnsi="楷体" w:eastAsia="楷体" w:cs="楷体"/>
          <w:color w:val="000000"/>
          <w:spacing w:val="0"/>
          <w:w w:val="100"/>
          <w:kern w:val="0"/>
          <w:position w:val="0"/>
          <w:sz w:val="32"/>
          <w:szCs w:val="32"/>
          <w:highlight w:val="none"/>
          <w:lang w:val="en-US" w:eastAsia="zh-CN"/>
        </w:rPr>
        <w:t>2.完成的绩效目标</w:t>
      </w:r>
    </w:p>
    <w:tbl>
      <w:tblPr>
        <w:tblStyle w:val="9"/>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071"/>
        <w:gridCol w:w="1389"/>
        <w:gridCol w:w="1770"/>
        <w:gridCol w:w="1320"/>
        <w:gridCol w:w="1305"/>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blHeader/>
          <w:jc w:val="center"/>
        </w:trPr>
        <w:tc>
          <w:tcPr>
            <w:tcW w:w="1051" w:type="dxa"/>
            <w:vAlign w:val="center"/>
          </w:tcPr>
          <w:p>
            <w:pPr>
              <w:widowControl/>
              <w:jc w:val="center"/>
              <w:rPr>
                <w:rFonts w:ascii="仿宋" w:hAnsi="仿宋" w:eastAsia="仿宋"/>
                <w:b/>
                <w:bCs/>
                <w:color w:val="000000"/>
                <w:kern w:val="0"/>
                <w:szCs w:val="21"/>
              </w:rPr>
            </w:pPr>
            <w:r>
              <w:rPr>
                <w:rFonts w:hint="eastAsia" w:ascii="仿宋" w:hAnsi="仿宋" w:eastAsia="仿宋"/>
                <w:b/>
                <w:bCs/>
                <w:color w:val="000000"/>
                <w:kern w:val="0"/>
                <w:szCs w:val="21"/>
              </w:rPr>
              <w:t>目标</w:t>
            </w:r>
          </w:p>
        </w:tc>
        <w:tc>
          <w:tcPr>
            <w:tcW w:w="1071"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一级指标</w:t>
            </w:r>
          </w:p>
        </w:tc>
        <w:tc>
          <w:tcPr>
            <w:tcW w:w="1389"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二级指标</w:t>
            </w:r>
          </w:p>
        </w:tc>
        <w:tc>
          <w:tcPr>
            <w:tcW w:w="1770"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三级指标</w:t>
            </w:r>
          </w:p>
        </w:tc>
        <w:tc>
          <w:tcPr>
            <w:tcW w:w="1320"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年初目标值（A）</w:t>
            </w:r>
          </w:p>
        </w:tc>
        <w:tc>
          <w:tcPr>
            <w:tcW w:w="1305"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实际完成值（B）</w:t>
            </w:r>
          </w:p>
        </w:tc>
        <w:tc>
          <w:tcPr>
            <w:tcW w:w="672"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051" w:type="dxa"/>
            <w:vMerge w:val="restart"/>
            <w:vAlign w:val="center"/>
          </w:tcPr>
          <w:p>
            <w:pPr>
              <w:keepNext w:val="0"/>
              <w:keepLines w:val="0"/>
              <w:widowControl/>
              <w:suppressLineNumbers w:val="0"/>
              <w:jc w:val="center"/>
              <w:textAlignment w:val="center"/>
              <w:rPr>
                <w:rFonts w:hint="eastAsia" w:ascii="仿宋" w:hAnsi="仿宋" w:eastAsia="仿宋" w:cs="宋体"/>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年度目标1：保民生 （22分）</w:t>
            </w:r>
          </w:p>
        </w:tc>
        <w:tc>
          <w:tcPr>
            <w:tcW w:w="1071"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产出指标（18分）</w:t>
            </w:r>
          </w:p>
        </w:tc>
        <w:tc>
          <w:tcPr>
            <w:tcW w:w="1389" w:type="dxa"/>
            <w:vAlign w:val="center"/>
          </w:tcPr>
          <w:p>
            <w:pPr>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数量指标  （10分）</w:t>
            </w:r>
          </w:p>
        </w:tc>
        <w:tc>
          <w:tcPr>
            <w:tcW w:w="177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不动产登记发证量（5分）</w:t>
            </w:r>
          </w:p>
        </w:tc>
        <w:tc>
          <w:tcPr>
            <w:tcW w:w="132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10万</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12.73万</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051" w:type="dxa"/>
            <w:vMerge w:val="continue"/>
            <w:vAlign w:val="center"/>
          </w:tcPr>
          <w:p>
            <w:pPr>
              <w:keepNext w:val="0"/>
              <w:keepLines w:val="0"/>
              <w:widowControl/>
              <w:suppressLineNumbers w:val="0"/>
              <w:jc w:val="center"/>
              <w:textAlignment w:val="center"/>
              <w:rPr>
                <w:rFonts w:hint="eastAsia" w:ascii="仿宋" w:hAnsi="仿宋" w:eastAsia="仿宋" w:cs="Times New Roman"/>
                <w:color w:val="000000"/>
                <w:kern w:val="2"/>
                <w:sz w:val="21"/>
                <w:szCs w:val="21"/>
                <w:highlight w:val="none"/>
                <w:lang w:val="en-US" w:eastAsia="zh-CN" w:bidi="ar-SA"/>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时效指标  （4分）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人大政协提案办复率</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51" w:type="dxa"/>
            <w:vMerge w:val="continue"/>
            <w:vAlign w:val="center"/>
          </w:tcPr>
          <w:p>
            <w:pPr>
              <w:keepNext w:val="0"/>
              <w:keepLines w:val="0"/>
              <w:widowControl/>
              <w:suppressLineNumbers w:val="0"/>
              <w:jc w:val="center"/>
              <w:textAlignment w:val="center"/>
              <w:rPr>
                <w:rFonts w:ascii="仿宋" w:hAnsi="仿宋" w:eastAsia="仿宋"/>
                <w:color w:val="000000"/>
                <w:szCs w:val="21"/>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成本指标  （4分）</w:t>
            </w:r>
          </w:p>
        </w:tc>
        <w:tc>
          <w:tcPr>
            <w:tcW w:w="177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成本控制率</w:t>
            </w:r>
          </w:p>
        </w:tc>
        <w:tc>
          <w:tcPr>
            <w:tcW w:w="132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051" w:type="dxa"/>
            <w:vMerge w:val="continue"/>
            <w:vAlign w:val="center"/>
          </w:tcPr>
          <w:p>
            <w:pPr>
              <w:keepNext w:val="0"/>
              <w:keepLines w:val="0"/>
              <w:widowControl/>
              <w:suppressLineNumbers w:val="0"/>
              <w:jc w:val="center"/>
              <w:textAlignment w:val="center"/>
              <w:rPr>
                <w:rFonts w:hint="eastAsia" w:ascii="仿宋" w:hAnsi="仿宋" w:eastAsia="仿宋" w:cs="宋体"/>
                <w:color w:val="000000"/>
                <w:kern w:val="0"/>
                <w:szCs w:val="21"/>
              </w:rPr>
            </w:pPr>
          </w:p>
        </w:tc>
        <w:tc>
          <w:tcPr>
            <w:tcW w:w="1071"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效益指标（4分）</w:t>
            </w: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社会效益指标（4分）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保障耕地安全</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保障耕地安全</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保障耕地安全</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restart"/>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年度目标2：保发展（28分）</w:t>
            </w:r>
          </w:p>
        </w:tc>
        <w:tc>
          <w:tcPr>
            <w:tcW w:w="1071"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产出指标（24分）</w:t>
            </w:r>
          </w:p>
        </w:tc>
        <w:tc>
          <w:tcPr>
            <w:tcW w:w="1389"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数量指标 （20分）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规划编制项目</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个数（5分）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1个</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1个</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建设用地年度</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获批总量（5分）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建设工程规划许可证的审核办理（5分）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600万平方米</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907万平方米</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审批档案</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电子化率（5分）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91%</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成本指标  （4分）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成本控制率</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已完成</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效益指标（4分）</w:t>
            </w: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经济效益指标（4分）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土地出让金的征收</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已完成</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restart"/>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年度目标3：保权益（30分）</w:t>
            </w:r>
          </w:p>
        </w:tc>
        <w:tc>
          <w:tcPr>
            <w:tcW w:w="1071"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产出指标（15分）</w:t>
            </w: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数量指标  （5分）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达到区信访局制发信访事项登记录入考核值</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95%</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95%</w:t>
            </w:r>
          </w:p>
        </w:tc>
        <w:tc>
          <w:tcPr>
            <w:tcW w:w="672"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质量指标  （5分）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地质环境监测项目合格率</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通过验收</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通过验收</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成本指标  （5分）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成本控制率</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控制在预算内</w:t>
            </w:r>
          </w:p>
        </w:tc>
        <w:tc>
          <w:tcPr>
            <w:tcW w:w="672"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效益指标（10分）</w:t>
            </w: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社会效益指标（5分）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对外服务水平</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考核排名保持前列</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考核排名保持前列</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Merge w:val="continue"/>
            <w:vAlign w:val="center"/>
          </w:tcPr>
          <w:p>
            <w:pPr>
              <w:jc w:val="center"/>
              <w:rPr>
                <w:rFonts w:hint="eastAsia" w:ascii="仿宋" w:hAnsi="仿宋" w:eastAsia="仿宋" w:cs="仿宋"/>
                <w:i w:val="0"/>
                <w:iCs w:val="0"/>
                <w:color w:val="000000"/>
                <w:kern w:val="0"/>
                <w:sz w:val="21"/>
                <w:szCs w:val="21"/>
                <w:u w:val="none"/>
                <w:lang w:val="en-US" w:eastAsia="zh-CN" w:bidi="ar"/>
              </w:rPr>
            </w:pP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可持续影响指标（5分）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提高群众防灾减灾意识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95%</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95%</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1" w:type="dxa"/>
            <w:vMerge w:val="continue"/>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u w:val="none"/>
                <w:lang w:val="en-US" w:eastAsia="zh-CN" w:bidi="ar"/>
              </w:rPr>
            </w:pPr>
          </w:p>
        </w:tc>
        <w:tc>
          <w:tcPr>
            <w:tcW w:w="1071"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满意度指标     （5分）</w:t>
            </w:r>
          </w:p>
        </w:tc>
        <w:tc>
          <w:tcPr>
            <w:tcW w:w="1389"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服务对象满意度指标  （5分）</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信访群众满意度</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bl>
    <w:p>
      <w:pPr>
        <w:widowControl/>
        <w:numPr>
          <w:ilvl w:val="0"/>
          <w:numId w:val="0"/>
        </w:numPr>
        <w:spacing w:line="560" w:lineRule="exact"/>
        <w:ind w:firstLine="640" w:firstLineChars="200"/>
        <w:jc w:val="left"/>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3.未完成的绩效目标</w:t>
      </w:r>
    </w:p>
    <w:tbl>
      <w:tblPr>
        <w:tblStyle w:val="9"/>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071"/>
        <w:gridCol w:w="1389"/>
        <w:gridCol w:w="1770"/>
        <w:gridCol w:w="1320"/>
        <w:gridCol w:w="1305"/>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blHeader/>
          <w:jc w:val="center"/>
        </w:trPr>
        <w:tc>
          <w:tcPr>
            <w:tcW w:w="1051" w:type="dxa"/>
            <w:vAlign w:val="center"/>
          </w:tcPr>
          <w:p>
            <w:pPr>
              <w:widowControl/>
              <w:jc w:val="center"/>
              <w:rPr>
                <w:rFonts w:ascii="仿宋" w:hAnsi="仿宋" w:eastAsia="仿宋"/>
                <w:b/>
                <w:bCs/>
                <w:color w:val="000000"/>
                <w:kern w:val="0"/>
                <w:szCs w:val="21"/>
              </w:rPr>
            </w:pPr>
            <w:r>
              <w:rPr>
                <w:rFonts w:hint="eastAsia" w:ascii="仿宋" w:hAnsi="仿宋" w:eastAsia="仿宋"/>
                <w:b/>
                <w:bCs/>
                <w:color w:val="000000"/>
                <w:kern w:val="0"/>
                <w:szCs w:val="21"/>
              </w:rPr>
              <w:t>目标</w:t>
            </w:r>
          </w:p>
        </w:tc>
        <w:tc>
          <w:tcPr>
            <w:tcW w:w="1071"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一级指标</w:t>
            </w:r>
          </w:p>
        </w:tc>
        <w:tc>
          <w:tcPr>
            <w:tcW w:w="1389"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二级指标</w:t>
            </w:r>
          </w:p>
        </w:tc>
        <w:tc>
          <w:tcPr>
            <w:tcW w:w="1770"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三级指标</w:t>
            </w:r>
          </w:p>
        </w:tc>
        <w:tc>
          <w:tcPr>
            <w:tcW w:w="1320"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年初目标值（A）</w:t>
            </w:r>
          </w:p>
        </w:tc>
        <w:tc>
          <w:tcPr>
            <w:tcW w:w="1305"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实际完成值（B）</w:t>
            </w:r>
          </w:p>
        </w:tc>
        <w:tc>
          <w:tcPr>
            <w:tcW w:w="672" w:type="dxa"/>
            <w:vAlign w:val="center"/>
          </w:tcPr>
          <w:p>
            <w:pPr>
              <w:widowControl/>
              <w:jc w:val="center"/>
              <w:rPr>
                <w:rFonts w:hint="eastAsia" w:ascii="仿宋" w:hAnsi="仿宋" w:eastAsia="仿宋"/>
                <w:b/>
                <w:bCs/>
                <w:color w:val="000000"/>
                <w:kern w:val="0"/>
                <w:szCs w:val="21"/>
              </w:rPr>
            </w:pPr>
            <w:r>
              <w:rPr>
                <w:rFonts w:hint="eastAsia" w:ascii="仿宋" w:hAnsi="仿宋" w:eastAsia="仿宋"/>
                <w:b/>
                <w:bCs/>
                <w:color w:val="000000"/>
                <w:kern w:val="0"/>
                <w:szCs w:val="21"/>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blHeader/>
          <w:jc w:val="center"/>
        </w:trPr>
        <w:tc>
          <w:tcPr>
            <w:tcW w:w="1051"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年度目标1：保民生</w:t>
            </w:r>
          </w:p>
        </w:tc>
        <w:tc>
          <w:tcPr>
            <w:tcW w:w="1071"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产出指标</w:t>
            </w:r>
          </w:p>
        </w:tc>
        <w:tc>
          <w:tcPr>
            <w:tcW w:w="1389"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数量指标</w:t>
            </w:r>
          </w:p>
        </w:tc>
        <w:tc>
          <w:tcPr>
            <w:tcW w:w="177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新建公共停车位个数（5分）</w:t>
            </w:r>
          </w:p>
        </w:tc>
        <w:tc>
          <w:tcPr>
            <w:tcW w:w="13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5000个</w:t>
            </w:r>
          </w:p>
        </w:tc>
        <w:tc>
          <w:tcPr>
            <w:tcW w:w="130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4894个</w:t>
            </w:r>
          </w:p>
        </w:tc>
        <w:tc>
          <w:tcPr>
            <w:tcW w:w="67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4.89 </w:t>
            </w:r>
          </w:p>
        </w:tc>
      </w:tr>
    </w:tbl>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lang w:val="en-US" w:eastAsia="zh-CN"/>
        </w:rPr>
      </w:pPr>
      <w:r>
        <w:rPr>
          <w:rFonts w:hint="eastAsia" w:ascii="楷体" w:hAnsi="楷体" w:eastAsia="楷体" w:cs="楷体"/>
          <w:color w:val="000000"/>
          <w:spacing w:val="0"/>
          <w:w w:val="100"/>
          <w:kern w:val="0"/>
          <w:position w:val="0"/>
          <w:sz w:val="32"/>
          <w:szCs w:val="32"/>
          <w:highlight w:val="none"/>
          <w:lang w:val="en-US" w:eastAsia="zh-CN"/>
        </w:rPr>
        <w:t>（三）存在的问题和原因</w:t>
      </w:r>
    </w:p>
    <w:p>
      <w:pPr>
        <w:widowControl/>
        <w:spacing w:beforeLines="50" w:afterLines="50" w:line="560" w:lineRule="exact"/>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1.本年度预算存在偏差，主要是以下几方面原因：</w:t>
      </w:r>
    </w:p>
    <w:p>
      <w:pPr>
        <w:widowControl/>
        <w:numPr>
          <w:ilvl w:val="0"/>
          <w:numId w:val="0"/>
        </w:numPr>
        <w:ind w:firstLine="640" w:firstLineChars="200"/>
        <w:jc w:val="left"/>
        <w:rPr>
          <w:rFonts w:hint="eastAsia" w:ascii="仿宋" w:hAnsi="仿宋" w:eastAsia="仿宋" w:cs="仿宋"/>
          <w:color w:val="000000"/>
          <w:spacing w:val="0"/>
          <w:w w:val="100"/>
          <w:position w:val="0"/>
          <w:sz w:val="32"/>
          <w:szCs w:val="32"/>
          <w:highlight w:val="none"/>
          <w:lang w:val="en-US" w:eastAsia="zh-CN"/>
        </w:rPr>
      </w:pPr>
      <w:r>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t>①</w:t>
      </w:r>
      <w:r>
        <w:rPr>
          <w:rFonts w:hint="eastAsia" w:ascii="仿宋" w:hAnsi="仿宋" w:eastAsia="仿宋" w:cs="仿宋"/>
          <w:color w:val="000000"/>
          <w:spacing w:val="0"/>
          <w:w w:val="100"/>
          <w:position w:val="0"/>
          <w:sz w:val="32"/>
          <w:szCs w:val="32"/>
          <w:highlight w:val="none"/>
          <w:lang w:val="en-US" w:eastAsia="zh-CN"/>
        </w:rPr>
        <w:t>征地和拆迁补偿支出项目</w:t>
      </w:r>
      <w:r>
        <w:rPr>
          <w:rFonts w:hint="eastAsia" w:ascii="仿宋" w:hAnsi="仿宋" w:eastAsia="仿宋" w:cs="仿宋"/>
          <w:color w:val="000000"/>
          <w:spacing w:val="0"/>
          <w:w w:val="100"/>
          <w:position w:val="0"/>
          <w:sz w:val="32"/>
          <w:szCs w:val="32"/>
          <w:highlight w:val="none"/>
        </w:rPr>
        <w:t>20</w:t>
      </w:r>
      <w:r>
        <w:rPr>
          <w:rFonts w:hint="eastAsia" w:ascii="仿宋" w:hAnsi="仿宋" w:eastAsia="仿宋" w:cs="仿宋"/>
          <w:color w:val="000000"/>
          <w:spacing w:val="0"/>
          <w:w w:val="100"/>
          <w:position w:val="0"/>
          <w:sz w:val="32"/>
          <w:szCs w:val="32"/>
          <w:highlight w:val="none"/>
          <w:lang w:val="en-US" w:eastAsia="zh-CN"/>
        </w:rPr>
        <w:t>21年度</w:t>
      </w:r>
      <w:r>
        <w:rPr>
          <w:rFonts w:hint="eastAsia" w:ascii="仿宋" w:hAnsi="仿宋" w:eastAsia="仿宋" w:cs="仿宋"/>
          <w:color w:val="000000"/>
          <w:spacing w:val="0"/>
          <w:w w:val="100"/>
          <w:position w:val="0"/>
          <w:sz w:val="32"/>
          <w:szCs w:val="32"/>
          <w:highlight w:val="none"/>
        </w:rPr>
        <w:t>年初预算为</w:t>
      </w:r>
      <w:r>
        <w:rPr>
          <w:rFonts w:hint="eastAsia" w:ascii="仿宋" w:hAnsi="仿宋" w:eastAsia="仿宋" w:cs="仿宋"/>
          <w:color w:val="000000"/>
          <w:spacing w:val="0"/>
          <w:w w:val="100"/>
          <w:position w:val="0"/>
          <w:sz w:val="32"/>
          <w:szCs w:val="32"/>
          <w:highlight w:val="none"/>
          <w:lang w:val="en-US" w:eastAsia="zh-CN"/>
        </w:rPr>
        <w:t>25,225.00</w:t>
      </w:r>
      <w:r>
        <w:rPr>
          <w:rFonts w:hint="eastAsia" w:ascii="仿宋" w:hAnsi="仿宋" w:eastAsia="仿宋" w:cs="仿宋"/>
          <w:color w:val="000000"/>
          <w:spacing w:val="0"/>
          <w:w w:val="100"/>
          <w:position w:val="0"/>
          <w:sz w:val="32"/>
          <w:szCs w:val="32"/>
          <w:highlight w:val="none"/>
        </w:rPr>
        <w:t>万元，</w:t>
      </w:r>
      <w:r>
        <w:rPr>
          <w:rFonts w:hint="eastAsia" w:ascii="仿宋" w:hAnsi="仿宋" w:eastAsia="仿宋" w:cs="仿宋"/>
          <w:color w:val="000000"/>
          <w:spacing w:val="0"/>
          <w:w w:val="100"/>
          <w:position w:val="0"/>
          <w:sz w:val="32"/>
          <w:szCs w:val="32"/>
          <w:highlight w:val="none"/>
          <w:lang w:val="en-US" w:eastAsia="zh-CN"/>
        </w:rPr>
        <w:t>经区财政局批复，从此项目中支出土地储备金项目缺口资金4,937.42万元，预算金额调减至20,287.58万元，该项目实际支出为10,361.53万元，</w:t>
      </w:r>
      <w:r>
        <w:rPr>
          <w:rFonts w:hint="eastAsia" w:ascii="仿宋" w:hAnsi="仿宋" w:eastAsia="仿宋" w:cs="仿宋"/>
          <w:color w:val="000000"/>
          <w:spacing w:val="0"/>
          <w:w w:val="100"/>
          <w:position w:val="0"/>
          <w:sz w:val="32"/>
          <w:szCs w:val="32"/>
          <w:highlight w:val="none"/>
        </w:rPr>
        <w:t>实际预算执行率为</w:t>
      </w:r>
      <w:r>
        <w:rPr>
          <w:rFonts w:hint="eastAsia" w:ascii="仿宋" w:hAnsi="仿宋" w:eastAsia="仿宋" w:cs="仿宋"/>
          <w:color w:val="000000"/>
          <w:spacing w:val="0"/>
          <w:w w:val="100"/>
          <w:position w:val="0"/>
          <w:sz w:val="32"/>
          <w:szCs w:val="32"/>
          <w:highlight w:val="none"/>
          <w:lang w:val="en-US" w:eastAsia="zh-CN"/>
        </w:rPr>
        <w:t>51.07</w:t>
      </w:r>
      <w:r>
        <w:rPr>
          <w:rFonts w:hint="eastAsia" w:ascii="仿宋" w:hAnsi="仿宋" w:eastAsia="仿宋" w:cs="仿宋"/>
          <w:color w:val="000000"/>
          <w:spacing w:val="0"/>
          <w:w w:val="100"/>
          <w:position w:val="0"/>
          <w:sz w:val="32"/>
          <w:szCs w:val="32"/>
          <w:highlight w:val="none"/>
          <w:lang w:val="en-US" w:eastAsia="en-US"/>
        </w:rPr>
        <w:t>%</w:t>
      </w:r>
      <w:r>
        <w:rPr>
          <w:rFonts w:hint="eastAsia" w:ascii="仿宋" w:hAnsi="仿宋" w:eastAsia="仿宋" w:cs="仿宋"/>
          <w:color w:val="000000"/>
          <w:spacing w:val="0"/>
          <w:w w:val="100"/>
          <w:position w:val="0"/>
          <w:sz w:val="32"/>
          <w:szCs w:val="32"/>
          <w:highlight w:val="none"/>
          <w:lang w:val="en-US" w:eastAsia="zh-CN"/>
        </w:rPr>
        <w:t>。该项目执行率过低的主要原因为：一是2021年实际支出与土地收储面积息息相关，受各方面原因影响本年度农用地转用低于其他年度量较大；二是由于区政府对土地供应决策进行了调整，经区政府批准另行申请了F类资金用于土地收储相关项目支出，导致预算内相关项目支出减少；三是该项目2021年预算中补偿费6,600.00万元，支出由财政局直接将补偿费拨付给了街道，导致此项预算无法执行，预算执行率过低。</w:t>
      </w:r>
    </w:p>
    <w:p>
      <w:pPr>
        <w:widowControl/>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t>②第三次国土调查</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项目，年初预算192.17万元，实际执行120.48万元，预算时包含了工作经费（宣传、培训等），实际开展过程中，均由上级主管部门组织完成，导致预算执行偏低。</w:t>
      </w:r>
    </w:p>
    <w:p>
      <w:pPr>
        <w:widowControl/>
        <w:numPr>
          <w:ilvl w:val="0"/>
          <w:numId w:val="0"/>
        </w:numPr>
        <w:ind w:firstLine="640" w:firstLineChars="200"/>
        <w:jc w:val="left"/>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t>③土地变更经费</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项目，年初预算28.00万元，实际执行14.95万元，第三次国土调查结束后，年度国土变更调查工作发生较大调整，组织模式和经费预算较往年有较大调整，导致预算执行情况有差异。</w:t>
      </w:r>
    </w:p>
    <w:p>
      <w:pPr>
        <w:widowControl/>
        <w:numPr>
          <w:ilvl w:val="0"/>
          <w:numId w:val="0"/>
        </w:numPr>
        <w:ind w:firstLine="640" w:firstLineChars="200"/>
        <w:jc w:val="left"/>
        <w:rPr>
          <w:rFonts w:hint="default" w:ascii="仿宋" w:hAnsi="仿宋" w:eastAsia="仿宋" w:cs="仿宋"/>
          <w:color w:val="auto"/>
          <w:spacing w:val="0"/>
          <w:w w:val="100"/>
          <w:kern w:val="0"/>
          <w:position w:val="0"/>
          <w:sz w:val="32"/>
          <w:szCs w:val="32"/>
          <w:highlight w:val="yellow"/>
          <w:u w:val="none"/>
          <w:shd w:val="clear" w:color="auto" w:fill="auto"/>
          <w:lang w:val="en-US" w:eastAsia="zh-CN" w:bidi="zh-TW"/>
        </w:rPr>
      </w:pPr>
      <w:r>
        <w:rPr>
          <w:rFonts w:hint="eastAsia" w:ascii="宋体" w:hAnsi="宋体" w:eastAsia="宋体" w:cs="宋体"/>
          <w:color w:val="auto"/>
          <w:spacing w:val="0"/>
          <w:w w:val="100"/>
          <w:kern w:val="0"/>
          <w:position w:val="0"/>
          <w:sz w:val="32"/>
          <w:szCs w:val="32"/>
          <w:highlight w:val="none"/>
          <w:u w:val="none"/>
          <w:shd w:val="clear" w:color="auto" w:fill="auto"/>
          <w:lang w:val="en-US" w:eastAsia="zh-CN" w:bidi="zh-TW"/>
        </w:rPr>
        <w:t>④</w:t>
      </w:r>
      <w:r>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t>信息化建设经费</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项目，年初预算437.00万元，实际执行314.45万元，因我区队执法职能调整，“东西湖区自然资源和规划在线执法信息系统”的需求和细节需调整，项目未能在该年度完成。</w:t>
      </w:r>
    </w:p>
    <w:p>
      <w:pPr>
        <w:widowControl/>
        <w:numPr>
          <w:ilvl w:val="0"/>
          <w:numId w:val="0"/>
        </w:numPr>
        <w:ind w:firstLine="640" w:firstLineChars="200"/>
        <w:jc w:val="left"/>
        <w:rPr>
          <w:rFonts w:hint="default"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 xml:space="preserve"> 2.</w:t>
      </w:r>
      <w:r>
        <w:rPr>
          <w:rFonts w:hint="default" w:ascii="仿宋" w:hAnsi="仿宋" w:eastAsia="仿宋" w:cs="仿宋"/>
          <w:color w:val="auto"/>
          <w:spacing w:val="0"/>
          <w:w w:val="100"/>
          <w:kern w:val="0"/>
          <w:position w:val="0"/>
          <w:sz w:val="32"/>
          <w:szCs w:val="32"/>
          <w:highlight w:val="none"/>
          <w:u w:val="none"/>
          <w:shd w:val="clear" w:color="auto" w:fill="auto"/>
          <w:lang w:val="zh-TW" w:eastAsia="zh-TW" w:bidi="zh-TW"/>
        </w:rPr>
        <w:t>绩效</w:t>
      </w:r>
      <w:r>
        <w:rPr>
          <w:rFonts w:hint="eastAsia" w:ascii="仿宋" w:hAnsi="仿宋" w:eastAsia="仿宋" w:cs="仿宋"/>
          <w:color w:val="auto"/>
          <w:spacing w:val="0"/>
          <w:w w:val="100"/>
          <w:kern w:val="0"/>
          <w:position w:val="0"/>
          <w:sz w:val="32"/>
          <w:szCs w:val="32"/>
          <w:highlight w:val="none"/>
          <w:u w:val="none"/>
          <w:shd w:val="clear" w:color="auto" w:fill="auto"/>
          <w:lang w:val="zh-TW" w:eastAsia="zh-CN" w:bidi="zh-TW"/>
        </w:rPr>
        <w:t>指标设置不合理，</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如整体项目绩效指标中，</w:t>
      </w:r>
      <w:r>
        <w:rPr>
          <w:rFonts w:hint="eastAsia" w:ascii="仿宋" w:hAnsi="仿宋" w:eastAsia="仿宋" w:cs="仿宋"/>
          <w:color w:val="auto"/>
          <w:spacing w:val="0"/>
          <w:w w:val="100"/>
          <w:kern w:val="0"/>
          <w:position w:val="0"/>
          <w:sz w:val="32"/>
          <w:szCs w:val="32"/>
          <w:highlight w:val="none"/>
          <w:u w:val="none"/>
          <w:shd w:val="clear" w:color="auto" w:fill="auto"/>
          <w:lang w:val="zh-TW" w:eastAsia="zh-CN" w:bidi="zh-TW"/>
        </w:rPr>
        <w:t>部分年度目标未设置满意度指标；部分绩效目标值设置不合理，例如数量指标建设用地年度获批总量</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100%（可以将目标值改为具体面积，或者将指标设为“建设用地年度获批率”，指标值设为“100%”）；</w:t>
      </w:r>
      <w:r>
        <w:rPr>
          <w:rFonts w:hint="eastAsia" w:ascii="仿宋" w:hAnsi="仿宋" w:eastAsia="仿宋" w:cs="仿宋"/>
          <w:color w:val="000000"/>
          <w:spacing w:val="0"/>
          <w:w w:val="100"/>
          <w:position w:val="0"/>
          <w:sz w:val="32"/>
          <w:szCs w:val="32"/>
          <w:highlight w:val="none"/>
          <w:lang w:val="en-US" w:eastAsia="zh-CN"/>
        </w:rPr>
        <w:t>征地和拆迁补偿支出项目</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2021年预算包含6,600.00万补偿费，未对此项目支出设置绩效考核指标。</w:t>
      </w:r>
    </w:p>
    <w:p>
      <w:pPr>
        <w:pStyle w:val="18"/>
        <w:keepNext w:val="0"/>
        <w:keepLines w:val="0"/>
        <w:pageBreakBefore w:val="0"/>
        <w:widowControl w:val="0"/>
        <w:shd w:val="clear" w:color="auto" w:fill="auto"/>
        <w:kinsoku/>
        <w:wordWrap/>
        <w:overflowPunct/>
        <w:topLinePunct w:val="0"/>
        <w:autoSpaceDE/>
        <w:autoSpaceDN/>
        <w:bidi w:val="0"/>
        <w:adjustRightInd/>
        <w:spacing w:before="0" w:after="0" w:line="560" w:lineRule="exac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lang w:val="en-US" w:eastAsia="zh-CN"/>
        </w:rPr>
      </w:pPr>
      <w:r>
        <w:rPr>
          <w:rFonts w:hint="eastAsia" w:ascii="楷体" w:hAnsi="楷体" w:eastAsia="楷体" w:cs="楷体"/>
          <w:color w:val="000000"/>
          <w:spacing w:val="0"/>
          <w:w w:val="100"/>
          <w:kern w:val="0"/>
          <w:position w:val="0"/>
          <w:sz w:val="32"/>
          <w:szCs w:val="32"/>
          <w:highlight w:val="none"/>
          <w:lang w:val="en-US" w:eastAsia="zh-CN"/>
        </w:rPr>
        <w:t>（四）下一步拟改进措施</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1.年中根据预算执行情况，对预算进行适当调整。加强各科室《预算法》、《行政单位会计制度》等相关方面的业务培训学习，规范部门预算收支核算，严格按项目和进度执行预算，增强预算的约束力和严肃性。落实预算执行分析，及时了解预算执行差异，合理调整、纠正预算执行偏差，切实提高部门预算收支管理水平。</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2.</w:t>
      </w:r>
      <w:r>
        <w:rPr>
          <w:rFonts w:hint="eastAsia" w:ascii="仿宋" w:hAnsi="仿宋" w:eastAsia="仿宋" w:cs="仿宋"/>
          <w:kern w:val="2"/>
          <w:sz w:val="32"/>
          <w:szCs w:val="32"/>
          <w:highlight w:val="none"/>
          <w:u w:val="none"/>
          <w:shd w:val="clear" w:color="auto" w:fill="auto"/>
          <w:lang w:val="en-US" w:eastAsia="zh-CN" w:bidi="zh-TW"/>
        </w:rPr>
        <w:t>进一步优化和改善指标体系，更科学、全面的制定并细化绩效指标目标值</w:t>
      </w: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根据自身项目特点，优先选择最能反映绩效管理要求的关键性指标。减除不重要的指标，增设项目资金投放比重高的业务产出指标、效益指标。指标值设置需具有挑战性和适当压力性，同时还要考虑绩效目标评价的可操作性。</w:t>
      </w: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p>
    <w:p>
      <w:pPr>
        <w:numPr>
          <w:ilvl w:val="0"/>
          <w:numId w:val="0"/>
        </w:numPr>
        <w:ind w:firstLine="640" w:firstLineChars="200"/>
        <w:jc w:val="left"/>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r>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t>附件：2021年度武汉市东西湖区自然资源和规划局部门整体绩效自评表</w:t>
      </w:r>
    </w:p>
    <w:p>
      <w:pPr>
        <w:pStyle w:val="2"/>
        <w:ind w:left="0" w:leftChars="0" w:firstLine="0" w:firstLineChars="0"/>
        <w:rPr>
          <w:rFonts w:hint="eastAsia" w:ascii="仿宋" w:hAnsi="仿宋" w:eastAsia="仿宋" w:cs="仿宋"/>
          <w:color w:val="auto"/>
          <w:spacing w:val="0"/>
          <w:w w:val="100"/>
          <w:kern w:val="0"/>
          <w:position w:val="0"/>
          <w:sz w:val="32"/>
          <w:szCs w:val="32"/>
          <w:highlight w:val="none"/>
          <w:u w:val="none"/>
          <w:shd w:val="clear" w:color="auto" w:fill="auto"/>
          <w:lang w:val="en-US" w:eastAsia="zh-CN" w:bidi="zh-TW"/>
        </w:rPr>
      </w:pPr>
    </w:p>
    <w:p>
      <w:pPr>
        <w:pStyle w:val="2"/>
        <w:ind w:left="0" w:leftChars="0" w:firstLine="0" w:firstLineChars="0"/>
        <w:rPr>
          <w:rFonts w:hint="eastAsia" w:eastAsia="仿宋" w:cs="仿宋"/>
          <w:color w:val="auto"/>
          <w:spacing w:val="0"/>
          <w:w w:val="100"/>
          <w:kern w:val="0"/>
          <w:position w:val="0"/>
          <w:sz w:val="32"/>
          <w:szCs w:val="32"/>
          <w:highlight w:val="none"/>
          <w:u w:val="none"/>
          <w:shd w:val="clear" w:color="auto" w:fill="auto"/>
          <w:lang w:val="en-US" w:eastAsia="zh-CN" w:bidi="zh-TW"/>
        </w:rPr>
      </w:pPr>
      <w:r>
        <w:rPr>
          <w:rFonts w:hint="eastAsia" w:eastAsia="仿宋" w:cs="仿宋"/>
          <w:color w:val="auto"/>
          <w:spacing w:val="0"/>
          <w:w w:val="100"/>
          <w:kern w:val="0"/>
          <w:position w:val="0"/>
          <w:sz w:val="32"/>
          <w:szCs w:val="32"/>
          <w:highlight w:val="none"/>
          <w:u w:val="none"/>
          <w:shd w:val="clear" w:color="auto" w:fill="auto"/>
          <w:lang w:val="en-US" w:eastAsia="zh-CN" w:bidi="zh-TW"/>
        </w:rPr>
        <w:t xml:space="preserve">                           东西湖区自然资源和规划局</w:t>
      </w:r>
    </w:p>
    <w:p>
      <w:pPr>
        <w:pStyle w:val="2"/>
        <w:ind w:left="0" w:leftChars="0" w:firstLine="0" w:firstLineChars="0"/>
        <w:rPr>
          <w:rFonts w:hint="default" w:eastAsia="仿宋" w:cs="仿宋"/>
          <w:color w:val="auto"/>
          <w:spacing w:val="0"/>
          <w:w w:val="100"/>
          <w:kern w:val="0"/>
          <w:position w:val="0"/>
          <w:sz w:val="32"/>
          <w:szCs w:val="32"/>
          <w:highlight w:val="none"/>
          <w:u w:val="none"/>
          <w:shd w:val="clear" w:color="auto" w:fill="auto"/>
          <w:lang w:val="en-US" w:eastAsia="zh-CN" w:bidi="zh-TW"/>
        </w:rPr>
      </w:pPr>
      <w:r>
        <w:rPr>
          <w:rFonts w:hint="eastAsia" w:eastAsia="仿宋" w:cs="仿宋"/>
          <w:color w:val="auto"/>
          <w:spacing w:val="0"/>
          <w:w w:val="100"/>
          <w:kern w:val="0"/>
          <w:position w:val="0"/>
          <w:sz w:val="32"/>
          <w:szCs w:val="32"/>
          <w:highlight w:val="none"/>
          <w:u w:val="none"/>
          <w:shd w:val="clear" w:color="auto" w:fill="auto"/>
          <w:lang w:val="en-US" w:eastAsia="zh-CN" w:bidi="zh-TW"/>
        </w:rPr>
        <w:t xml:space="preserve">                                 20</w:t>
      </w:r>
      <w:bookmarkStart w:id="1" w:name="_GoBack"/>
      <w:bookmarkEnd w:id="1"/>
      <w:r>
        <w:rPr>
          <w:rFonts w:hint="eastAsia" w:eastAsia="仿宋" w:cs="仿宋"/>
          <w:color w:val="auto"/>
          <w:spacing w:val="0"/>
          <w:w w:val="100"/>
          <w:kern w:val="0"/>
          <w:position w:val="0"/>
          <w:sz w:val="32"/>
          <w:szCs w:val="32"/>
          <w:highlight w:val="none"/>
          <w:u w:val="none"/>
          <w:shd w:val="clear" w:color="auto" w:fill="auto"/>
          <w:lang w:val="en-US" w:eastAsia="zh-CN" w:bidi="zh-TW"/>
        </w:rPr>
        <w:t>22年5月20日</w:t>
      </w:r>
    </w:p>
    <w:sectPr>
      <w:footerReference r:id="rId3" w:type="default"/>
      <w:pgSz w:w="11906" w:h="16838"/>
      <w:pgMar w:top="1440" w:right="1740" w:bottom="1440" w:left="17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宋体"/>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rPr>
      <w:t>-</w:t>
    </w:r>
    <w:r>
      <w:fldChar w:fldCharType="begin"/>
    </w:r>
    <w:r>
      <w:instrText xml:space="preserve">PAGE   \* MERGEFORMAT</w:instrText>
    </w:r>
    <w:r>
      <w:fldChar w:fldCharType="separate"/>
    </w:r>
    <w:r>
      <w:rPr>
        <w:lang w:val="zh-CN"/>
      </w:rPr>
      <w:t>17</w:t>
    </w:r>
    <w:r>
      <w:fldChar w:fldCharType="end"/>
    </w:r>
    <w:r>
      <w:rPr>
        <w:rFonts w:hint="eastAsia"/>
      </w:rPr>
      <w:t>-</w:t>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5NWE4YzVkNzk4MzFjYjMwZmE1ZTdiNWE5Y2VkNWYifQ=="/>
  </w:docVars>
  <w:rsids>
    <w:rsidRoot w:val="00000000"/>
    <w:rsid w:val="02611A2B"/>
    <w:rsid w:val="05631AA7"/>
    <w:rsid w:val="07F91461"/>
    <w:rsid w:val="08DE4133"/>
    <w:rsid w:val="0A2C74B1"/>
    <w:rsid w:val="18473456"/>
    <w:rsid w:val="1DE33EDB"/>
    <w:rsid w:val="26747E2C"/>
    <w:rsid w:val="345A5D9D"/>
    <w:rsid w:val="35204D3A"/>
    <w:rsid w:val="373A6104"/>
    <w:rsid w:val="38420616"/>
    <w:rsid w:val="3E753E87"/>
    <w:rsid w:val="41BA764A"/>
    <w:rsid w:val="430175DF"/>
    <w:rsid w:val="43247792"/>
    <w:rsid w:val="43C20D21"/>
    <w:rsid w:val="44710E45"/>
    <w:rsid w:val="4BFB68A3"/>
    <w:rsid w:val="53D12320"/>
    <w:rsid w:val="53F6571D"/>
    <w:rsid w:val="57BE4FF4"/>
    <w:rsid w:val="5A002A23"/>
    <w:rsid w:val="5CDE618A"/>
    <w:rsid w:val="5EBC7A30"/>
    <w:rsid w:val="649C44F9"/>
    <w:rsid w:val="69F3032C"/>
    <w:rsid w:val="6CEF3F82"/>
    <w:rsid w:val="73DF702B"/>
    <w:rsid w:val="796F5F22"/>
    <w:rsid w:val="7A706B03"/>
    <w:rsid w:val="7B283814"/>
    <w:rsid w:val="7B8F594D"/>
    <w:rsid w:val="7DFF28C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0"/>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 2"/>
    <w:basedOn w:val="3"/>
    <w:qFormat/>
    <w:uiPriority w:val="0"/>
    <w:rPr>
      <w:rFonts w:ascii="仿宋" w:hAnsi="仿宋" w:eastAsia="仿宋_GB2312"/>
      <w:sz w:val="28"/>
      <w:szCs w:val="24"/>
    </w:rPr>
  </w:style>
  <w:style w:type="paragraph" w:customStyle="1" w:styleId="3">
    <w:name w:val="Body Text Indent"/>
    <w:basedOn w:val="1"/>
    <w:qFormat/>
    <w:uiPriority w:val="0"/>
    <w:pPr>
      <w:spacing w:after="120"/>
      <w:ind w:left="420" w:leftChars="200"/>
    </w:pPr>
    <w:rPr>
      <w:rFonts w:ascii="仿宋" w:hAnsi="仿宋" w:eastAsia="仿宋_GB2312"/>
      <w:sz w:val="28"/>
      <w:szCs w:val="24"/>
    </w:rPr>
  </w:style>
  <w:style w:type="paragraph" w:styleId="4">
    <w:name w:val="Document Map"/>
    <w:basedOn w:val="1"/>
    <w:link w:val="19"/>
    <w:semiHidden/>
    <w:unhideWhenUsed/>
    <w:qFormat/>
    <w:uiPriority w:val="99"/>
    <w:rPr>
      <w:rFonts w:ascii="宋体"/>
      <w:sz w:val="18"/>
      <w:szCs w:val="18"/>
    </w:rPr>
  </w:style>
  <w:style w:type="paragraph" w:styleId="5">
    <w:name w:val="Balloon Text"/>
    <w:basedOn w:val="1"/>
    <w:link w:val="25"/>
    <w:semiHidden/>
    <w:unhideWhenUsed/>
    <w:qFormat/>
    <w:uiPriority w:val="99"/>
    <w:rPr>
      <w:sz w:val="18"/>
      <w:szCs w:val="18"/>
    </w:rPr>
  </w:style>
  <w:style w:type="paragraph" w:styleId="6">
    <w:name w:val="footer"/>
    <w:basedOn w:val="1"/>
    <w:link w:val="23"/>
    <w:unhideWhenUsed/>
    <w:qFormat/>
    <w:uiPriority w:val="99"/>
    <w:pPr>
      <w:tabs>
        <w:tab w:val="center" w:pos="4153"/>
        <w:tab w:val="right" w:pos="8306"/>
      </w:tabs>
      <w:snapToGrid w:val="0"/>
      <w:jc w:val="left"/>
    </w:pPr>
    <w:rPr>
      <w:sz w:val="18"/>
      <w:szCs w:val="18"/>
    </w:rPr>
  </w:style>
  <w:style w:type="paragraph" w:styleId="7">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Body Text First Indent 21"/>
    <w:basedOn w:val="12"/>
    <w:qFormat/>
    <w:uiPriority w:val="0"/>
    <w:rPr>
      <w:rFonts w:ascii="仿宋" w:hAnsi="仿宋" w:eastAsia="仿宋_GB2312"/>
      <w:sz w:val="28"/>
      <w:szCs w:val="24"/>
    </w:rPr>
  </w:style>
  <w:style w:type="paragraph" w:customStyle="1" w:styleId="12">
    <w:name w:val="Body Text Indent1"/>
    <w:basedOn w:val="1"/>
    <w:qFormat/>
    <w:uiPriority w:val="0"/>
    <w:pPr>
      <w:spacing w:after="120"/>
      <w:ind w:left="420" w:leftChars="200"/>
    </w:pPr>
    <w:rPr>
      <w:rFonts w:ascii="仿宋" w:hAnsi="仿宋" w:eastAsia="仿宋_GB2312"/>
      <w:sz w:val="28"/>
      <w:szCs w:val="24"/>
    </w:rPr>
  </w:style>
  <w:style w:type="paragraph" w:customStyle="1" w:styleId="13">
    <w:name w:val="样式1"/>
    <w:basedOn w:val="1"/>
    <w:qFormat/>
    <w:uiPriority w:val="0"/>
    <w:pPr>
      <w:spacing w:beforeLines="50" w:afterLines="50" w:line="480" w:lineRule="exact"/>
      <w:ind w:firstLine="560" w:firstLineChars="200"/>
      <w:outlineLvl w:val="0"/>
    </w:pPr>
    <w:rPr>
      <w:rFonts w:ascii="黑体" w:hAnsi="黑体" w:eastAsia="黑体"/>
      <w:sz w:val="28"/>
      <w:szCs w:val="28"/>
    </w:rPr>
  </w:style>
  <w:style w:type="paragraph" w:customStyle="1" w:styleId="14">
    <w:name w:val="样式2"/>
    <w:basedOn w:val="1"/>
    <w:link w:val="20"/>
    <w:qFormat/>
    <w:uiPriority w:val="0"/>
    <w:pPr>
      <w:spacing w:beforeLines="50" w:afterLines="50" w:line="480" w:lineRule="exact"/>
      <w:ind w:firstLine="560" w:firstLineChars="200"/>
      <w:outlineLvl w:val="0"/>
    </w:pPr>
    <w:rPr>
      <w:rFonts w:ascii="楷体" w:hAnsi="楷体" w:eastAsia="楷体"/>
      <w:sz w:val="28"/>
      <w:szCs w:val="28"/>
    </w:rPr>
  </w:style>
  <w:style w:type="paragraph" w:customStyle="1" w:styleId="15">
    <w:name w:val="样式3"/>
    <w:basedOn w:val="1"/>
    <w:link w:val="21"/>
    <w:qFormat/>
    <w:uiPriority w:val="0"/>
    <w:pPr>
      <w:spacing w:before="50" w:afterLines="50" w:line="480" w:lineRule="exact"/>
      <w:ind w:firstLine="560" w:firstLineChars="200"/>
      <w:outlineLvl w:val="0"/>
    </w:pPr>
    <w:rPr>
      <w:rFonts w:ascii="仿宋" w:hAnsi="仿宋" w:eastAsia="仿宋"/>
      <w:sz w:val="28"/>
      <w:szCs w:val="28"/>
    </w:rPr>
  </w:style>
  <w:style w:type="paragraph" w:customStyle="1" w:styleId="16">
    <w:name w:val="List Paragraph"/>
    <w:basedOn w:val="1"/>
    <w:qFormat/>
    <w:uiPriority w:val="34"/>
    <w:pPr>
      <w:ind w:firstLine="420" w:firstLineChars="200"/>
    </w:pPr>
    <w:rPr>
      <w:rFonts w:ascii="Calibri" w:hAnsi="Calibri" w:eastAsia="宋体" w:cs="黑体"/>
      <w:szCs w:val="22"/>
    </w:rPr>
  </w:style>
  <w:style w:type="paragraph" w:customStyle="1" w:styleId="17">
    <w:name w:val="No Spacing"/>
    <w:link w:val="24"/>
    <w:qFormat/>
    <w:uiPriority w:val="1"/>
    <w:rPr>
      <w:rFonts w:ascii="Calibri" w:hAnsi="Calibri" w:eastAsia="宋体" w:cs="黑体"/>
      <w:kern w:val="0"/>
      <w:sz w:val="22"/>
      <w:szCs w:val="22"/>
      <w:lang w:val="en-US" w:eastAsia="zh-CN" w:bidi="ar-SA"/>
    </w:rPr>
  </w:style>
  <w:style w:type="paragraph" w:customStyle="1" w:styleId="18">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character" w:customStyle="1" w:styleId="19">
    <w:name w:val="文档结构图 Char"/>
    <w:basedOn w:val="10"/>
    <w:link w:val="4"/>
    <w:semiHidden/>
    <w:qFormat/>
    <w:uiPriority w:val="99"/>
    <w:rPr>
      <w:rFonts w:ascii="宋体" w:hAnsi="Calibri" w:eastAsia="宋体" w:cs="Times New Roman"/>
      <w:sz w:val="18"/>
      <w:szCs w:val="18"/>
    </w:rPr>
  </w:style>
  <w:style w:type="character" w:customStyle="1" w:styleId="20">
    <w:name w:val="样式2 Char"/>
    <w:basedOn w:val="10"/>
    <w:link w:val="14"/>
    <w:qFormat/>
    <w:uiPriority w:val="0"/>
    <w:rPr>
      <w:rFonts w:ascii="楷体" w:hAnsi="楷体" w:eastAsia="楷体" w:cs="Times New Roman"/>
      <w:sz w:val="28"/>
      <w:szCs w:val="28"/>
    </w:rPr>
  </w:style>
  <w:style w:type="character" w:customStyle="1" w:styleId="21">
    <w:name w:val="样式3 Char"/>
    <w:basedOn w:val="10"/>
    <w:link w:val="15"/>
    <w:qFormat/>
    <w:uiPriority w:val="0"/>
    <w:rPr>
      <w:rFonts w:ascii="仿宋" w:hAnsi="仿宋" w:eastAsia="仿宋" w:cs="Times New Roman"/>
      <w:sz w:val="28"/>
      <w:szCs w:val="28"/>
    </w:rPr>
  </w:style>
  <w:style w:type="character" w:customStyle="1" w:styleId="22">
    <w:name w:val="页眉 Char"/>
    <w:basedOn w:val="10"/>
    <w:link w:val="7"/>
    <w:qFormat/>
    <w:uiPriority w:val="99"/>
    <w:rPr>
      <w:rFonts w:ascii="Calibri" w:hAnsi="Calibri" w:eastAsia="宋体" w:cs="Times New Roman"/>
      <w:sz w:val="18"/>
      <w:szCs w:val="18"/>
    </w:rPr>
  </w:style>
  <w:style w:type="character" w:customStyle="1" w:styleId="23">
    <w:name w:val="页脚 Char"/>
    <w:basedOn w:val="10"/>
    <w:link w:val="6"/>
    <w:qFormat/>
    <w:uiPriority w:val="99"/>
    <w:rPr>
      <w:rFonts w:ascii="Calibri" w:hAnsi="Calibri" w:eastAsia="宋体" w:cs="Times New Roman"/>
      <w:sz w:val="18"/>
      <w:szCs w:val="18"/>
    </w:rPr>
  </w:style>
  <w:style w:type="character" w:customStyle="1" w:styleId="24">
    <w:name w:val="无间隔 Char"/>
    <w:basedOn w:val="10"/>
    <w:link w:val="17"/>
    <w:qFormat/>
    <w:uiPriority w:val="1"/>
    <w:rPr>
      <w:kern w:val="0"/>
      <w:sz w:val="22"/>
    </w:rPr>
  </w:style>
  <w:style w:type="character" w:customStyle="1" w:styleId="25">
    <w:name w:val="批注框文本 Char"/>
    <w:basedOn w:val="10"/>
    <w:link w:val="5"/>
    <w:semiHidden/>
    <w:qFormat/>
    <w:uiPriority w:val="99"/>
    <w:rPr>
      <w:rFonts w:ascii="Calibri" w:hAnsi="Calibri" w:eastAsia="宋体" w:cs="Times New Roman"/>
      <w:sz w:val="18"/>
      <w:szCs w:val="18"/>
    </w:rPr>
  </w:style>
  <w:style w:type="character" w:customStyle="1" w:styleId="26">
    <w:name w:val="font11"/>
    <w:basedOn w:val="10"/>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5706</Words>
  <Characters>6191</Characters>
  <Lines>84</Lines>
  <Paragraphs>23</Paragraphs>
  <TotalTime>105</TotalTime>
  <ScaleCrop>false</ScaleCrop>
  <LinksUpToDate>false</LinksUpToDate>
  <CharactersWithSpaces>6242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2021-04-23T02:00:00Z</dcterms:created>
  <dc:creator>PC</dc:creator>
  <cp:lastModifiedBy>未来</cp:lastModifiedBy>
  <cp:lastPrinted>2022-06-16T01:16:45Z</cp:lastPrinted>
  <dcterms:modified xsi:type="dcterms:W3CDTF">2022-06-16T02:27:50Z</dcterms:modified>
  <dc:title>2020年度武汉临空港经济技术开发区高新技术产业建设管理办公室整体绩效自评结果</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95B80D62EA9440B7A69B6411F1A9F435</vt:lpwstr>
  </property>
</Properties>
</file>