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92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1076"/>
        <w:gridCol w:w="1231"/>
        <w:gridCol w:w="1161"/>
        <w:gridCol w:w="1161"/>
        <w:gridCol w:w="1582"/>
        <w:gridCol w:w="1596"/>
        <w:gridCol w:w="11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99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2021年度武汉市东西湖区自然资源和规划局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部门整体绩效自评表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单位名称：武汉市东西湖区自然资源和规划局                  填报日期：2021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月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单位名称</w:t>
            </w:r>
          </w:p>
        </w:tc>
        <w:tc>
          <w:tcPr>
            <w:tcW w:w="79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武汉市东西湖区自然资源和规划局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基本支出总额</w:t>
            </w:r>
          </w:p>
        </w:tc>
        <w:tc>
          <w:tcPr>
            <w:tcW w:w="3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2823.95</w:t>
            </w:r>
          </w:p>
        </w:tc>
        <w:tc>
          <w:tcPr>
            <w:tcW w:w="31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项目支出总额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131426.94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0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（20分）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项目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预算数（A）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执行数（B）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执行率（B/A）</w:t>
            </w:r>
          </w:p>
        </w:tc>
        <w:tc>
          <w:tcPr>
            <w:tcW w:w="278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（20分*执行率）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部门整体支出总额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147125.86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134250.89 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91.25%</w:t>
            </w:r>
          </w:p>
        </w:tc>
        <w:tc>
          <w:tcPr>
            <w:tcW w:w="27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18.25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年度绩效目标1：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（22分）</w:t>
            </w:r>
          </w:p>
        </w:tc>
        <w:tc>
          <w:tcPr>
            <w:tcW w:w="79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保民生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目标</w:t>
            </w:r>
          </w:p>
        </w:tc>
        <w:tc>
          <w:tcPr>
            <w:tcW w:w="10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2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2322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58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年初目标值（A）</w:t>
            </w:r>
          </w:p>
        </w:tc>
        <w:tc>
          <w:tcPr>
            <w:tcW w:w="15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实际完成值（B）</w:t>
            </w:r>
          </w:p>
        </w:tc>
        <w:tc>
          <w:tcPr>
            <w:tcW w:w="11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产出指标（18分）</w:t>
            </w:r>
          </w:p>
        </w:tc>
        <w:tc>
          <w:tcPr>
            <w:tcW w:w="12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数量指标（10分）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新建公共停车位个数  （5分）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5000个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4894个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4.89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不动产登记发证量  （5分）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10万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12.73万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时效指标 （4分）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人大政协提案办复率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92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成本指标 （4分）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成本控制率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控制在预算内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控制在预算内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92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效益指标（4分）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社会效益指标（4分）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保障耕地安全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保障耕地安全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耕地面积不低于市红线，保障耕地安全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年度绩效目标2：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（28分）</w:t>
            </w:r>
          </w:p>
        </w:tc>
        <w:tc>
          <w:tcPr>
            <w:tcW w:w="79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目标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年初目标值（A）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实际完成值（B）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6" w:type="dxa"/>
            <w:vMerge w:val="restar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产出指标（24分）</w:t>
            </w:r>
          </w:p>
        </w:tc>
        <w:tc>
          <w:tcPr>
            <w:tcW w:w="1231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数量指标（20分）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规划编制项目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个数（5分）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1个</w:t>
            </w:r>
          </w:p>
        </w:tc>
        <w:tc>
          <w:tcPr>
            <w:tcW w:w="159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4个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建设用地年度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获批总量（5分）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建设工程规划许可证的审核办理（5分）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600万平方米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907万平方米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审批档案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电子化率（5分）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90%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91%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成本指标 （4分）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成本控制率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控制在预算内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预算内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效益指标（4分）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经济效益指标（4分）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土地出让金的征收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控制在预算内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已完成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年度绩效目标3：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（30分）</w:t>
            </w:r>
          </w:p>
        </w:tc>
        <w:tc>
          <w:tcPr>
            <w:tcW w:w="79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保权益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目标</w:t>
            </w:r>
          </w:p>
        </w:tc>
        <w:tc>
          <w:tcPr>
            <w:tcW w:w="10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2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2322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58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年初目标值（A）</w:t>
            </w:r>
          </w:p>
        </w:tc>
        <w:tc>
          <w:tcPr>
            <w:tcW w:w="15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实际完成值（B）</w:t>
            </w:r>
          </w:p>
        </w:tc>
        <w:tc>
          <w:tcPr>
            <w:tcW w:w="11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产出指标（15分）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数量指标  （5分）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达到区信访局制发信访事项登记录入考核值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95%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95%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质量指标 （5分）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地质环境监测项目合格率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通过验收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通过验收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成本指标 （5分）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成本控制率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控制在预算内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控制在预算内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效益指标（10分）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社会效益指标（5分）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对外服务水平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考核排名保持前列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考核排名保持前列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可持续影响指标（5分）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提高群众防灾减灾意识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95%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95%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满意度指标（5分）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服务对象满意度指标 （5分）</w:t>
            </w:r>
          </w:p>
        </w:tc>
        <w:tc>
          <w:tcPr>
            <w:tcW w:w="23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信访群众满意度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899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98.14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2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原因分析</w:t>
            </w:r>
          </w:p>
        </w:tc>
        <w:tc>
          <w:tcPr>
            <w:tcW w:w="79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firstLine="40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1.本年度预算存在偏差，主要是以下几方面原因：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①征地和拆迁补偿支出项目2021年度年初预算为25,225.00万元，经区财政局批复，从此项目中支出土地储备金项目缺口资金4,937.42万元，预算金额调减至20,287.58万元，该项目实际支出为10,361.53万元，实际预算执行率为51.07%。该项目执行率过低的主要原因为：一是2021年实际支出与土地收储面积息息相关，受各方面原因影响本年度农用地转用低于其他年度量较大；二是由于区政府对土地供应决策进行了调整，经区政府批准另行申请了F类资金用于土地收储相关项目支出，导致预算内相关项目支出减少；三是该项目2021年预算中补偿费6,600.00万元，支出由财政局直接将补偿费拨付给了街道，导致此项预算无法执行，预算执行率过低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②第三次国土调查项目，年初预算192.17万元，实际执行120.48万元，预算时包含了工作经费（宣传、培训等），实际开展过程中，均由上级主管部门组织完成，导致预算执行偏低。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③土地变更经费项目，年初预算28.00万元，实际执行14.95万元，第三次国土调查结束后，年度国土变更调查工作发生较大调整，组织模式和经费预算较往年有较大调整，导致预算执行情况有差异。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④信息化建设经费项目，年初预算437.00万元，实际执行314.45万元，因我区队执法职能调整，“东西湖区自然资源和规划在线执法信息系统”的需求和细节需调整，项目未能在该年度完成。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firstLine="40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进一步优化和改善指标体系，更科学、全面的制定并细化绩效指标目标值。根据自身项目特点，优先选择最能反映绩效管理要求的关键性指标。减除不重要的指标，增设项目资金投放比重高的业务产出指标、效益指标。指标值设置需具有挑战性和适当压力性，同时还要考虑绩效目标评价的可操作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8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结果应用方案</w:t>
            </w:r>
          </w:p>
        </w:tc>
        <w:tc>
          <w:tcPr>
            <w:tcW w:w="79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0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0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年中根据预算执行情况，对预算进行适当调整。加强各科室《预算法》、《行政单位会计制度》等相关方面的业务培训学习，规范部门预算收支核算，严格按项目和进度执行预算，增强预算的约束力和严肃性。落实预算执行分析，及时了解预算执行差异，合理调整、纠正预算执行偏差，切实提高部门预算收支管理水平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0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进一步优化和改善指标体系，更科学、全面的制定并细化绩效指标目标值。根据自身项目特点，优先选择最能反映绩效管理要求的关键性指标。减除不重要的指标，增设项目资金投放比重高的业务产出指标、效益指标。指标值设置需具有挑战性和适当压力性，同时还要考虑绩效目标评价的可操作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6" w:hRule="atLeast"/>
        </w:trPr>
        <w:tc>
          <w:tcPr>
            <w:tcW w:w="20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签批意见</w:t>
            </w:r>
          </w:p>
        </w:tc>
        <w:tc>
          <w:tcPr>
            <w:tcW w:w="79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99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备注：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1.预算执行情况口径：预算数为调整后财政资金总额（包括上年结余结转），执行数为资金使用单位财政资金实际支出数。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B/A），反向指标（即目标值为≤X，得分=权重*A/B），得分不得突破权重总额。定量指标先汇总完成数，再计算得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/>
    <w:sectPr>
      <w:pgSz w:w="11906" w:h="16838"/>
      <w:pgMar w:top="1440" w:right="1800" w:bottom="1440" w:left="1236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5NWE4YzVkNzk4MzFjYjMwZmE1ZTdiNWE5Y2VkNWYifQ=="/>
  </w:docVars>
  <w:rsids>
    <w:rsidRoot w:val="5D1B2134"/>
    <w:rsid w:val="5D1B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"/>
    <w:basedOn w:val="3"/>
    <w:qFormat/>
    <w:uiPriority w:val="0"/>
    <w:rPr>
      <w:rFonts w:ascii="仿宋" w:hAnsi="仿宋" w:eastAsia="仿宋_GB2312"/>
      <w:sz w:val="28"/>
      <w:szCs w:val="24"/>
    </w:rPr>
  </w:style>
  <w:style w:type="paragraph" w:customStyle="1" w:styleId="3">
    <w:name w:val="Body Text Indent"/>
    <w:basedOn w:val="1"/>
    <w:qFormat/>
    <w:uiPriority w:val="0"/>
    <w:pPr>
      <w:spacing w:after="120"/>
      <w:ind w:left="420" w:leftChars="200"/>
    </w:pPr>
    <w:rPr>
      <w:rFonts w:ascii="仿宋" w:hAnsi="仿宋" w:eastAsia="仿宋_GB231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2022-06-14T03:26:00Z</dcterms:created>
  <dc:creator>老鼠</dc:creator>
  <cp:lastModifiedBy>老鼠</cp:lastModifiedBy>
  <dcterms:modified xsi:type="dcterms:W3CDTF">2022-06-14T03:37:24Z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F3C175F9573D40EC9CB0AED80BADFA66</vt:lpwstr>
  </property>
</Properties>
</file>