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2020年度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不动产登记服务外包项目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项目自评表</w:t>
      </w:r>
    </w:p>
    <w:p>
      <w:pPr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单位名称： </w:t>
      </w:r>
      <w:r>
        <w:rPr>
          <w:rFonts w:hint="eastAsia" w:ascii="楷体_GB2312" w:hAnsi="宋体" w:eastAsia="楷体_GB2312" w:cs="宋体"/>
          <w:color w:val="000000"/>
          <w:sz w:val="24"/>
          <w:szCs w:val="24"/>
        </w:rPr>
        <w:t>东西湖区自然资源和规划局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            填报日期：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1076"/>
        <w:gridCol w:w="241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不动产登记服务外包项目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3141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东西湖区自然资源和规划局</w:t>
            </w:r>
          </w:p>
        </w:tc>
        <w:tc>
          <w:tcPr>
            <w:tcW w:w="236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地籍科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snapToGrid w:val="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snapToGrid w:val="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sym w:font="Wingdings" w:char="00FE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cs="仿宋_GB2312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653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</w:rPr>
              <w:t>956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.</w:t>
            </w:r>
            <w:r>
              <w:rPr>
                <w:rFonts w:hint="eastAsia" w:ascii="宋体" w:hAnsi="宋体" w:cs="Times New Roman"/>
                <w:kern w:val="0"/>
              </w:rPr>
              <w:t>2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</w:t>
            </w:r>
          </w:p>
        </w:tc>
        <w:tc>
          <w:tcPr>
            <w:tcW w:w="1466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146.4%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10.72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完成窗口登记工作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</w:p>
        </w:tc>
        <w:tc>
          <w:tcPr>
            <w:tcW w:w="1466" w:type="dxa"/>
            <w:vAlign w:val="center"/>
          </w:tcPr>
          <w:p>
            <w:pPr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 xml:space="preserve">    100%　　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 xml:space="preserve">   100%　　</w:t>
            </w:r>
          </w:p>
        </w:tc>
        <w:tc>
          <w:tcPr>
            <w:tcW w:w="877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依法依规办理不动产登记业务正确率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100%</w:t>
            </w:r>
          </w:p>
          <w:p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100%</w:t>
            </w:r>
          </w:p>
          <w:p>
            <w:pPr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按时办结率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≥99%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≥99%</w:t>
            </w:r>
          </w:p>
        </w:tc>
        <w:tc>
          <w:tcPr>
            <w:tcW w:w="877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4.95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提前办结率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≥99%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≥99%</w:t>
            </w:r>
          </w:p>
        </w:tc>
        <w:tc>
          <w:tcPr>
            <w:tcW w:w="877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4.95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控制在预算内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超预算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146.4%</w:t>
            </w:r>
          </w:p>
        </w:tc>
        <w:tc>
          <w:tcPr>
            <w:tcW w:w="877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经济效益</w:t>
            </w:r>
          </w:p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满足不动产登记收费标准要求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按不动产登记类型收取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社会效益</w:t>
            </w:r>
          </w:p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服务便民利民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满意度</w:t>
            </w:r>
          </w:p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指标</w:t>
            </w:r>
          </w:p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服务对象满意度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服务群众满意度达98%以上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98%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98%</w:t>
            </w:r>
          </w:p>
        </w:tc>
        <w:tc>
          <w:tcPr>
            <w:tcW w:w="877" w:type="dxa"/>
            <w:vAlign w:val="center"/>
          </w:tcPr>
          <w:p>
            <w:pPr>
              <w:tabs>
                <w:tab w:val="left" w:pos="255"/>
              </w:tabs>
              <w:snapToGrid w:val="0"/>
              <w:ind w:firstLine="210" w:firstLineChars="100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snapToGrid w:val="0"/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85.58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1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窗口业务费用：由于多方原因延迟了招投标工作，导致未及时签订不动产服务外包合同，造成2019年3月27日至2019年6月20日“空窗期”支出1867740.6元；且不动产服务外包项目付款方式由季度付款改为半年付款，以上情况共导致不动产服务外包项目超额支出3032182.99元。</w:t>
            </w:r>
          </w:p>
          <w:p>
            <w:pPr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案件办结率：1.市不动产登记局网络故障;2.政务中心政务服务专网故障：3.二雅路片区电路供电维修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jc w:val="center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今后要提前做好准备工作，按时进行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不动产服务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招投标，避免因招投标不及时导致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不动产服务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“空窗期”，防止因此产生的财政超预算。</w:t>
            </w:r>
          </w:p>
          <w:p>
            <w:pPr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积极与相关部门取得联系，要求及时恢复网络正常办理业务，对于暂时无法受理的采取相关补救措施，避免案件超时。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9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jc w:val="left"/>
              <w:rPr>
                <w:rFonts w:ascii="宋体" w:hAnsi="宋体" w:cs="Times New Roman"/>
                <w:kern w:val="0"/>
              </w:rPr>
            </w:pPr>
          </w:p>
          <w:p>
            <w:pPr>
              <w:jc w:val="left"/>
              <w:rPr>
                <w:rFonts w:ascii="宋体" w:hAnsi="宋体" w:cs="Times New Roman"/>
                <w:kern w:val="0"/>
              </w:rPr>
            </w:pPr>
          </w:p>
          <w:p>
            <w:pPr>
              <w:jc w:val="left"/>
              <w:rPr>
                <w:rFonts w:ascii="宋体" w:hAnsi="宋体" w:cs="Times New Roman"/>
                <w:kern w:val="0"/>
              </w:rPr>
            </w:pPr>
          </w:p>
          <w:p>
            <w:pPr>
              <w:jc w:val="left"/>
              <w:rPr>
                <w:rFonts w:ascii="宋体" w:hAnsi="宋体" w:cs="Times New Roman"/>
                <w:kern w:val="0"/>
              </w:rPr>
            </w:pPr>
          </w:p>
          <w:p>
            <w:pPr>
              <w:jc w:val="left"/>
              <w:rPr>
                <w:rFonts w:ascii="宋体" w:hAnsi="宋体" w:cs="Times New Roman"/>
                <w:kern w:val="0"/>
              </w:rPr>
            </w:pPr>
          </w:p>
          <w:p>
            <w:pPr>
              <w:jc w:val="left"/>
              <w:rPr>
                <w:rFonts w:ascii="宋体" w:hAnsi="宋体" w:cs="Times New Roman"/>
                <w:kern w:val="0"/>
              </w:rPr>
            </w:pPr>
          </w:p>
          <w:p>
            <w:pPr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 xml:space="preserve">  </w:t>
            </w:r>
          </w:p>
          <w:p>
            <w:pPr>
              <w:ind w:firstLine="4200" w:firstLineChars="20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 xml:space="preserve">签名：               </w:t>
            </w:r>
          </w:p>
          <w:p>
            <w:pPr>
              <w:ind w:firstLine="2100" w:firstLineChars="10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 xml:space="preserve"> </w:t>
            </w:r>
          </w:p>
          <w:p>
            <w:pPr>
              <w:ind w:firstLine="4620" w:firstLineChars="22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年      月      日</w:t>
            </w:r>
          </w:p>
          <w:p>
            <w:pPr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 xml:space="preserve"> </w:t>
            </w:r>
          </w:p>
        </w:tc>
      </w:tr>
    </w:tbl>
    <w:p>
      <w:pPr>
        <w:rPr>
          <w:rFonts w:ascii="宋体" w:hAnsi="宋体" w:cs="Times New Roman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ind w:firstLine="420" w:firstLineChars="200"/>
        <w:rPr>
          <w:rFonts w:ascii="宋体" w:hAnsi="宋体" w:cs="Times New Roman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ind w:firstLine="420" w:firstLineChars="20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hint="eastAsia" w:ascii="宋体" w:hAnsi="宋体" w:cs="仿宋_GB2312"/>
          <w:kern w:val="0"/>
        </w:rPr>
        <w:t>，得分不得突破权重总额。定量指标先汇总完成数，再计算得分。</w:t>
      </w:r>
      <w:r>
        <w:rPr>
          <w:rFonts w:ascii="宋体" w:hAnsi="宋体" w:cs="仿宋_GB2312"/>
          <w:kern w:val="0"/>
        </w:rPr>
        <w:t>3.</w:t>
      </w:r>
      <w:r>
        <w:rPr>
          <w:rFonts w:hint="eastAsia" w:ascii="宋体" w:hAnsi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hint="eastAsia" w:ascii="宋体" w:hAnsi="宋体" w:cs="仿宋_GB2312"/>
          <w:kern w:val="0"/>
        </w:rPr>
        <w:t>%合理确定分值。汇总时，以资金额度为权重，对分值进行加权平均计算。</w:t>
      </w:r>
    </w:p>
    <w:p>
      <w:pPr>
        <w:ind w:firstLine="420" w:firstLineChars="200"/>
        <w:rPr>
          <w:rFonts w:ascii="宋体" w:hAnsi="宋体" w:cs="Times New Roman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sectPr>
      <w:headerReference r:id="rId3" w:type="default"/>
      <w:pgSz w:w="12240" w:h="15840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宋体-方正超大字符集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2EC1"/>
    <w:rsid w:val="00563A93"/>
    <w:rsid w:val="006F0D28"/>
    <w:rsid w:val="007B2EC1"/>
    <w:rsid w:val="008954EC"/>
    <w:rsid w:val="00A15751"/>
    <w:rsid w:val="00AD3A6B"/>
    <w:rsid w:val="00BE37DA"/>
    <w:rsid w:val="00FE1E65"/>
    <w:rsid w:val="01076A0B"/>
    <w:rsid w:val="062B6804"/>
    <w:rsid w:val="12ED5E1C"/>
    <w:rsid w:val="13C63E1F"/>
    <w:rsid w:val="149E76CA"/>
    <w:rsid w:val="1C2C66E1"/>
    <w:rsid w:val="246E4D6B"/>
    <w:rsid w:val="2D3C3CCF"/>
    <w:rsid w:val="416D3129"/>
    <w:rsid w:val="44CE4C93"/>
    <w:rsid w:val="48FE7C8E"/>
    <w:rsid w:val="49FE751C"/>
    <w:rsid w:val="5339340F"/>
    <w:rsid w:val="543A10D7"/>
    <w:rsid w:val="5E631186"/>
    <w:rsid w:val="5F300338"/>
    <w:rsid w:val="60FC3B81"/>
    <w:rsid w:val="6B8A1271"/>
    <w:rsid w:val="71624DFB"/>
    <w:rsid w:val="734B571D"/>
    <w:rsid w:val="7A973EBD"/>
    <w:rsid w:val="7F96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215</Words>
  <Characters>1226</Characters>
  <Lines>10</Lines>
  <Paragraphs>2</Paragraphs>
  <TotalTime>65</TotalTime>
  <ScaleCrop>false</ScaleCrop>
  <LinksUpToDate>false</LinksUpToDate>
  <CharactersWithSpaces>1439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未来</cp:lastModifiedBy>
  <cp:lastPrinted>2021-04-14T07:19:00Z</cp:lastPrinted>
  <dcterms:modified xsi:type="dcterms:W3CDTF">2021-06-29T09:25:12Z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