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20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东西湖区</w:t>
      </w:r>
      <w:r>
        <w:rPr>
          <w:rFonts w:hint="eastAsia" w:ascii="方正小标宋简体" w:hAnsi="方正小标宋简体" w:eastAsia="方正小标宋简体" w:cs="方正小标宋简体"/>
          <w:b w:val="0"/>
          <w:bCs w:val="0"/>
          <w:sz w:val="44"/>
          <w:szCs w:val="44"/>
          <w:lang w:val="en-US" w:eastAsia="zh-CN"/>
        </w:rPr>
        <w:t>住房和城市更新</w:t>
      </w:r>
      <w:r>
        <w:rPr>
          <w:rFonts w:hint="eastAsia" w:ascii="方正小标宋简体" w:hAnsi="方正小标宋简体" w:eastAsia="方正小标宋简体" w:cs="方正小标宋简体"/>
          <w:b w:val="0"/>
          <w:bCs w:val="0"/>
          <w:sz w:val="44"/>
          <w:szCs w:val="44"/>
        </w:rPr>
        <w:t>局</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招标文件</w:t>
      </w:r>
    </w:p>
    <w:p w14:paraId="343EF6EB">
      <w:pPr>
        <w:jc w:val="center"/>
        <w:rPr>
          <w:rFonts w:hint="eastAsia" w:ascii="方正小标宋简体" w:hAnsi="方正小标宋简体" w:eastAsia="方正小标宋简体" w:cs="方正小标宋简体"/>
          <w:sz w:val="36"/>
          <w:szCs w:val="36"/>
        </w:rPr>
      </w:pPr>
    </w:p>
    <w:p w14:paraId="2A22EBD7">
      <w:pPr>
        <w:jc w:val="center"/>
        <w:rPr>
          <w:rFonts w:hint="eastAsia" w:ascii="方正小标宋简体" w:hAnsi="方正小标宋简体" w:eastAsia="方正小标宋简体" w:cs="方正小标宋简体"/>
          <w:sz w:val="36"/>
          <w:szCs w:val="36"/>
        </w:rPr>
      </w:pPr>
    </w:p>
    <w:p w14:paraId="0D9FC24D">
      <w:pPr>
        <w:keepNext w:val="0"/>
        <w:keepLines w:val="0"/>
        <w:pageBreakBefore w:val="0"/>
        <w:widowControl w:val="0"/>
        <w:kinsoku/>
        <w:wordWrap/>
        <w:overflowPunct/>
        <w:topLinePunct w:val="0"/>
        <w:autoSpaceDE/>
        <w:autoSpaceDN/>
        <w:bidi w:val="0"/>
        <w:adjustRightInd/>
        <w:snapToGrid/>
        <w:ind w:left="1979" w:leftChars="171" w:hanging="1620" w:hangingChars="450"/>
        <w:jc w:val="left"/>
        <w:textAlignment w:val="auto"/>
        <w:rPr>
          <w:rFonts w:hint="eastAsia" w:ascii="仿宋_GB2312" w:hAnsi="仿宋_GB2312" w:eastAsia="仿宋_GB2312" w:cs="仿宋_GB2312"/>
          <w:b w:val="0"/>
          <w:bCs w:val="0"/>
          <w:sz w:val="36"/>
          <w:szCs w:val="36"/>
          <w:highlight w:val="none"/>
          <w:u w:val="single"/>
          <w:lang w:val="en-US" w:eastAsia="zh-CN"/>
        </w:rPr>
      </w:pPr>
      <w:r>
        <w:rPr>
          <w:rFonts w:hint="eastAsia" w:ascii="仿宋_GB2312" w:hAnsi="仿宋_GB2312" w:eastAsia="仿宋_GB2312" w:cs="仿宋_GB2312"/>
          <w:sz w:val="36"/>
          <w:szCs w:val="36"/>
          <w:highlight w:val="none"/>
        </w:rPr>
        <w:t>项目名称</w:t>
      </w:r>
      <w:r>
        <w:rPr>
          <w:rFonts w:hint="eastAsia" w:ascii="仿宋_GB2312" w:hAnsi="仿宋_GB2312" w:eastAsia="仿宋_GB2312" w:cs="仿宋_GB2312"/>
          <w:sz w:val="36"/>
          <w:szCs w:val="36"/>
          <w:highlight w:val="none"/>
          <w:lang w:val="en-US" w:eastAsia="zh-CN"/>
        </w:rPr>
        <w:t>:</w:t>
      </w:r>
      <w:r>
        <w:rPr>
          <w:rFonts w:hint="eastAsia" w:ascii="仿宋_GB2312" w:hAnsi="仿宋_GB2312" w:eastAsia="仿宋_GB2312" w:cs="仿宋_GB2312"/>
          <w:b w:val="0"/>
          <w:bCs w:val="0"/>
          <w:sz w:val="36"/>
          <w:szCs w:val="36"/>
          <w:highlight w:val="none"/>
          <w:u w:val="single"/>
          <w:lang w:val="en-US" w:eastAsia="zh-CN"/>
        </w:rPr>
        <w:t>东西湖区公园绿地生态空间综合利用项目资源现状调查及产业分析咨询编制服务</w:t>
      </w:r>
    </w:p>
    <w:p w14:paraId="448E4D38">
      <w:pPr>
        <w:jc w:val="left"/>
        <w:rPr>
          <w:rFonts w:hint="eastAsia" w:ascii="仿宋_GB2312" w:hAnsi="仿宋_GB2312" w:eastAsia="仿宋_GB2312" w:cs="仿宋_GB2312"/>
          <w:sz w:val="36"/>
          <w:szCs w:val="36"/>
          <w:highlight w:val="none"/>
          <w:u w:val="single"/>
        </w:rPr>
      </w:pPr>
    </w:p>
    <w:p w14:paraId="583B49A3">
      <w:pPr>
        <w:ind w:firstLine="360" w:firstLineChars="100"/>
        <w:jc w:val="left"/>
        <w:rPr>
          <w:rFonts w:hint="eastAsia" w:ascii="仿宋_GB2312" w:hAnsi="仿宋_GB2312" w:eastAsia="仿宋_GB2312" w:cs="仿宋_GB2312"/>
          <w:sz w:val="36"/>
          <w:szCs w:val="36"/>
          <w:highlight w:val="none"/>
          <w:u w:val="single" w:color="auto"/>
          <w:lang w:val="en-US" w:eastAsia="zh-CN"/>
        </w:rPr>
      </w:pPr>
      <w:r>
        <w:rPr>
          <w:rStyle w:val="9"/>
          <w:rFonts w:hint="eastAsia" w:ascii="仿宋_GB2312" w:hAnsi="仿宋_GB2312" w:eastAsia="仿宋_GB2312" w:cs="仿宋_GB2312"/>
          <w:kern w:val="2"/>
          <w:sz w:val="36"/>
          <w:szCs w:val="36"/>
        </w:rPr>
        <w:t>招标人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武汉市东西湖区住房和城市更新局</w:t>
      </w:r>
    </w:p>
    <w:p w14:paraId="4A83C376">
      <w:pPr>
        <w:ind w:firstLine="720" w:firstLineChars="200"/>
        <w:jc w:val="left"/>
        <w:rPr>
          <w:rFonts w:hint="eastAsia" w:ascii="仿宋_GB2312" w:hAnsi="仿宋_GB2312" w:eastAsia="仿宋_GB2312" w:cs="仿宋_GB2312"/>
          <w:sz w:val="36"/>
          <w:szCs w:val="36"/>
          <w:highlight w:val="none"/>
          <w:u w:val="single" w:color="auto"/>
          <w:lang w:val="en-US" w:eastAsia="zh-CN"/>
        </w:rPr>
      </w:pPr>
    </w:p>
    <w:p w14:paraId="6020D418">
      <w:pPr>
        <w:ind w:firstLine="360" w:firstLineChars="100"/>
        <w:jc w:val="left"/>
        <w:rPr>
          <w:rStyle w:val="9"/>
          <w:rFonts w:hint="eastAsia" w:ascii="仿宋_GB2312" w:hAnsi="仿宋_GB2312" w:eastAsia="仿宋_GB2312" w:cs="仿宋_GB2312"/>
          <w:kern w:val="2"/>
          <w:sz w:val="36"/>
          <w:szCs w:val="36"/>
          <w:u w:val="single"/>
        </w:rPr>
      </w:pPr>
      <w:r>
        <w:rPr>
          <w:rStyle w:val="9"/>
          <w:rFonts w:hint="eastAsia" w:ascii="仿宋_GB2312" w:hAnsi="仿宋_GB2312" w:eastAsia="仿宋_GB2312" w:cs="仿宋_GB2312"/>
          <w:kern w:val="2"/>
          <w:sz w:val="36"/>
          <w:szCs w:val="36"/>
        </w:rPr>
        <w:t>经办人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 xml:space="preserve">   郑莹    </w:t>
      </w:r>
      <w:r>
        <w:rPr>
          <w:rFonts w:hint="eastAsia" w:ascii="仿宋_GB2312" w:hAnsi="仿宋_GB2312" w:eastAsia="仿宋_GB2312" w:cs="仿宋_GB2312"/>
          <w:sz w:val="36"/>
          <w:szCs w:val="36"/>
          <w:highlight w:val="none"/>
          <w:u w:val="none" w:color="auto"/>
          <w:lang w:val="en-US" w:eastAsia="zh-CN"/>
        </w:rPr>
        <w:t xml:space="preserve"> </w:t>
      </w:r>
      <w:r>
        <w:rPr>
          <w:rStyle w:val="9"/>
          <w:rFonts w:hint="eastAsia" w:ascii="仿宋_GB2312" w:hAnsi="仿宋_GB2312" w:eastAsia="仿宋_GB2312" w:cs="仿宋_GB2312"/>
          <w:kern w:val="2"/>
          <w:sz w:val="36"/>
          <w:szCs w:val="36"/>
        </w:rPr>
        <w:t>联系电</w:t>
      </w:r>
      <w:r>
        <w:rPr>
          <w:rStyle w:val="9"/>
          <w:rFonts w:hint="eastAsia" w:ascii="仿宋_GB2312" w:hAnsi="仿宋_GB2312" w:eastAsia="仿宋_GB2312" w:cs="仿宋_GB2312"/>
          <w:kern w:val="2"/>
          <w:sz w:val="36"/>
          <w:szCs w:val="36"/>
          <w:lang w:eastAsia="zh-CN"/>
        </w:rPr>
        <w:t>话：</w:t>
      </w:r>
      <w:r>
        <w:rPr>
          <w:rStyle w:val="9"/>
          <w:rFonts w:hint="eastAsia" w:ascii="仿宋_GB2312" w:hAnsi="仿宋_GB2312" w:eastAsia="仿宋_GB2312" w:cs="仿宋_GB2312"/>
          <w:kern w:val="2"/>
          <w:sz w:val="36"/>
          <w:szCs w:val="36"/>
          <w:u w:val="single"/>
          <w:lang w:val="en-US" w:eastAsia="zh-CN"/>
        </w:rPr>
        <w:t xml:space="preserve"> </w:t>
      </w:r>
      <w:r>
        <w:rPr>
          <w:rFonts w:hint="eastAsia" w:ascii="Times New Roman" w:hAnsi="Times New Roman" w:eastAsia="仿宋_GB2312" w:cs="Times New Roman"/>
          <w:sz w:val="36"/>
          <w:szCs w:val="36"/>
          <w:highlight w:val="none"/>
          <w:u w:val="single"/>
        </w:rPr>
        <w:t>027-</w:t>
      </w:r>
      <w:r>
        <w:rPr>
          <w:rFonts w:hint="eastAsia" w:ascii="Times New Roman" w:hAnsi="Times New Roman" w:eastAsia="仿宋_GB2312" w:cs="Times New Roman"/>
          <w:sz w:val="36"/>
          <w:szCs w:val="36"/>
          <w:highlight w:val="none"/>
          <w:u w:val="single"/>
          <w:lang w:val="en-US" w:eastAsia="zh-CN"/>
        </w:rPr>
        <w:t xml:space="preserve">83251962 </w:t>
      </w:r>
      <w:r>
        <w:rPr>
          <w:rStyle w:val="9"/>
          <w:rFonts w:hint="eastAsia" w:ascii="仿宋_GB2312" w:hAnsi="仿宋_GB2312" w:eastAsia="仿宋_GB2312" w:cs="仿宋_GB2312"/>
          <w:kern w:val="2"/>
          <w:sz w:val="36"/>
          <w:szCs w:val="36"/>
          <w:u w:val="single" w:color="000000"/>
          <w:lang w:val="en-US" w:eastAsia="zh-CN"/>
        </w:rPr>
        <w:t xml:space="preserve"> </w:t>
      </w:r>
    </w:p>
    <w:p w14:paraId="4AF82215">
      <w:pPr>
        <w:jc w:val="left"/>
        <w:rPr>
          <w:rStyle w:val="9"/>
          <w:rFonts w:hint="eastAsia" w:ascii="仿宋_GB2312" w:hAnsi="仿宋_GB2312" w:eastAsia="仿宋_GB2312" w:cs="仿宋_GB2312"/>
          <w:kern w:val="2"/>
          <w:sz w:val="36"/>
          <w:szCs w:val="36"/>
        </w:rPr>
      </w:pPr>
    </w:p>
    <w:p w14:paraId="67B64923">
      <w:pPr>
        <w:ind w:firstLine="360" w:firstLineChars="100"/>
        <w:jc w:val="left"/>
        <w:rPr>
          <w:rFonts w:hint="eastAsia" w:ascii="仿宋_GB2312" w:hAnsi="仿宋_GB2312" w:eastAsia="仿宋_GB2312" w:cs="仿宋_GB2312"/>
          <w:sz w:val="36"/>
          <w:szCs w:val="36"/>
          <w:highlight w:val="none"/>
          <w:u w:val="single" w:color="auto"/>
          <w:lang w:val="en-US" w:eastAsia="zh-CN"/>
        </w:rPr>
      </w:pPr>
      <w:r>
        <w:rPr>
          <w:rStyle w:val="9"/>
          <w:rFonts w:hint="eastAsia" w:ascii="仿宋_GB2312" w:hAnsi="仿宋_GB2312" w:eastAsia="仿宋_GB2312" w:cs="仿宋_GB2312"/>
          <w:kern w:val="2"/>
          <w:sz w:val="36"/>
          <w:szCs w:val="36"/>
        </w:rPr>
        <w:t>负责人</w:t>
      </w:r>
      <w:r>
        <w:rPr>
          <w:rStyle w:val="9"/>
          <w:rFonts w:hint="eastAsia" w:ascii="仿宋_GB2312" w:hAnsi="仿宋_GB2312" w:eastAsia="仿宋_GB2312" w:cs="仿宋_GB2312"/>
          <w:kern w:val="2"/>
          <w:sz w:val="36"/>
          <w:szCs w:val="36"/>
          <w:lang w:val="en-US" w:eastAsia="zh-CN"/>
        </w:rPr>
        <w:t>:</w:t>
      </w:r>
      <w:r>
        <w:rPr>
          <w:rFonts w:hint="eastAsia" w:ascii="仿宋_GB2312" w:hAnsi="仿宋_GB2312" w:eastAsia="仿宋_GB2312" w:cs="仿宋_GB2312"/>
          <w:sz w:val="36"/>
          <w:szCs w:val="36"/>
          <w:highlight w:val="none"/>
          <w:u w:val="single" w:color="auto"/>
          <w:lang w:val="en-US" w:eastAsia="zh-CN"/>
        </w:rPr>
        <w:t xml:space="preserve">  尹锦程   </w:t>
      </w:r>
      <w:r>
        <w:rPr>
          <w:rFonts w:hint="eastAsia" w:ascii="仿宋_GB2312" w:hAnsi="仿宋_GB2312" w:eastAsia="仿宋_GB2312" w:cs="仿宋_GB2312"/>
          <w:sz w:val="36"/>
          <w:szCs w:val="36"/>
          <w:highlight w:val="none"/>
          <w:u w:val="none" w:color="auto"/>
          <w:lang w:val="en-US" w:eastAsia="zh-CN"/>
        </w:rPr>
        <w:t xml:space="preserve"> </w:t>
      </w:r>
      <w:r>
        <w:rPr>
          <w:rStyle w:val="9"/>
          <w:rFonts w:hint="eastAsia" w:ascii="仿宋_GB2312" w:hAnsi="仿宋_GB2312" w:eastAsia="仿宋_GB2312" w:cs="仿宋_GB2312"/>
          <w:kern w:val="2"/>
          <w:sz w:val="36"/>
          <w:szCs w:val="36"/>
        </w:rPr>
        <w:t>联系电话</w:t>
      </w:r>
      <w:r>
        <w:rPr>
          <w:rStyle w:val="9"/>
          <w:rFonts w:hint="eastAsia" w:ascii="仿宋_GB2312" w:hAnsi="仿宋_GB2312" w:eastAsia="仿宋_GB2312" w:cs="仿宋_GB2312"/>
          <w:kern w:val="2"/>
          <w:sz w:val="36"/>
          <w:szCs w:val="36"/>
          <w:lang w:val="en-US" w:eastAsia="zh-CN"/>
        </w:rPr>
        <w:t xml:space="preserve">: </w:t>
      </w:r>
      <w:r>
        <w:rPr>
          <w:rStyle w:val="9"/>
          <w:rFonts w:hint="eastAsia" w:ascii="仿宋_GB2312" w:hAnsi="仿宋_GB2312" w:eastAsia="仿宋_GB2312" w:cs="仿宋_GB2312"/>
          <w:kern w:val="2"/>
          <w:sz w:val="36"/>
          <w:szCs w:val="36"/>
          <w:u w:val="single"/>
          <w:lang w:val="en-US" w:eastAsia="zh-CN"/>
        </w:rPr>
        <w:t xml:space="preserve"> </w:t>
      </w:r>
      <w:r>
        <w:rPr>
          <w:rFonts w:hint="eastAsia" w:ascii="Times New Roman" w:hAnsi="Times New Roman" w:eastAsia="仿宋_GB2312" w:cs="Times New Roman"/>
          <w:sz w:val="36"/>
          <w:szCs w:val="36"/>
          <w:highlight w:val="none"/>
          <w:u w:val="single"/>
        </w:rPr>
        <w:t>027-83</w:t>
      </w:r>
      <w:r>
        <w:rPr>
          <w:rFonts w:hint="eastAsia" w:ascii="Times New Roman" w:hAnsi="Times New Roman" w:eastAsia="仿宋_GB2312" w:cs="Times New Roman"/>
          <w:sz w:val="36"/>
          <w:szCs w:val="36"/>
          <w:highlight w:val="none"/>
          <w:u w:val="single"/>
          <w:lang w:val="en-US" w:eastAsia="zh-CN"/>
        </w:rPr>
        <w:t>89</w:t>
      </w:r>
      <w:r>
        <w:rPr>
          <w:rFonts w:hint="eastAsia" w:ascii="Times New Roman" w:hAnsi="Times New Roman" w:eastAsia="仿宋_GB2312" w:cs="Times New Roman"/>
          <w:sz w:val="36"/>
          <w:szCs w:val="36"/>
          <w:highlight w:val="none"/>
          <w:u w:val="single"/>
        </w:rPr>
        <w:t>06</w:t>
      </w:r>
      <w:r>
        <w:rPr>
          <w:rFonts w:hint="eastAsia" w:ascii="Times New Roman" w:hAnsi="Times New Roman" w:eastAsia="仿宋_GB2312" w:cs="Times New Roman"/>
          <w:sz w:val="36"/>
          <w:szCs w:val="36"/>
          <w:highlight w:val="none"/>
          <w:u w:val="single"/>
          <w:lang w:val="en-US" w:eastAsia="zh-CN"/>
        </w:rPr>
        <w:t>17</w:t>
      </w:r>
      <w:r>
        <w:rPr>
          <w:rStyle w:val="9"/>
          <w:rFonts w:hint="eastAsia" w:ascii="仿宋_GB2312" w:hAnsi="仿宋_GB2312" w:eastAsia="仿宋_GB2312" w:cs="仿宋_GB2312"/>
          <w:kern w:val="2"/>
          <w:sz w:val="36"/>
          <w:szCs w:val="36"/>
          <w:u w:val="single" w:color="000000"/>
        </w:rPr>
        <w:t xml:space="preserve"> </w:t>
      </w:r>
      <w:r>
        <w:rPr>
          <w:rFonts w:hint="eastAsia" w:ascii="仿宋_GB2312" w:hAnsi="仿宋_GB2312" w:eastAsia="仿宋_GB2312" w:cs="仿宋_GB2312"/>
          <w:sz w:val="36"/>
          <w:szCs w:val="36"/>
          <w:highlight w:val="none"/>
          <w:u w:val="single" w:color="auto"/>
          <w:lang w:val="en-US" w:eastAsia="zh-CN"/>
        </w:rPr>
        <w:t xml:space="preserve"> </w:t>
      </w:r>
    </w:p>
    <w:p w14:paraId="5749BCB6">
      <w:pPr>
        <w:ind w:firstLine="720"/>
        <w:jc w:val="center"/>
        <w:rPr>
          <w:rFonts w:hint="default" w:ascii="仿宋_GB2312" w:hAnsi="仿宋_GB2312" w:eastAsia="仿宋_GB2312" w:cs="仿宋_GB2312"/>
          <w:sz w:val="36"/>
          <w:szCs w:val="36"/>
          <w:highlight w:val="none"/>
          <w:u w:val="single" w:color="auto"/>
          <w:lang w:val="en-US" w:eastAsia="zh-CN"/>
        </w:rPr>
      </w:pPr>
    </w:p>
    <w:p w14:paraId="22119FAB">
      <w:pPr>
        <w:ind w:firstLine="720"/>
        <w:jc w:val="center"/>
        <w:rPr>
          <w:rFonts w:hint="default" w:ascii="仿宋_GB2312" w:hAnsi="仿宋_GB2312" w:eastAsia="仿宋_GB2312" w:cs="仿宋_GB2312"/>
          <w:sz w:val="36"/>
          <w:szCs w:val="36"/>
          <w:highlight w:val="none"/>
          <w:u w:val="single" w:color="auto"/>
          <w:lang w:val="en-US" w:eastAsia="zh-CN"/>
        </w:rPr>
      </w:pPr>
    </w:p>
    <w:p w14:paraId="18F7232B">
      <w:pPr>
        <w:ind w:firstLine="720"/>
        <w:jc w:val="center"/>
        <w:rPr>
          <w:rFonts w:hint="default" w:ascii="仿宋_GB2312" w:hAnsi="仿宋_GB2312" w:eastAsia="仿宋_GB2312" w:cs="仿宋_GB2312"/>
          <w:sz w:val="36"/>
          <w:szCs w:val="36"/>
          <w:highlight w:val="none"/>
          <w:u w:val="single" w:color="auto"/>
          <w:lang w:val="en-US" w:eastAsia="zh-CN"/>
        </w:rPr>
      </w:pPr>
    </w:p>
    <w:p w14:paraId="215B19FA">
      <w:pPr>
        <w:ind w:firstLine="720"/>
        <w:jc w:val="center"/>
        <w:rPr>
          <w:rFonts w:hint="default" w:ascii="仿宋_GB2312" w:hAnsi="仿宋_GB2312" w:eastAsia="仿宋_GB2312" w:cs="仿宋_GB2312"/>
          <w:sz w:val="36"/>
          <w:szCs w:val="36"/>
          <w:highlight w:val="none"/>
          <w:u w:val="single" w:color="auto"/>
          <w:lang w:val="en-US" w:eastAsia="zh-CN"/>
        </w:rPr>
      </w:pPr>
    </w:p>
    <w:p w14:paraId="52E8A69A">
      <w:pPr>
        <w:ind w:firstLine="720"/>
        <w:jc w:val="center"/>
        <w:rPr>
          <w:rFonts w:hint="default" w:ascii="仿宋_GB2312" w:hAnsi="仿宋_GB2312" w:eastAsia="仿宋_GB2312" w:cs="仿宋_GB2312"/>
          <w:sz w:val="36"/>
          <w:szCs w:val="36"/>
          <w:highlight w:val="none"/>
          <w:u w:val="single" w:color="auto"/>
          <w:lang w:val="en-US" w:eastAsia="zh-CN"/>
        </w:rPr>
      </w:pPr>
    </w:p>
    <w:p w14:paraId="21B0916B">
      <w:pPr>
        <w:jc w:val="both"/>
        <w:rPr>
          <w:rFonts w:hint="default" w:ascii="Times New Roman" w:hAnsi="Times New Roman" w:eastAsia="仿宋_GB2312" w:cs="Times New Roman"/>
          <w:sz w:val="36"/>
          <w:szCs w:val="36"/>
          <w:highlight w:val="none"/>
          <w:u w:val="single"/>
        </w:rPr>
      </w:pPr>
    </w:p>
    <w:p w14:paraId="1AAD3288">
      <w:pPr>
        <w:jc w:val="center"/>
        <w:rPr>
          <w:rFonts w:hint="default" w:ascii="Times New Roman" w:hAnsi="Times New Roman" w:eastAsia="仿宋_GB2312" w:cs="Times New Roman"/>
          <w:sz w:val="36"/>
          <w:szCs w:val="36"/>
          <w:highlight w:val="none"/>
          <w:u w:val="single"/>
        </w:rPr>
      </w:pPr>
    </w:p>
    <w:p w14:paraId="0DD3EB5B">
      <w:pPr>
        <w:jc w:val="center"/>
        <w:rPr>
          <w:rFonts w:hint="default" w:ascii="Times New Roman" w:hAnsi="Times New Roman" w:eastAsia="仿宋_GB2312" w:cs="Times New Roman"/>
          <w:sz w:val="36"/>
          <w:szCs w:val="36"/>
          <w:highlight w:val="none"/>
          <w:u w:val="single"/>
        </w:rPr>
      </w:pPr>
    </w:p>
    <w:p w14:paraId="1F4A34DD">
      <w:pPr>
        <w:jc w:val="center"/>
        <w:rPr>
          <w:rFonts w:hint="default" w:ascii="Times New Roman" w:hAnsi="Times New Roman" w:eastAsia="仿宋_GB2312" w:cs="Times New Roman"/>
          <w:sz w:val="36"/>
          <w:szCs w:val="36"/>
          <w:highlight w:val="none"/>
          <w:u w:val="single"/>
        </w:rPr>
      </w:pPr>
    </w:p>
    <w:p w14:paraId="4EAF7AB3">
      <w:pPr>
        <w:jc w:val="center"/>
        <w:rPr>
          <w:rFonts w:hint="eastAsia" w:ascii="仿宋_GB2312" w:hAnsi="仿宋_GB2312" w:eastAsia="仿宋_GB2312" w:cs="仿宋_GB2312"/>
          <w:sz w:val="36"/>
          <w:szCs w:val="36"/>
          <w:highlight w:val="none"/>
        </w:rPr>
      </w:pPr>
      <w:r>
        <w:rPr>
          <w:rFonts w:hint="default" w:ascii="Times New Roman" w:hAnsi="Times New Roman" w:eastAsia="仿宋_GB2312" w:cs="Times New Roman"/>
          <w:sz w:val="36"/>
          <w:szCs w:val="36"/>
          <w:highlight w:val="none"/>
          <w:u w:val="single"/>
        </w:rPr>
        <w:t>20</w:t>
      </w:r>
      <w:r>
        <w:rPr>
          <w:rFonts w:hint="default" w:ascii="Times New Roman" w:hAnsi="Times New Roman" w:eastAsia="仿宋_GB2312" w:cs="Times New Roman"/>
          <w:sz w:val="36"/>
          <w:szCs w:val="36"/>
          <w:highlight w:val="none"/>
          <w:u w:val="single"/>
          <w:lang w:val="en-US" w:eastAsia="zh-CN"/>
        </w:rPr>
        <w:t>2</w:t>
      </w:r>
      <w:r>
        <w:rPr>
          <w:rFonts w:hint="eastAsia" w:ascii="Times New Roman" w:hAnsi="Times New Roman" w:eastAsia="仿宋_GB2312" w:cs="Times New Roman"/>
          <w:sz w:val="36"/>
          <w:szCs w:val="36"/>
          <w:highlight w:val="none"/>
          <w:u w:val="single"/>
          <w:lang w:val="en-US" w:eastAsia="zh-CN"/>
        </w:rPr>
        <w:t>6</w:t>
      </w:r>
      <w:r>
        <w:rPr>
          <w:rFonts w:hint="eastAsia" w:ascii="仿宋_GB2312" w:hAnsi="仿宋_GB2312" w:eastAsia="仿宋_GB2312" w:cs="仿宋_GB2312"/>
          <w:sz w:val="36"/>
          <w:szCs w:val="36"/>
          <w:highlight w:val="none"/>
        </w:rPr>
        <w:t>年</w:t>
      </w:r>
      <w:r>
        <w:rPr>
          <w:rFonts w:hint="eastAsia" w:ascii="Times New Roman" w:hAnsi="Times New Roman" w:eastAsia="仿宋_GB2312" w:cs="Times New Roman"/>
          <w:sz w:val="36"/>
          <w:szCs w:val="36"/>
          <w:highlight w:val="none"/>
          <w:u w:val="single"/>
        </w:rPr>
        <w:t xml:space="preserve"> </w:t>
      </w:r>
      <w:r>
        <w:rPr>
          <w:rFonts w:hint="eastAsia" w:ascii="Times New Roman" w:hAnsi="Times New Roman" w:eastAsia="仿宋_GB2312" w:cs="Times New Roman"/>
          <w:sz w:val="36"/>
          <w:szCs w:val="36"/>
          <w:highlight w:val="none"/>
          <w:u w:val="single"/>
          <w:lang w:val="en-US" w:eastAsia="zh-CN"/>
        </w:rPr>
        <w:t>4</w:t>
      </w:r>
      <w:r>
        <w:rPr>
          <w:rFonts w:hint="eastAsia" w:ascii="仿宋_GB2312" w:hAnsi="仿宋_GB2312" w:eastAsia="仿宋_GB2312" w:cs="仿宋_GB2312"/>
          <w:sz w:val="36"/>
          <w:szCs w:val="36"/>
          <w:highlight w:val="none"/>
        </w:rPr>
        <w:t>月</w:t>
      </w:r>
      <w:r>
        <w:rPr>
          <w:rFonts w:hint="eastAsia" w:ascii="Times New Roman" w:hAnsi="Times New Roman" w:eastAsia="仿宋_GB2312" w:cs="Times New Roman"/>
          <w:sz w:val="36"/>
          <w:szCs w:val="36"/>
          <w:highlight w:val="none"/>
          <w:u w:val="single"/>
          <w:lang w:val="en-US" w:eastAsia="zh-CN"/>
        </w:rPr>
        <w:t xml:space="preserve"> 29</w:t>
      </w:r>
      <w:r>
        <w:rPr>
          <w:rFonts w:hint="eastAsia" w:ascii="仿宋_GB2312" w:hAnsi="仿宋_GB2312" w:eastAsia="仿宋_GB2312" w:cs="仿宋_GB2312"/>
          <w:sz w:val="36"/>
          <w:szCs w:val="36"/>
          <w:highlight w:val="none"/>
        </w:rPr>
        <w:t>日</w:t>
      </w:r>
    </w:p>
    <w:p w14:paraId="7852A7C0">
      <w:pPr>
        <w:ind w:firstLine="720"/>
        <w:jc w:val="center"/>
        <w:rPr>
          <w:rFonts w:hint="default" w:ascii="仿宋_GB2312" w:hAnsi="仿宋_GB2312" w:eastAsia="仿宋_GB2312" w:cs="仿宋_GB2312"/>
          <w:sz w:val="36"/>
          <w:szCs w:val="36"/>
          <w:highlight w:val="none"/>
          <w:u w:val="single" w:color="auto"/>
          <w:lang w:val="en-US" w:eastAsia="zh-CN"/>
        </w:rPr>
      </w:pPr>
    </w:p>
    <w:p w14:paraId="47F28A5D">
      <w:pPr>
        <w:ind w:firstLine="720"/>
        <w:jc w:val="center"/>
        <w:rPr>
          <w:rFonts w:hint="default" w:ascii="仿宋_GB2312" w:hAnsi="仿宋_GB2312" w:eastAsia="仿宋_GB2312" w:cs="仿宋_GB2312"/>
          <w:sz w:val="36"/>
          <w:szCs w:val="36"/>
          <w:highlight w:val="none"/>
          <w:u w:val="single" w:color="auto"/>
          <w:lang w:val="en-US" w:eastAsia="zh-CN"/>
        </w:rPr>
      </w:pPr>
    </w:p>
    <w:p w14:paraId="79EAC19B">
      <w:pPr>
        <w:ind w:firstLine="720"/>
        <w:jc w:val="center"/>
        <w:rPr>
          <w:rFonts w:hint="default" w:ascii="仿宋_GB2312" w:hAnsi="仿宋_GB2312" w:eastAsia="仿宋_GB2312" w:cs="仿宋_GB2312"/>
          <w:sz w:val="36"/>
          <w:szCs w:val="36"/>
          <w:highlight w:val="none"/>
          <w:u w:val="single" w:color="auto"/>
          <w:lang w:val="en-US" w:eastAsia="zh-CN"/>
        </w:rPr>
      </w:pPr>
    </w:p>
    <w:p w14:paraId="13C00DF7">
      <w:pPr>
        <w:ind w:firstLine="720"/>
        <w:jc w:val="center"/>
        <w:rPr>
          <w:rFonts w:hint="default" w:ascii="仿宋_GB2312" w:hAnsi="仿宋_GB2312" w:eastAsia="仿宋_GB2312" w:cs="仿宋_GB2312"/>
          <w:sz w:val="36"/>
          <w:szCs w:val="36"/>
          <w:highlight w:val="none"/>
          <w:u w:val="single" w:color="auto"/>
          <w:lang w:val="en-US" w:eastAsia="zh-CN"/>
        </w:rPr>
      </w:pPr>
    </w:p>
    <w:p w14:paraId="6524DAEB">
      <w:pPr>
        <w:ind w:firstLine="720"/>
        <w:jc w:val="center"/>
        <w:rPr>
          <w:rFonts w:hint="default" w:ascii="仿宋_GB2312" w:hAnsi="仿宋_GB2312" w:eastAsia="仿宋_GB2312" w:cs="仿宋_GB2312"/>
          <w:sz w:val="36"/>
          <w:szCs w:val="36"/>
          <w:highlight w:val="none"/>
          <w:u w:val="single" w:color="auto"/>
          <w:lang w:val="en-US" w:eastAsia="zh-CN"/>
        </w:rPr>
      </w:pPr>
    </w:p>
    <w:p w14:paraId="634DD4AA">
      <w:pPr>
        <w:ind w:firstLine="720"/>
        <w:jc w:val="center"/>
        <w:rPr>
          <w:rFonts w:hint="default" w:ascii="仿宋_GB2312" w:hAnsi="仿宋_GB2312" w:eastAsia="仿宋_GB2312" w:cs="仿宋_GB2312"/>
          <w:sz w:val="36"/>
          <w:szCs w:val="36"/>
          <w:highlight w:val="none"/>
          <w:u w:val="single" w:color="auto"/>
          <w:lang w:val="en-US" w:eastAsia="zh-CN"/>
        </w:rPr>
      </w:pPr>
    </w:p>
    <w:p w14:paraId="6E881C4D">
      <w:pPr>
        <w:ind w:firstLine="720"/>
        <w:jc w:val="center"/>
        <w:rPr>
          <w:rFonts w:hint="default" w:ascii="仿宋_GB2312" w:hAnsi="仿宋_GB2312" w:eastAsia="仿宋_GB2312" w:cs="仿宋_GB2312"/>
          <w:sz w:val="36"/>
          <w:szCs w:val="36"/>
          <w:highlight w:val="none"/>
          <w:u w:val="single" w:color="auto"/>
          <w:lang w:val="en-US" w:eastAsia="zh-CN"/>
        </w:rPr>
      </w:pPr>
    </w:p>
    <w:p w14:paraId="2678A1B1">
      <w:pPr>
        <w:ind w:firstLine="720"/>
        <w:jc w:val="center"/>
        <w:rPr>
          <w:rFonts w:hint="default" w:ascii="仿宋_GB2312" w:hAnsi="仿宋_GB2312" w:eastAsia="仿宋_GB2312" w:cs="仿宋_GB2312"/>
          <w:sz w:val="36"/>
          <w:szCs w:val="36"/>
          <w:highlight w:val="none"/>
          <w:u w:val="single" w:color="auto"/>
          <w:lang w:val="en-US" w:eastAsia="zh-CN"/>
        </w:rPr>
      </w:pPr>
    </w:p>
    <w:p w14:paraId="20F9594C">
      <w:pPr>
        <w:ind w:firstLine="720"/>
        <w:jc w:val="center"/>
        <w:rPr>
          <w:rFonts w:hint="default" w:ascii="仿宋_GB2312" w:hAnsi="仿宋_GB2312" w:eastAsia="仿宋_GB2312" w:cs="仿宋_GB2312"/>
          <w:sz w:val="36"/>
          <w:szCs w:val="36"/>
          <w:highlight w:val="none"/>
          <w:u w:val="single" w:color="auto"/>
          <w:lang w:val="en-US" w:eastAsia="zh-CN"/>
        </w:rPr>
      </w:pPr>
    </w:p>
    <w:p w14:paraId="5E7D1B16">
      <w:pPr>
        <w:ind w:firstLine="720"/>
        <w:jc w:val="center"/>
        <w:rPr>
          <w:rFonts w:hint="default" w:ascii="仿宋_GB2312" w:hAnsi="仿宋_GB2312" w:eastAsia="仿宋_GB2312" w:cs="仿宋_GB2312"/>
          <w:sz w:val="36"/>
          <w:szCs w:val="36"/>
          <w:highlight w:val="none"/>
          <w:u w:val="single" w:color="auto"/>
          <w:lang w:val="en-US" w:eastAsia="zh-CN"/>
        </w:rPr>
      </w:pPr>
    </w:p>
    <w:p w14:paraId="623F91A4">
      <w:pPr>
        <w:ind w:firstLine="720"/>
        <w:jc w:val="center"/>
        <w:rPr>
          <w:rFonts w:hint="default" w:ascii="仿宋_GB2312" w:hAnsi="仿宋_GB2312" w:eastAsia="仿宋_GB2312" w:cs="仿宋_GB2312"/>
          <w:sz w:val="36"/>
          <w:szCs w:val="36"/>
          <w:highlight w:val="none"/>
          <w:u w:val="single" w:color="auto"/>
          <w:lang w:val="en-US" w:eastAsia="zh-CN"/>
        </w:rPr>
      </w:pPr>
    </w:p>
    <w:p w14:paraId="47C999AF">
      <w:pPr>
        <w:ind w:firstLine="720"/>
        <w:jc w:val="center"/>
        <w:rPr>
          <w:rFonts w:hint="default" w:ascii="仿宋_GB2312" w:hAnsi="仿宋_GB2312" w:eastAsia="仿宋_GB2312" w:cs="仿宋_GB2312"/>
          <w:sz w:val="36"/>
          <w:szCs w:val="36"/>
          <w:highlight w:val="none"/>
          <w:u w:val="single" w:color="auto"/>
          <w:lang w:val="en-US" w:eastAsia="zh-CN"/>
        </w:rPr>
      </w:pPr>
    </w:p>
    <w:p w14:paraId="3BD9F44E">
      <w:pPr>
        <w:ind w:firstLine="720"/>
        <w:jc w:val="center"/>
        <w:rPr>
          <w:rFonts w:hint="default" w:ascii="仿宋_GB2312" w:hAnsi="仿宋_GB2312" w:eastAsia="仿宋_GB2312" w:cs="仿宋_GB2312"/>
          <w:sz w:val="36"/>
          <w:szCs w:val="36"/>
          <w:highlight w:val="none"/>
          <w:u w:val="single" w:color="auto"/>
          <w:lang w:val="en-US" w:eastAsia="zh-CN"/>
        </w:rPr>
      </w:pPr>
    </w:p>
    <w:p w14:paraId="38B5E0C6">
      <w:pPr>
        <w:ind w:firstLine="720"/>
        <w:jc w:val="center"/>
        <w:rPr>
          <w:rFonts w:hint="default" w:ascii="仿宋_GB2312" w:hAnsi="仿宋_GB2312" w:eastAsia="仿宋_GB2312" w:cs="仿宋_GB2312"/>
          <w:sz w:val="36"/>
          <w:szCs w:val="36"/>
          <w:highlight w:val="none"/>
          <w:u w:val="single" w:color="auto"/>
          <w:lang w:val="en-US" w:eastAsia="zh-CN"/>
        </w:rPr>
      </w:pPr>
    </w:p>
    <w:p w14:paraId="04AFDE8A">
      <w:pPr>
        <w:ind w:firstLine="720"/>
        <w:jc w:val="center"/>
        <w:rPr>
          <w:rFonts w:hint="default" w:ascii="仿宋_GB2312" w:hAnsi="仿宋_GB2312" w:eastAsia="仿宋_GB2312" w:cs="仿宋_GB2312"/>
          <w:sz w:val="36"/>
          <w:szCs w:val="36"/>
          <w:highlight w:val="none"/>
          <w:u w:val="single" w:color="auto"/>
          <w:lang w:val="en-US" w:eastAsia="zh-CN"/>
        </w:rPr>
      </w:pPr>
    </w:p>
    <w:p w14:paraId="78B72488">
      <w:pPr>
        <w:ind w:firstLine="720"/>
        <w:jc w:val="center"/>
        <w:rPr>
          <w:rFonts w:hint="default" w:ascii="仿宋_GB2312" w:hAnsi="仿宋_GB2312" w:eastAsia="仿宋_GB2312" w:cs="仿宋_GB2312"/>
          <w:sz w:val="36"/>
          <w:szCs w:val="36"/>
          <w:highlight w:val="none"/>
          <w:u w:val="single" w:color="auto"/>
          <w:lang w:val="en-US" w:eastAsia="zh-CN"/>
        </w:rPr>
      </w:pPr>
    </w:p>
    <w:p w14:paraId="79E39502">
      <w:pPr>
        <w:ind w:firstLine="720"/>
        <w:jc w:val="center"/>
        <w:rPr>
          <w:rFonts w:hint="default" w:ascii="仿宋_GB2312" w:hAnsi="仿宋_GB2312" w:eastAsia="仿宋_GB2312" w:cs="仿宋_GB2312"/>
          <w:sz w:val="36"/>
          <w:szCs w:val="36"/>
          <w:highlight w:val="none"/>
          <w:u w:val="single" w:color="auto"/>
          <w:lang w:val="en-US" w:eastAsia="zh-CN"/>
        </w:rPr>
      </w:pPr>
    </w:p>
    <w:p w14:paraId="4C0260F3">
      <w:pPr>
        <w:ind w:firstLine="720"/>
        <w:jc w:val="center"/>
        <w:rPr>
          <w:rFonts w:hint="default" w:ascii="仿宋_GB2312" w:hAnsi="仿宋_GB2312" w:eastAsia="仿宋_GB2312" w:cs="仿宋_GB2312"/>
          <w:sz w:val="36"/>
          <w:szCs w:val="36"/>
          <w:highlight w:val="none"/>
          <w:u w:val="single" w:color="auto"/>
          <w:lang w:val="en-US" w:eastAsia="zh-CN"/>
        </w:rPr>
      </w:pPr>
    </w:p>
    <w:p w14:paraId="0ACB0EC0">
      <w:pPr>
        <w:ind w:firstLine="720"/>
        <w:jc w:val="center"/>
        <w:rPr>
          <w:rFonts w:hint="default" w:ascii="仿宋_GB2312" w:hAnsi="仿宋_GB2312" w:eastAsia="仿宋_GB2312" w:cs="仿宋_GB2312"/>
          <w:sz w:val="36"/>
          <w:szCs w:val="36"/>
          <w:highlight w:val="none"/>
          <w:u w:val="single" w:color="auto"/>
          <w:lang w:val="en-US" w:eastAsia="zh-CN"/>
        </w:rPr>
      </w:pPr>
    </w:p>
    <w:p w14:paraId="04CEE0B5">
      <w:pPr>
        <w:ind w:firstLine="720"/>
        <w:jc w:val="center"/>
        <w:rPr>
          <w:rFonts w:hint="default" w:ascii="仿宋_GB2312" w:hAnsi="仿宋_GB2312" w:eastAsia="仿宋_GB2312" w:cs="仿宋_GB2312"/>
          <w:sz w:val="36"/>
          <w:szCs w:val="36"/>
          <w:highlight w:val="none"/>
          <w:u w:val="single" w:color="auto"/>
          <w:lang w:val="en-US" w:eastAsia="zh-CN"/>
        </w:rPr>
      </w:pPr>
    </w:p>
    <w:p w14:paraId="10E622CC">
      <w:pPr>
        <w:ind w:firstLine="720"/>
        <w:jc w:val="center"/>
        <w:rPr>
          <w:rFonts w:hint="default" w:ascii="仿宋_GB2312" w:hAnsi="仿宋_GB2312" w:eastAsia="仿宋_GB2312" w:cs="仿宋_GB2312"/>
          <w:sz w:val="36"/>
          <w:szCs w:val="36"/>
          <w:highlight w:val="none"/>
          <w:u w:val="single" w:color="auto"/>
          <w:lang w:val="en-US" w:eastAsia="zh-CN"/>
        </w:rPr>
      </w:pPr>
    </w:p>
    <w:p w14:paraId="597B2D92">
      <w:pPr>
        <w:ind w:firstLine="720"/>
        <w:jc w:val="center"/>
        <w:rPr>
          <w:rFonts w:hint="default" w:ascii="仿宋_GB2312" w:hAnsi="仿宋_GB2312" w:eastAsia="仿宋_GB2312" w:cs="仿宋_GB2312"/>
          <w:sz w:val="36"/>
          <w:szCs w:val="36"/>
          <w:highlight w:val="none"/>
          <w:u w:val="single" w:color="auto"/>
          <w:lang w:val="en-US" w:eastAsia="zh-CN"/>
        </w:rPr>
      </w:pPr>
    </w:p>
    <w:p w14:paraId="3C41834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东西湖区公园绿地生态空间综合利用项目资源现状调查及产业分析咨询服务采购</w:t>
      </w:r>
    </w:p>
    <w:p w14:paraId="0E373E1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招标文件</w:t>
      </w:r>
    </w:p>
    <w:p w14:paraId="5A9EDA5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14:paraId="78B4973E">
      <w:pPr>
        <w:numPr>
          <w:ilvl w:val="0"/>
          <w:numId w:val="0"/>
        </w:numPr>
        <w:ind w:firstLine="627" w:firstLineChars="196"/>
        <w:rPr>
          <w:rFonts w:hint="eastAsia" w:ascii="黑体" w:hAnsi="黑体" w:eastAsia="黑体" w:cs="黑体"/>
          <w:b w:val="0"/>
          <w:bCs/>
          <w:sz w:val="32"/>
          <w:szCs w:val="32"/>
          <w:highlight w:val="none"/>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highlight w:val="none"/>
        </w:rPr>
        <w:t>项目简介</w:t>
      </w:r>
    </w:p>
    <w:p w14:paraId="5C97A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eastAsia="仿宋_GB2312"/>
          <w:sz w:val="32"/>
          <w:szCs w:val="32"/>
          <w:lang w:eastAsia="zh-CN"/>
        </w:rPr>
        <w:t>为了进一步</w:t>
      </w:r>
      <w:r>
        <w:rPr>
          <w:rFonts w:hint="eastAsia" w:ascii="仿宋_GB2312" w:hAnsi="仿宋_GB2312" w:eastAsia="仿宋_GB2312" w:cs="仿宋_GB2312"/>
          <w:color w:val="auto"/>
          <w:sz w:val="32"/>
          <w:szCs w:val="32"/>
          <w:highlight w:val="none"/>
          <w:lang w:val="en-US" w:eastAsia="zh-CN"/>
        </w:rPr>
        <w:t>鼓励和引导社会资本参与公园资源资产、文旅产业等行业运营，充分挖掘存量资源的市场价值，进一步完善公园管理，优化公园设施，拓展配套功能，</w:t>
      </w:r>
      <w:r>
        <w:rPr>
          <w:rFonts w:hint="eastAsia" w:eastAsia="仿宋_GB2312"/>
          <w:sz w:val="32"/>
          <w:szCs w:val="32"/>
          <w:lang w:eastAsia="zh-CN"/>
        </w:rPr>
        <w:t>降低公园维护运行财政负担。</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2026年4月8日第115次东西湖区人民政府常务会议明确，由</w:t>
      </w:r>
      <w:r>
        <w:rPr>
          <w:rFonts w:hint="eastAsia" w:ascii="仿宋_GB2312" w:hAnsi="仿宋_GB2312" w:eastAsia="仿宋_GB2312" w:cs="仿宋_GB2312"/>
          <w:kern w:val="2"/>
          <w:sz w:val="32"/>
          <w:szCs w:val="32"/>
        </w:rPr>
        <w:t>我局</w:t>
      </w:r>
      <w:r>
        <w:rPr>
          <w:rFonts w:hint="eastAsia" w:ascii="仿宋_GB2312" w:hAnsi="仿宋_GB2312" w:eastAsia="仿宋_GB2312" w:cs="仿宋_GB2312"/>
          <w:kern w:val="2"/>
          <w:sz w:val="32"/>
          <w:szCs w:val="32"/>
          <w:lang w:eastAsia="zh-CN"/>
        </w:rPr>
        <w:t>作为</w:t>
      </w:r>
      <w:r>
        <w:rPr>
          <w:rFonts w:hint="eastAsia" w:ascii="仿宋_GB2312" w:hAnsi="仿宋_GB2312" w:eastAsia="仿宋_GB2312" w:cs="仿宋_GB2312"/>
          <w:sz w:val="32"/>
          <w:szCs w:val="32"/>
          <w:lang w:val="en-US" w:eastAsia="zh-CN"/>
        </w:rPr>
        <w:t>公园及附属设施经营权盘活的实施主体，</w:t>
      </w:r>
      <w:r>
        <w:rPr>
          <w:rFonts w:hint="eastAsia" w:ascii="仿宋_GB2312" w:hAnsi="仿宋_GB2312" w:eastAsia="仿宋_GB2312" w:cs="仿宋_GB2312"/>
          <w:color w:val="auto"/>
          <w:sz w:val="32"/>
          <w:szCs w:val="32"/>
          <w:highlight w:val="none"/>
          <w:lang w:val="en-US" w:eastAsia="zh-CN"/>
        </w:rPr>
        <w:t>为了顺利推动此项工作，现启动“东西湖区公园绿地生态空间综合利用项目资源现状调查及产业分析咨询编制服务的采购招标工作。</w:t>
      </w:r>
    </w:p>
    <w:p w14:paraId="33E9B413">
      <w:pPr>
        <w:numPr>
          <w:ilvl w:val="0"/>
          <w:numId w:val="0"/>
        </w:numPr>
        <w:ind w:firstLine="640" w:firstLineChars="200"/>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服务内容</w:t>
      </w:r>
      <w:r>
        <w:rPr>
          <w:rFonts w:hint="eastAsia" w:ascii="黑体" w:hAnsi="黑体" w:eastAsia="黑体" w:cs="黑体"/>
          <w:b w:val="0"/>
          <w:bCs/>
          <w:sz w:val="32"/>
          <w:szCs w:val="32"/>
          <w:highlight w:val="none"/>
          <w:lang w:eastAsia="zh-CN"/>
        </w:rPr>
        <w:t>及工期要求</w:t>
      </w:r>
    </w:p>
    <w:p w14:paraId="1B2D5463">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服务内容：</w:t>
      </w:r>
      <w:r>
        <w:rPr>
          <w:rFonts w:hint="eastAsia" w:ascii="仿宋_GB2312" w:hAnsi="仿宋_GB2312" w:eastAsia="仿宋_GB2312" w:cs="仿宋_GB2312"/>
          <w:color w:val="auto"/>
          <w:sz w:val="32"/>
          <w:szCs w:val="32"/>
          <w:lang w:val="en-US" w:eastAsia="zh-CN"/>
        </w:rPr>
        <w:t>本项目拟计划通过区住更局关于规范限额额度以下自行采购的管理办法要求执行，在确定咨询编制服务单位后，提供</w:t>
      </w:r>
      <w:r>
        <w:rPr>
          <w:rFonts w:hint="eastAsia" w:ascii="仿宋_GB2312" w:hAnsi="仿宋_GB2312" w:eastAsia="仿宋_GB2312" w:cs="仿宋_GB2312"/>
          <w:color w:val="auto"/>
          <w:sz w:val="32"/>
          <w:szCs w:val="32"/>
          <w:highlight w:val="none"/>
          <w:lang w:val="en-US" w:eastAsia="zh-CN"/>
        </w:rPr>
        <w:t>资源现状调查及产业分析咨询编制服务，</w:t>
      </w:r>
      <w:r>
        <w:rPr>
          <w:rFonts w:hint="eastAsia" w:ascii="仿宋_GB2312" w:hAnsi="仿宋_GB2312" w:eastAsia="仿宋_GB2312" w:cs="仿宋_GB2312"/>
          <w:color w:val="auto"/>
          <w:sz w:val="32"/>
          <w:szCs w:val="32"/>
          <w:lang w:val="en-US" w:eastAsia="zh-CN"/>
        </w:rPr>
        <w:t>并负责完成《</w:t>
      </w:r>
      <w:r>
        <w:rPr>
          <w:rFonts w:hint="eastAsia" w:ascii="仿宋_GB2312" w:hAnsi="仿宋_GB2312" w:eastAsia="仿宋_GB2312" w:cs="仿宋_GB2312"/>
          <w:color w:val="auto"/>
          <w:sz w:val="32"/>
          <w:szCs w:val="32"/>
          <w:highlight w:val="none"/>
          <w:lang w:val="en-US" w:eastAsia="zh-CN"/>
        </w:rPr>
        <w:t>东西湖区公园绿地生态空间综合利用项目资源现状调查及产业分析咨询报告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成果文件（含一期、二期全部范围）的编制工作</w:t>
      </w:r>
      <w:r>
        <w:rPr>
          <w:rFonts w:hint="eastAsia" w:ascii="仿宋_GB2312" w:hAnsi="仿宋_GB2312" w:eastAsia="仿宋_GB2312" w:cs="仿宋_GB2312"/>
          <w:color w:val="auto"/>
          <w:sz w:val="32"/>
          <w:szCs w:val="32"/>
          <w:lang w:val="en-US" w:eastAsia="zh-CN"/>
        </w:rPr>
        <w:t>。</w:t>
      </w:r>
    </w:p>
    <w:p w14:paraId="40262760">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工期要求：</w:t>
      </w:r>
      <w:r>
        <w:rPr>
          <w:rFonts w:hint="eastAsia" w:ascii="仿宋_GB2312" w:hAnsi="仿宋_GB2312" w:eastAsia="仿宋_GB2312" w:cs="仿宋_GB2312"/>
          <w:color w:val="auto"/>
          <w:sz w:val="32"/>
          <w:szCs w:val="32"/>
          <w:lang w:val="en-US" w:eastAsia="zh-CN"/>
        </w:rPr>
        <w:t>共计15个日历天。在合同签订后15个日历天内，完成《东西湖区公园资源现状调查及产业分析咨询报告》编制工作，并将相关文件装订好送达指定地点。</w:t>
      </w:r>
    </w:p>
    <w:p w14:paraId="5C463DC3">
      <w:pPr>
        <w:numPr>
          <w:ilvl w:val="0"/>
          <w:numId w:val="0"/>
        </w:numPr>
        <w:ind w:firstLine="627" w:firstLineChars="196"/>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三、投标人资格要求</w:t>
      </w:r>
    </w:p>
    <w:p w14:paraId="7EFC034F">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投标人须为独立法人。</w:t>
      </w:r>
    </w:p>
    <w:p w14:paraId="1AE7EBCD">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项目负责人一名，须具备有注册城乡规划师相关证书，须为本单位在岗在职且非法定代表人。</w:t>
      </w:r>
    </w:p>
    <w:p w14:paraId="2E888AE8">
      <w:pPr>
        <w:widowControl/>
        <w:shd w:val="clear" w:color="auto" w:fill="FFFFFF"/>
        <w:ind w:firstLine="640" w:firstLineChars="200"/>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3.提供近三年类似服务业绩1个。</w:t>
      </w:r>
    </w:p>
    <w:p w14:paraId="643C74FB">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四、投标文件的要求</w:t>
      </w:r>
    </w:p>
    <w:p w14:paraId="01B280E3">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投标文件较为简易，主要为报价文件，一份正本即可。</w:t>
      </w:r>
    </w:p>
    <w:p w14:paraId="5C438E8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报价文件详见附件报价文件参考格式。</w:t>
      </w:r>
    </w:p>
    <w:p w14:paraId="3ABA9477">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五、投标文件的装订、包装、密封和标记</w:t>
      </w:r>
    </w:p>
    <w:p w14:paraId="6BD01A4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投标文件应当按照工整、整洁的要求，报价文件应装订成册。</w:t>
      </w:r>
    </w:p>
    <w:p w14:paraId="4BD33574">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bookmarkStart w:id="0" w:name="_Toc206837543"/>
      <w:bookmarkStart w:id="1" w:name="_Toc206773361"/>
      <w:bookmarkStart w:id="2" w:name="_Toc260925849"/>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投标文件的密封与标记</w:t>
      </w:r>
      <w:bookmarkEnd w:id="0"/>
      <w:bookmarkEnd w:id="1"/>
      <w:bookmarkEnd w:id="2"/>
    </w:p>
    <w:p w14:paraId="3A04FA27">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为方便开标，投标人可将报价文件正本密封在包装袋中，包装袋应注明本次招标的项目名称和在“（开标时间）之前不得启封”的字样。</w:t>
      </w:r>
    </w:p>
    <w:p w14:paraId="6F2B53E5">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所有密封袋的封口处必须加盖投标人印章和投标人法定代表人或其授权的代理人印章。</w:t>
      </w:r>
    </w:p>
    <w:p w14:paraId="0F324F71">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招标人对未按上述要求加写标记和密封的投标文件的误投或过早启封概不负责。</w:t>
      </w:r>
    </w:p>
    <w:p w14:paraId="7B323530">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六、时间安排</w:t>
      </w:r>
    </w:p>
    <w:p w14:paraId="7F21334E">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开标时间：</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日</w:t>
      </w:r>
      <w:r>
        <w:rPr>
          <w:rFonts w:hint="eastAsia" w:ascii="Times New Roman" w:hAnsi="Times New Roman" w:eastAsia="仿宋_GB2312" w:cs="Times New Roman"/>
          <w:color w:val="auto"/>
          <w:sz w:val="32"/>
          <w:szCs w:val="32"/>
          <w:lang w:val="en-US" w:eastAsia="zh-CN"/>
        </w:rPr>
        <w:t>15:00</w:t>
      </w:r>
      <w:r>
        <w:rPr>
          <w:rFonts w:hint="eastAsia" w:ascii="仿宋_GB2312" w:hAnsi="仿宋_GB2312" w:eastAsia="仿宋_GB2312" w:cs="仿宋_GB2312"/>
          <w:color w:val="auto"/>
          <w:sz w:val="32"/>
          <w:szCs w:val="32"/>
          <w:lang w:val="en-US" w:eastAsia="zh-CN"/>
        </w:rPr>
        <w:t>时，各投标人携带投标文件至东西湖区住房和城市更新局二楼会议室准时到场参加开标会。</w:t>
      </w:r>
    </w:p>
    <w:p w14:paraId="7FD36EF5">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七、报价说明</w:t>
      </w:r>
    </w:p>
    <w:p w14:paraId="243E698A">
      <w:pPr>
        <w:widowControl/>
        <w:shd w:val="clear" w:color="auto" w:fill="FFFFFF"/>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报价依据：</w:t>
      </w:r>
      <w:r>
        <w:rPr>
          <w:rFonts w:hint="eastAsia" w:ascii="仿宋_GB2312" w:hAnsi="仿宋_GB2312" w:eastAsia="仿宋_GB2312" w:cs="仿宋_GB2312"/>
          <w:color w:val="auto"/>
          <w:sz w:val="32"/>
          <w:szCs w:val="32"/>
          <w:highlight w:val="none"/>
          <w:lang w:val="en-US" w:eastAsia="zh-CN"/>
        </w:rPr>
        <w:t>“东西湖区公园绿地生态空间综合利用项目”纳入盘活范围的公园建设总投资暂按17亿元（其中：一期纳入盘活范围的公园建设总投资暂按8.5亿元；二期纳入盘活范围的公园建设总投资暂按8.5亿元），</w:t>
      </w:r>
      <w:r>
        <w:rPr>
          <w:rFonts w:hint="eastAsia" w:ascii="仿宋_GB2312" w:hAnsi="仿宋_GB2312" w:eastAsia="仿宋_GB2312" w:cs="仿宋_GB2312"/>
          <w:color w:val="auto"/>
          <w:sz w:val="32"/>
          <w:szCs w:val="32"/>
          <w:lang w:val="en-US" w:eastAsia="zh-CN"/>
        </w:rPr>
        <w:t>以此作为计费基数，行业调整系数为0.7，按照市场行情下浮</w:t>
      </w:r>
      <w:r>
        <w:rPr>
          <w:rFonts w:hint="eastAsia" w:ascii="Times New Roman" w:hAnsi="Times New Roman" w:eastAsia="仿宋_GB2312" w:cs="Times New Roman"/>
          <w:color w:val="auto"/>
          <w:sz w:val="32"/>
          <w:szCs w:val="32"/>
          <w:lang w:val="en-US" w:eastAsia="zh-CN"/>
        </w:rPr>
        <w:t>后，</w:t>
      </w:r>
      <w:r>
        <w:rPr>
          <w:rFonts w:hint="eastAsia" w:ascii="仿宋_GB2312" w:hAnsi="仿宋_GB2312" w:eastAsia="仿宋_GB2312" w:cs="仿宋_GB2312"/>
          <w:color w:val="auto"/>
          <w:sz w:val="32"/>
          <w:szCs w:val="32"/>
          <w:lang w:val="en-US" w:eastAsia="zh-CN"/>
        </w:rPr>
        <w:t>确定</w:t>
      </w:r>
      <w:r>
        <w:rPr>
          <w:rFonts w:hint="eastAsia" w:ascii="仿宋_GB2312" w:hAnsi="仿宋_GB2312" w:eastAsia="仿宋_GB2312" w:cs="仿宋_GB2312"/>
          <w:color w:val="auto"/>
          <w:sz w:val="32"/>
          <w:szCs w:val="32"/>
          <w:highlight w:val="none"/>
          <w:lang w:val="en-US" w:eastAsia="zh-CN"/>
        </w:rPr>
        <w:t>资源现状调查及产业分析咨询编制服务为38.192万元，即：栏标折扣率为55%，服务费上限值为</w:t>
      </w:r>
      <w:r>
        <w:rPr>
          <w:rFonts w:hint="eastAsia" w:ascii="仿宋_GB2312" w:hAnsi="仿宋_GB2312" w:eastAsia="仿宋_GB2312" w:cs="仿宋_GB2312"/>
          <w:color w:val="auto"/>
          <w:sz w:val="32"/>
          <w:szCs w:val="32"/>
          <w:highlight w:val="none"/>
          <w:lang w:val="en-US" w:eastAsia="zh-CN"/>
        </w:rPr>
        <w:t xml:space="preserve">38.192万元。 </w:t>
      </w:r>
    </w:p>
    <w:p w14:paraId="6CDE2AA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计算式如下：</w:t>
      </w:r>
    </w:p>
    <w:p w14:paraId="5B242759">
      <w:pPr>
        <w:widowControl/>
        <w:shd w:val="clear" w:color="auto" w:fill="FFFFFF"/>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一期:</w:t>
      </w:r>
      <w:r>
        <w:rPr>
          <w:rFonts w:hint="eastAsia" w:ascii="仿宋_GB2312" w:hAnsi="仿宋_GB2312" w:eastAsia="仿宋_GB2312" w:cs="仿宋_GB2312"/>
          <w:color w:val="auto"/>
          <w:sz w:val="32"/>
          <w:szCs w:val="32"/>
          <w:highlight w:val="none"/>
          <w:lang w:val="en-US" w:eastAsia="zh-CN"/>
        </w:rPr>
        <w:t>[37+(8.5-5)*(55-37)/(10-5)]*0.7*55%=19.096万元）</w:t>
      </w:r>
    </w:p>
    <w:p w14:paraId="451DF756">
      <w:pPr>
        <w:widowControl/>
        <w:shd w:val="clear" w:color="auto" w:fill="FFFFFF"/>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二期:</w:t>
      </w:r>
      <w:r>
        <w:rPr>
          <w:rFonts w:hint="eastAsia" w:ascii="仿宋_GB2312" w:hAnsi="仿宋_GB2312" w:eastAsia="仿宋_GB2312" w:cs="仿宋_GB2312"/>
          <w:color w:val="auto"/>
          <w:sz w:val="32"/>
          <w:szCs w:val="32"/>
          <w:highlight w:val="none"/>
          <w:lang w:val="en-US" w:eastAsia="zh-CN"/>
        </w:rPr>
        <w:t>[37+(8.5-5)*(55-37)/(10-5)]*0.7*55%=19.096万元）</w:t>
      </w:r>
    </w:p>
    <w:p w14:paraId="37694F8A">
      <w:pPr>
        <w:widowControl/>
        <w:shd w:val="clear" w:color="auto" w:fill="FFFFFF"/>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一、二期服务费</w:t>
      </w:r>
      <w:r>
        <w:rPr>
          <w:rFonts w:hint="eastAsia" w:ascii="仿宋_GB2312" w:hAnsi="仿宋_GB2312" w:eastAsia="仿宋_GB2312" w:cs="仿宋_GB2312"/>
          <w:color w:val="auto"/>
          <w:sz w:val="32"/>
          <w:szCs w:val="32"/>
          <w:highlight w:val="none"/>
          <w:lang w:val="en-US" w:eastAsia="zh-CN"/>
        </w:rPr>
        <w:t>合计：19.096+19.096=38.192万元</w:t>
      </w:r>
    </w:p>
    <w:p w14:paraId="02C50A1A">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参照</w:t>
      </w:r>
      <w:r>
        <w:rPr>
          <w:rFonts w:hint="eastAsia" w:ascii="仿宋_GB2312" w:hAnsi="仿宋_GB2312" w:eastAsia="仿宋_GB2312" w:cs="仿宋_GB2312"/>
          <w:bCs/>
          <w:color w:val="auto"/>
          <w:sz w:val="32"/>
          <w:szCs w:val="32"/>
          <w:lang w:val="en-US" w:eastAsia="zh-CN"/>
        </w:rPr>
        <w:t>《国家计委关于印发建设项目前期工作咨询收费暂行规定的通知》（计价格【1999】1283号）中“编制项目建议书”的计费标准，</w:t>
      </w:r>
      <w:r>
        <w:rPr>
          <w:rFonts w:hint="eastAsia" w:ascii="仿宋_GB2312" w:hAnsi="仿宋_GB2312" w:eastAsia="仿宋_GB2312" w:cs="仿宋_GB2312"/>
          <w:color w:val="auto"/>
          <w:sz w:val="32"/>
          <w:szCs w:val="32"/>
          <w:lang w:val="en-US" w:eastAsia="zh-CN"/>
        </w:rPr>
        <w:t>按区间内插入法计算。</w:t>
      </w:r>
    </w:p>
    <w:p w14:paraId="0A3BF979">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本项目拦标折扣率为</w:t>
      </w:r>
      <w:r>
        <w:rPr>
          <w:rFonts w:hint="eastAsia" w:ascii="Times New Roman" w:hAnsi="Times New Roman" w:eastAsia="仿宋_GB2312" w:cs="Times New Roman"/>
          <w:color w:val="auto"/>
          <w:sz w:val="32"/>
          <w:szCs w:val="32"/>
          <w:lang w:val="en-US" w:eastAsia="zh-CN"/>
        </w:rPr>
        <w:t>55%</w:t>
      </w:r>
      <w:r>
        <w:rPr>
          <w:rFonts w:hint="eastAsia" w:ascii="仿宋_GB2312" w:hAnsi="仿宋_GB2312" w:eastAsia="仿宋_GB2312" w:cs="仿宋_GB2312"/>
          <w:color w:val="auto"/>
          <w:sz w:val="32"/>
          <w:szCs w:val="32"/>
          <w:lang w:val="en-US" w:eastAsia="zh-CN"/>
        </w:rPr>
        <w:t>，不得高于拦标折扣率报价。</w:t>
      </w:r>
    </w:p>
    <w:p w14:paraId="27C75008">
      <w:pPr>
        <w:widowControl/>
        <w:shd w:val="clear" w:color="auto" w:fill="FFFFFF"/>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报价范围:</w:t>
      </w:r>
      <w:r>
        <w:rPr>
          <w:rFonts w:hint="eastAsia" w:ascii="仿宋_GB2312" w:hAnsi="仿宋_GB2312" w:eastAsia="仿宋_GB2312" w:cs="仿宋_GB2312"/>
          <w:color w:val="auto"/>
          <w:sz w:val="32"/>
          <w:szCs w:val="32"/>
          <w:lang w:val="en-US" w:eastAsia="zh-CN"/>
        </w:rPr>
        <w:t>投标报价应包括因实施本次服务工作所产生的项目考察、税金和其它应缴纳的费用等全部费用。</w:t>
      </w:r>
    </w:p>
    <w:p w14:paraId="61ED1D71">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咨询编制服务费报价必须响应上述报价说明及报价范围要求，各参与投标的咨询服务单位需根据自身情况测算并明确对折扣率进行报价，高于拦标折扣率的报价为废标。</w:t>
      </w:r>
    </w:p>
    <w:p w14:paraId="1DDB784B">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八、付款方式</w:t>
      </w:r>
    </w:p>
    <w:p w14:paraId="52904C59">
      <w:pPr>
        <w:widowControl/>
        <w:shd w:val="clear" w:color="auto" w:fill="FFFFFF"/>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资源现状调查及产业分析咨询编制服务</w:t>
      </w:r>
      <w:r>
        <w:rPr>
          <w:rFonts w:hint="eastAsia" w:ascii="仿宋_GB2312" w:hAnsi="仿宋_GB2312" w:eastAsia="仿宋_GB2312" w:cs="仿宋_GB2312"/>
          <w:b/>
          <w:bCs/>
          <w:color w:val="auto"/>
          <w:sz w:val="32"/>
          <w:szCs w:val="32"/>
          <w:lang w:val="en-US" w:eastAsia="zh-CN"/>
        </w:rPr>
        <w:t>付款方式：</w:t>
      </w:r>
    </w:p>
    <w:p w14:paraId="1A00073A">
      <w:pPr>
        <w:widowControl/>
        <w:shd w:val="clear" w:color="auto" w:fill="FFFFFF"/>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合同签订后，待完成资源现状调查及产业分析咨询编制</w:t>
      </w:r>
      <w:r>
        <w:rPr>
          <w:rFonts w:hint="eastAsia" w:ascii="仿宋_GB2312" w:hAnsi="仿宋_GB2312" w:eastAsia="仿宋_GB2312" w:cs="仿宋_GB2312"/>
          <w:color w:val="auto"/>
          <w:sz w:val="32"/>
          <w:szCs w:val="32"/>
          <w:lang w:val="en-US" w:eastAsia="zh-CN"/>
        </w:rPr>
        <w:t>服务工作，移交《</w:t>
      </w:r>
      <w:r>
        <w:rPr>
          <w:rFonts w:hint="eastAsia" w:ascii="仿宋_GB2312" w:hAnsi="仿宋_GB2312" w:eastAsia="仿宋_GB2312" w:cs="仿宋_GB2312"/>
          <w:color w:val="auto"/>
          <w:sz w:val="32"/>
          <w:szCs w:val="32"/>
          <w:highlight w:val="none"/>
          <w:lang w:val="en-US" w:eastAsia="zh-CN"/>
        </w:rPr>
        <w:t>东西湖区公园绿地生态空间综合利用项目</w:t>
      </w:r>
      <w:r>
        <w:rPr>
          <w:rFonts w:hint="eastAsia" w:ascii="仿宋_GB2312" w:hAnsi="仿宋_GB2312" w:eastAsia="仿宋_GB2312" w:cs="仿宋_GB2312"/>
          <w:b w:val="0"/>
          <w:bCs w:val="0"/>
          <w:color w:val="auto"/>
          <w:sz w:val="32"/>
          <w:szCs w:val="32"/>
          <w:highlight w:val="none"/>
          <w:lang w:val="en-US" w:eastAsia="zh-CN"/>
        </w:rPr>
        <w:t>资源现状调查及产业分析咨询报告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（含一期、二期全部范围）成果文件</w:t>
      </w:r>
      <w:r>
        <w:rPr>
          <w:rFonts w:hint="eastAsia" w:ascii="仿宋_GB2312" w:hAnsi="仿宋_GB2312" w:eastAsia="仿宋_GB2312" w:cs="仿宋_GB2312"/>
          <w:color w:val="auto"/>
          <w:sz w:val="32"/>
          <w:szCs w:val="32"/>
          <w:lang w:val="en-US" w:eastAsia="zh-CN"/>
        </w:rPr>
        <w:t>后，30个日历天内由招标人区住房和城市更新局一次性支付</w:t>
      </w:r>
      <w:r>
        <w:rPr>
          <w:rFonts w:hint="eastAsia" w:ascii="仿宋_GB2312" w:hAnsi="仿宋_GB2312" w:eastAsia="仿宋_GB2312" w:cs="仿宋_GB2312"/>
          <w:b w:val="0"/>
          <w:bCs w:val="0"/>
          <w:color w:val="auto"/>
          <w:sz w:val="32"/>
          <w:szCs w:val="32"/>
          <w:highlight w:val="none"/>
          <w:lang w:val="en-US" w:eastAsia="zh-CN"/>
        </w:rPr>
        <w:t>资源现状调查及产业分析咨询编制服务费</w:t>
      </w:r>
      <w:r>
        <w:rPr>
          <w:rFonts w:hint="eastAsia" w:ascii="仿宋_GB2312" w:hAnsi="仿宋_GB2312" w:eastAsia="仿宋_GB2312" w:cs="仿宋_GB2312"/>
          <w:b w:val="0"/>
          <w:bCs w:val="0"/>
          <w:color w:val="auto"/>
          <w:sz w:val="32"/>
          <w:szCs w:val="32"/>
          <w:highlight w:val="none"/>
          <w:lang w:val="en-US" w:eastAsia="zh-CN"/>
        </w:rPr>
        <w:t>用。</w:t>
      </w:r>
    </w:p>
    <w:p w14:paraId="5302B9CA">
      <w:pPr>
        <w:widowControl/>
        <w:shd w:val="clear" w:color="auto" w:fill="FFFFFF"/>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资源现状调查及产业分析咨询编制服务</w:t>
      </w:r>
      <w:r>
        <w:rPr>
          <w:rFonts w:hint="eastAsia" w:ascii="仿宋_GB2312" w:hAnsi="仿宋_GB2312" w:eastAsia="仿宋_GB2312" w:cs="仿宋_GB2312"/>
          <w:b/>
          <w:bCs/>
          <w:color w:val="auto"/>
          <w:sz w:val="32"/>
          <w:szCs w:val="32"/>
          <w:lang w:val="en-US" w:eastAsia="zh-CN"/>
        </w:rPr>
        <w:t>实际结算价计算式如下：</w:t>
      </w:r>
      <w:r>
        <w:rPr>
          <w:rFonts w:hint="eastAsia" w:ascii="仿宋_GB2312" w:hAnsi="仿宋_GB2312" w:eastAsia="仿宋_GB2312" w:cs="仿宋_GB2312"/>
          <w:b w:val="0"/>
          <w:bCs w:val="0"/>
          <w:color w:val="auto"/>
          <w:sz w:val="32"/>
          <w:szCs w:val="32"/>
          <w:lang w:val="en-US" w:eastAsia="zh-CN"/>
        </w:rPr>
        <w:t>一期实际</w:t>
      </w:r>
      <w:r>
        <w:rPr>
          <w:rFonts w:hint="eastAsia" w:ascii="仿宋_GB2312" w:hAnsi="仿宋_GB2312" w:eastAsia="仿宋_GB2312" w:cs="仿宋_GB2312"/>
          <w:b w:val="0"/>
          <w:bCs w:val="0"/>
          <w:color w:val="auto"/>
          <w:sz w:val="32"/>
          <w:szCs w:val="32"/>
          <w:highlight w:val="none"/>
          <w:lang w:val="en-US" w:eastAsia="zh-CN"/>
        </w:rPr>
        <w:t>纳入盘活范围的公园建设总投资额作为计费基数</w:t>
      </w:r>
      <w:r>
        <w:rPr>
          <w:rFonts w:hint="eastAsia" w:ascii="仿宋_GB2312" w:hAnsi="仿宋_GB2312" w:eastAsia="仿宋_GB2312" w:cs="仿宋_GB2312"/>
          <w:color w:val="auto"/>
          <w:sz w:val="32"/>
          <w:szCs w:val="32"/>
          <w:lang w:val="en-US" w:eastAsia="zh-CN"/>
        </w:rPr>
        <w:t>计算标准取费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行业调整系数</w:t>
      </w:r>
      <w:r>
        <w:rPr>
          <w:rFonts w:hint="eastAsia" w:ascii="仿宋_GB2312" w:hAnsi="仿宋_GB2312" w:eastAsia="仿宋_GB2312" w:cs="仿宋_GB2312"/>
          <w:color w:val="auto"/>
          <w:sz w:val="32"/>
          <w:szCs w:val="32"/>
          <w:highlight w:val="none"/>
          <w:lang w:val="en-US" w:eastAsia="zh-CN"/>
        </w:rPr>
        <w:t>0.7*中标折扣率所得费用+</w:t>
      </w:r>
      <w:r>
        <w:rPr>
          <w:rFonts w:hint="eastAsia" w:ascii="仿宋_GB2312" w:hAnsi="仿宋_GB2312" w:eastAsia="仿宋_GB2312" w:cs="仿宋_GB2312"/>
          <w:b w:val="0"/>
          <w:bCs w:val="0"/>
          <w:color w:val="auto"/>
          <w:sz w:val="32"/>
          <w:szCs w:val="32"/>
          <w:lang w:val="en-US" w:eastAsia="zh-CN"/>
        </w:rPr>
        <w:t>二期实际</w:t>
      </w:r>
      <w:r>
        <w:rPr>
          <w:rFonts w:hint="eastAsia" w:ascii="仿宋_GB2312" w:hAnsi="仿宋_GB2312" w:eastAsia="仿宋_GB2312" w:cs="仿宋_GB2312"/>
          <w:b w:val="0"/>
          <w:bCs w:val="0"/>
          <w:color w:val="auto"/>
          <w:sz w:val="32"/>
          <w:szCs w:val="32"/>
          <w:highlight w:val="none"/>
          <w:lang w:val="en-US" w:eastAsia="zh-CN"/>
        </w:rPr>
        <w:t>纳入盘活范围的公园建设总投资额作为计费基数</w:t>
      </w:r>
      <w:r>
        <w:rPr>
          <w:rFonts w:hint="eastAsia" w:ascii="仿宋_GB2312" w:hAnsi="仿宋_GB2312" w:eastAsia="仿宋_GB2312" w:cs="仿宋_GB2312"/>
          <w:color w:val="auto"/>
          <w:sz w:val="32"/>
          <w:szCs w:val="32"/>
          <w:lang w:val="en-US" w:eastAsia="zh-CN"/>
        </w:rPr>
        <w:t>计算标准取费</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行业调整系数</w:t>
      </w:r>
      <w:r>
        <w:rPr>
          <w:rFonts w:hint="eastAsia" w:ascii="仿宋_GB2312" w:hAnsi="仿宋_GB2312" w:eastAsia="仿宋_GB2312" w:cs="仿宋_GB2312"/>
          <w:color w:val="auto"/>
          <w:sz w:val="32"/>
          <w:szCs w:val="32"/>
          <w:highlight w:val="none"/>
          <w:lang w:val="en-US" w:eastAsia="zh-CN"/>
        </w:rPr>
        <w:t>0.7*中标折扣率所得费用=实际结算费用</w:t>
      </w:r>
    </w:p>
    <w:p w14:paraId="096B13C9">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九、中标标准</w:t>
      </w:r>
    </w:p>
    <w:p w14:paraId="549B26D4">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区住房和城市更新局采购管理规定》中第五条（三）局内自行采购中“比选采购”相关规定执行：</w:t>
      </w:r>
    </w:p>
    <w:p w14:paraId="329AA96B">
      <w:pPr>
        <w:widowControl/>
        <w:shd w:val="clear" w:color="auto" w:fill="FFFFFF"/>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采购经办科室（单位）</w:t>
      </w:r>
      <w:r>
        <w:rPr>
          <w:rFonts w:hint="default" w:ascii="仿宋_GB2312" w:hAnsi="仿宋_GB2312" w:eastAsia="仿宋_GB2312" w:cs="仿宋_GB2312"/>
          <w:color w:val="auto"/>
          <w:sz w:val="32"/>
          <w:szCs w:val="32"/>
          <w:lang w:val="en-US" w:eastAsia="zh-CN"/>
        </w:rPr>
        <w:t>按自行采购项目比选采购文件约定的时间和地点组织比选，由比选小组现场开启各供应商的投标文件，一般应根据符合采购需求、质量和服务相等且报价最低的原则对供应商的资质、业绩、报价等进行比选，比选小组可对存在的疑问提出质询，投标单位现场答复。通过审查的投标单位不得少于3家，若不足3家，应当场宣布流标，招标采购主体重新组织采购，并做好相关记录工作。比选小组按预先设定的评标标准现场统计比选结果，并</w:t>
      </w:r>
      <w:r>
        <w:rPr>
          <w:rFonts w:hint="eastAsia" w:ascii="仿宋_GB2312" w:hAnsi="仿宋_GB2312" w:eastAsia="仿宋_GB2312" w:cs="仿宋_GB2312"/>
          <w:color w:val="auto"/>
          <w:sz w:val="32"/>
          <w:szCs w:val="32"/>
          <w:lang w:val="en-US" w:eastAsia="zh-CN"/>
        </w:rPr>
        <w:t>现场</w:t>
      </w:r>
      <w:r>
        <w:rPr>
          <w:rFonts w:hint="default" w:ascii="仿宋_GB2312" w:hAnsi="仿宋_GB2312" w:eastAsia="仿宋_GB2312" w:cs="仿宋_GB2312"/>
          <w:color w:val="auto"/>
          <w:sz w:val="32"/>
          <w:szCs w:val="32"/>
          <w:lang w:val="en-US" w:eastAsia="zh-CN"/>
        </w:rPr>
        <w:t>签字确认。</w:t>
      </w:r>
    </w:p>
    <w:p w14:paraId="6285B6B4">
      <w:pPr>
        <w:widowControl/>
        <w:shd w:val="clear" w:color="auto" w:fill="FFFFFF"/>
        <w:ind w:firstLine="640" w:firstLineChars="200"/>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采购经办科室（单位）</w:t>
      </w:r>
      <w:r>
        <w:rPr>
          <w:rFonts w:hint="default" w:ascii="仿宋_GB2312" w:hAnsi="仿宋_GB2312" w:eastAsia="仿宋_GB2312" w:cs="仿宋_GB2312"/>
          <w:color w:val="auto"/>
          <w:sz w:val="32"/>
          <w:szCs w:val="32"/>
          <w:lang w:val="en-US" w:eastAsia="zh-CN"/>
        </w:rPr>
        <w:t>根据比选采购</w:t>
      </w:r>
      <w:r>
        <w:rPr>
          <w:rFonts w:hint="eastAsia" w:ascii="仿宋_GB2312" w:hAnsi="仿宋_GB2312" w:eastAsia="仿宋_GB2312" w:cs="仿宋_GB2312"/>
          <w:color w:val="auto"/>
          <w:sz w:val="32"/>
          <w:szCs w:val="32"/>
          <w:lang w:val="en-US" w:eastAsia="zh-CN"/>
        </w:rPr>
        <w:t>结果</w:t>
      </w:r>
      <w:r>
        <w:rPr>
          <w:rFonts w:hint="default" w:ascii="仿宋_GB2312" w:hAnsi="仿宋_GB2312" w:eastAsia="仿宋_GB2312" w:cs="仿宋_GB2312"/>
          <w:color w:val="auto"/>
          <w:sz w:val="32"/>
          <w:szCs w:val="32"/>
          <w:lang w:val="en-US" w:eastAsia="zh-CN"/>
        </w:rPr>
        <w:t>确定中标单位，最终结果当场予以公布。除特殊情况外，招标采购主体应确定排名第一的候选人为最终中标单位。</w:t>
      </w:r>
    </w:p>
    <w:p w14:paraId="358130A0">
      <w:pPr>
        <w:numPr>
          <w:ilvl w:val="0"/>
          <w:numId w:val="0"/>
        </w:numPr>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十、其他</w:t>
      </w:r>
    </w:p>
    <w:p w14:paraId="3717A10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凡投标文件有下列情形之一的，属于重大偏差，视同未能对招标文件作出实质性响应，按废标处理：</w:t>
      </w:r>
    </w:p>
    <w:p w14:paraId="05B8EB42">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投标文件未按照招标文件的要求予以密封的；</w:t>
      </w:r>
    </w:p>
    <w:p w14:paraId="78AB6A3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未按招标文件规定的格式填写，内容不全或关键字迹模糊、无法辨认的；</w:t>
      </w:r>
    </w:p>
    <w:p w14:paraId="4F51CEBC">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投标人递交两份或多份内容不同的投标文件，或在一份投标文件中对同一招标项目报有两个或多个报价，且未声明哪一个有效，按招标文件规定提交备选投标方案的除外；</w:t>
      </w:r>
    </w:p>
    <w:p w14:paraId="0863D6A3">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投标文件中的投标函未加盖投标人的公章及企业法定代表人印章的，或者企业法定代表人委托代理人没有合法、有效的委托书（原件）及委托代理人印章的；</w:t>
      </w:r>
    </w:p>
    <w:p w14:paraId="22FBE66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投标人资格条件不符合国家有关规定或招标文件要求的；</w:t>
      </w:r>
    </w:p>
    <w:p w14:paraId="12A167B1">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投标文件载明的招标项目完成期限超过招标文件规定的期限；</w:t>
      </w:r>
    </w:p>
    <w:p w14:paraId="2ADFCF87">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明显不符合技术规范、技术标准的要求；</w:t>
      </w:r>
    </w:p>
    <w:p w14:paraId="458380DB">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投标报价超过招标文件规定的最高限价的；</w:t>
      </w:r>
    </w:p>
    <w:p w14:paraId="303FC72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color w:val="auto"/>
          <w:sz w:val="32"/>
          <w:szCs w:val="32"/>
          <w:lang w:val="en-US" w:eastAsia="zh-CN"/>
        </w:rPr>
        <w:t>以他人的名义投标、串通投标、以行贿手段谋取中标或者其他弄虚作假方式投标的；</w:t>
      </w:r>
    </w:p>
    <w:p w14:paraId="331C63FD">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法律、法规规定的其他废标情形或本招标文件使用的有关文件中约定的其他废标情形。</w:t>
      </w:r>
    </w:p>
    <w:p w14:paraId="01267228">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要求其他未尽事宜，按照东西湖区招标管理有关规定执行。</w:t>
      </w:r>
    </w:p>
    <w:p w14:paraId="02EA1E72">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附件：报价部分参考格式</w:t>
      </w:r>
    </w:p>
    <w:p w14:paraId="0BFBF775">
      <w:pPr>
        <w:spacing w:line="560" w:lineRule="exact"/>
        <w:rPr>
          <w:rFonts w:hint="eastAsia" w:ascii="宋体" w:hAnsi="宋体"/>
          <w:color w:val="auto"/>
          <w:sz w:val="28"/>
          <w:szCs w:val="28"/>
          <w:highlight w:val="none"/>
        </w:rPr>
      </w:pPr>
    </w:p>
    <w:p w14:paraId="4249FC15">
      <w:pPr>
        <w:numPr>
          <w:ilvl w:val="0"/>
          <w:numId w:val="0"/>
        </w:numPr>
        <w:ind w:firstLine="560" w:firstLineChars="200"/>
        <w:rPr>
          <w:rFonts w:hint="eastAsia" w:ascii="仿宋_GB2312" w:hAnsi="仿宋_GB2312" w:eastAsia="仿宋_GB2312" w:cs="仿宋_GB2312"/>
          <w:color w:val="auto"/>
          <w:sz w:val="32"/>
          <w:szCs w:val="32"/>
          <w:lang w:val="en-US" w:eastAsia="zh-CN"/>
        </w:rPr>
      </w:pPr>
      <w:r>
        <w:rPr>
          <w:rFonts w:hint="eastAsia" w:ascii="宋体" w:hAnsi="宋体"/>
          <w:color w:val="auto"/>
          <w:sz w:val="28"/>
          <w:szCs w:val="28"/>
          <w:highlight w:val="non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BEFC93D">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东西湖区住房和城市更新局                     </w:t>
      </w:r>
    </w:p>
    <w:p w14:paraId="23C3F6C3">
      <w:pPr>
        <w:numPr>
          <w:ilvl w:val="0"/>
          <w:numId w:val="0"/>
        </w:numPr>
        <w:ind w:firstLine="640" w:firstLineChars="200"/>
        <w:rPr>
          <w:rFonts w:hint="eastAsia"/>
          <w:b w:val="0"/>
          <w:bCs w:val="0"/>
          <w:color w:val="auto"/>
          <w:sz w:val="32"/>
          <w:szCs w:val="32"/>
          <w:highlight w:val="none"/>
          <w:lang w:eastAsia="zh-CN"/>
        </w:rPr>
      </w:pP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Times New Roman" w:hAnsi="Times New Roman" w:eastAsia="仿宋_GB2312" w:cs="Times New Roman"/>
          <w:color w:val="auto"/>
          <w:sz w:val="32"/>
          <w:szCs w:val="32"/>
          <w:lang w:val="en-US" w:eastAsia="zh-CN"/>
        </w:rPr>
        <w:t>29</w:t>
      </w:r>
      <w:r>
        <w:rPr>
          <w:rFonts w:hint="eastAsia" w:ascii="仿宋_GB2312" w:hAnsi="仿宋_GB2312" w:eastAsia="仿宋_GB2312" w:cs="仿宋_GB2312"/>
          <w:color w:val="auto"/>
          <w:sz w:val="32"/>
          <w:szCs w:val="32"/>
          <w:lang w:val="en-US" w:eastAsia="zh-CN"/>
        </w:rPr>
        <w:t>日</w:t>
      </w:r>
      <w:bookmarkStart w:id="3" w:name="_Toc422998259"/>
      <w:bookmarkStart w:id="4" w:name="_Toc423002391"/>
    </w:p>
    <w:p w14:paraId="7C4869BD">
      <w:pPr>
        <w:rPr>
          <w:rFonts w:hint="eastAsia"/>
          <w:b w:val="0"/>
          <w:bCs w:val="0"/>
          <w:color w:val="auto"/>
          <w:sz w:val="32"/>
          <w:szCs w:val="32"/>
          <w:highlight w:val="none"/>
          <w:lang w:eastAsia="zh-CN"/>
        </w:rPr>
      </w:pPr>
    </w:p>
    <w:p w14:paraId="06058755">
      <w:pPr>
        <w:rPr>
          <w:rFonts w:hint="eastAsia"/>
          <w:b w:val="0"/>
          <w:bCs w:val="0"/>
          <w:color w:val="auto"/>
          <w:sz w:val="32"/>
          <w:szCs w:val="32"/>
          <w:highlight w:val="none"/>
          <w:lang w:eastAsia="zh-CN"/>
        </w:rPr>
      </w:pPr>
    </w:p>
    <w:p w14:paraId="31695738">
      <w:pPr>
        <w:pStyle w:val="2"/>
        <w:ind w:left="0" w:leftChars="0" w:right="0" w:rightChars="0" w:firstLine="0" w:firstLineChars="0"/>
        <w:jc w:val="both"/>
        <w:rPr>
          <w:rFonts w:hint="eastAsia"/>
          <w:b w:val="0"/>
          <w:bCs w:val="0"/>
          <w:color w:val="auto"/>
          <w:sz w:val="32"/>
          <w:szCs w:val="32"/>
          <w:highlight w:val="none"/>
          <w:lang w:eastAsia="zh-CN"/>
        </w:rPr>
      </w:pPr>
      <w:r>
        <w:rPr>
          <w:rFonts w:hint="eastAsia"/>
          <w:b w:val="0"/>
          <w:bCs w:val="0"/>
          <w:color w:val="auto"/>
          <w:sz w:val="32"/>
          <w:szCs w:val="32"/>
          <w:highlight w:val="none"/>
          <w:lang w:eastAsia="zh-CN"/>
        </w:rPr>
        <w:t>一、</w:t>
      </w:r>
      <w:r>
        <w:rPr>
          <w:rFonts w:hint="eastAsia" w:ascii="宋体" w:hAnsi="宋体"/>
          <w:b w:val="0"/>
          <w:bCs w:val="0"/>
          <w:color w:val="auto"/>
          <w:sz w:val="32"/>
          <w:szCs w:val="32"/>
          <w:highlight w:val="none"/>
        </w:rPr>
        <w:t>报价部分</w:t>
      </w:r>
      <w:r>
        <w:rPr>
          <w:rFonts w:hint="eastAsia" w:ascii="宋体" w:hAnsi="宋体"/>
          <w:b w:val="0"/>
          <w:bCs w:val="0"/>
          <w:color w:val="auto"/>
          <w:sz w:val="32"/>
          <w:szCs w:val="32"/>
          <w:highlight w:val="none"/>
          <w:lang w:eastAsia="zh-CN"/>
        </w:rPr>
        <w:t>参考格式</w:t>
      </w:r>
    </w:p>
    <w:p w14:paraId="36556383">
      <w:pPr>
        <w:pStyle w:val="2"/>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附件一：法定代表人授权书</w:t>
      </w:r>
    </w:p>
    <w:p w14:paraId="4CAA49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武汉市东西湖区</w:t>
      </w:r>
      <w:r>
        <w:rPr>
          <w:rFonts w:hint="eastAsia" w:ascii="仿宋_GB2312" w:hAnsi="仿宋_GB2312" w:eastAsia="仿宋_GB2312" w:cs="仿宋_GB2312"/>
          <w:color w:val="auto"/>
          <w:sz w:val="32"/>
          <w:szCs w:val="32"/>
          <w:highlight w:val="none"/>
          <w:u w:val="single"/>
          <w:lang w:eastAsia="zh-CN"/>
        </w:rPr>
        <w:t>住房和</w:t>
      </w:r>
      <w:r>
        <w:rPr>
          <w:rFonts w:hint="eastAsia" w:ascii="仿宋_GB2312" w:hAnsi="仿宋_GB2312" w:eastAsia="仿宋_GB2312" w:cs="仿宋_GB2312"/>
          <w:color w:val="auto"/>
          <w:sz w:val="32"/>
          <w:szCs w:val="32"/>
          <w:highlight w:val="none"/>
          <w:u w:val="single"/>
          <w:lang w:val="en-US" w:eastAsia="zh-CN"/>
        </w:rPr>
        <w:t>城市更新</w:t>
      </w:r>
      <w:r>
        <w:rPr>
          <w:rFonts w:hint="eastAsia" w:ascii="仿宋_GB2312" w:hAnsi="仿宋_GB2312" w:eastAsia="仿宋_GB2312" w:cs="仿宋_GB2312"/>
          <w:color w:val="auto"/>
          <w:sz w:val="32"/>
          <w:szCs w:val="32"/>
          <w:highlight w:val="none"/>
          <w:u w:val="single"/>
        </w:rPr>
        <w:t>局</w:t>
      </w:r>
      <w:r>
        <w:rPr>
          <w:rFonts w:hint="eastAsia" w:ascii="仿宋_GB2312" w:hAnsi="仿宋_GB2312" w:eastAsia="仿宋_GB2312" w:cs="仿宋_GB2312"/>
          <w:color w:val="auto"/>
          <w:sz w:val="32"/>
          <w:szCs w:val="32"/>
          <w:highlight w:val="none"/>
        </w:rPr>
        <w:t>：</w:t>
      </w:r>
    </w:p>
    <w:p w14:paraId="556442C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兹授权</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同志为我公司参加贵单位组织的</w:t>
      </w:r>
      <w:r>
        <w:rPr>
          <w:rFonts w:hint="eastAsia" w:ascii="仿宋_GB2312" w:hAnsi="仿宋_GB2312" w:eastAsia="仿宋_GB2312" w:cs="仿宋_GB2312"/>
          <w:color w:val="auto"/>
          <w:sz w:val="32"/>
          <w:szCs w:val="32"/>
          <w:highlight w:val="none"/>
          <w:u w:val="single"/>
          <w:lang w:val="en-US" w:eastAsia="zh-CN"/>
        </w:rPr>
        <w:t>东西湖区公园绿地生态空间综合利用项目资源现状调查及产业分析咨询编制服务</w:t>
      </w:r>
      <w:r>
        <w:rPr>
          <w:rFonts w:hint="eastAsia" w:ascii="仿宋_GB2312" w:hAnsi="仿宋_GB2312" w:eastAsia="仿宋_GB2312" w:cs="仿宋_GB2312"/>
          <w:color w:val="auto"/>
          <w:sz w:val="32"/>
          <w:szCs w:val="32"/>
          <w:highlight w:val="none"/>
        </w:rPr>
        <w:t>采购活动的投标代表人，全权代表我公司处理在该项目采购活动中的一切事宜。代理期限从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日起至</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日止。 </w:t>
      </w:r>
    </w:p>
    <w:p w14:paraId="47078D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被授权人无转委托权。</w:t>
      </w:r>
    </w:p>
    <w:p w14:paraId="4EA6A28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p>
    <w:p w14:paraId="1FFEBD5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授权单位（加盖公章）：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59CAB23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法定代表人（签字或盖章）：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18724C6">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签发日期：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w:t>
      </w:r>
    </w:p>
    <w:p w14:paraId="14519B6F">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rPr>
      </w:pPr>
    </w:p>
    <w:p w14:paraId="1BD55490">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附：代理人工作单位：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37E5C104">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tbl>
      <w:tblPr>
        <w:tblStyle w:val="7"/>
        <w:tblpPr w:leftFromText="180" w:rightFromText="180" w:vertAnchor="text" w:horzAnchor="page" w:tblpX="1529" w:tblpY="948"/>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2FF8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trPr>
        <w:tc>
          <w:tcPr>
            <w:tcW w:w="9090" w:type="dxa"/>
            <w:noWrap w:val="0"/>
            <w:vAlign w:val="top"/>
          </w:tcPr>
          <w:p w14:paraId="517639DB">
            <w:pPr>
              <w:keepNext w:val="0"/>
              <w:keepLines w:val="0"/>
              <w:pageBreakBefore w:val="0"/>
              <w:widowControl w:val="0"/>
              <w:kinsoku/>
              <w:wordWrap/>
              <w:overflowPunct/>
              <w:topLinePunct w:val="0"/>
              <w:autoSpaceDE/>
              <w:autoSpaceDN/>
              <w:bidi w:val="0"/>
              <w:spacing w:line="56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粘贴</w:t>
            </w:r>
            <w:r>
              <w:rPr>
                <w:rFonts w:hint="eastAsia" w:ascii="仿宋_GB2312" w:hAnsi="仿宋_GB2312" w:eastAsia="仿宋_GB2312" w:cs="仿宋_GB2312"/>
                <w:color w:val="auto"/>
                <w:sz w:val="32"/>
                <w:szCs w:val="32"/>
                <w:highlight w:val="none"/>
                <w:lang w:eastAsia="zh-CN"/>
              </w:rPr>
              <w:t>授权人和</w:t>
            </w:r>
            <w:r>
              <w:rPr>
                <w:rFonts w:hint="eastAsia" w:ascii="仿宋_GB2312" w:hAnsi="仿宋_GB2312" w:eastAsia="仿宋_GB2312" w:cs="仿宋_GB2312"/>
                <w:color w:val="auto"/>
                <w:sz w:val="32"/>
                <w:szCs w:val="32"/>
                <w:highlight w:val="none"/>
              </w:rPr>
              <w:t>被授权人身份证（复印件）</w:t>
            </w:r>
          </w:p>
        </w:tc>
      </w:tr>
    </w:tbl>
    <w:p w14:paraId="73E550F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bookmarkEnd w:id="3"/>
    <w:bookmarkEnd w:id="4"/>
    <w:p w14:paraId="3F4700C1">
      <w:pPr>
        <w:pStyle w:val="2"/>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olor w:val="auto"/>
          <w:sz w:val="44"/>
          <w:szCs w:val="44"/>
          <w:highlight w:val="none"/>
        </w:rPr>
      </w:pPr>
      <w:r>
        <w:rPr>
          <w:rFonts w:hint="eastAsia" w:ascii="方正小标宋简体" w:hAnsi="方正小标宋简体" w:eastAsia="方正小标宋简体" w:cs="方正小标宋简体"/>
          <w:b w:val="0"/>
          <w:bCs/>
          <w:kern w:val="2"/>
          <w:sz w:val="44"/>
          <w:szCs w:val="44"/>
          <w:highlight w:val="none"/>
          <w:lang w:val="en-US" w:eastAsia="zh-CN" w:bidi="ar-SA"/>
        </w:rPr>
        <w:t>附件二：投标一览表</w:t>
      </w:r>
    </w:p>
    <w:p w14:paraId="47CE6464">
      <w:pPr>
        <w:pStyle w:val="1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color w:val="auto"/>
          <w:sz w:val="32"/>
          <w:szCs w:val="32"/>
          <w:highlight w:val="none"/>
          <w:u w:val="single"/>
        </w:rPr>
      </w:pPr>
      <w:r>
        <w:rPr>
          <w:rFonts w:hint="eastAsia" w:ascii="仿宋_GB2312" w:hAnsi="仿宋_GB2312" w:eastAsia="仿宋_GB2312" w:cs="仿宋_GB2312"/>
          <w:b w:val="0"/>
          <w:bCs/>
          <w:color w:val="auto"/>
          <w:sz w:val="32"/>
          <w:szCs w:val="32"/>
          <w:highlight w:val="none"/>
        </w:rPr>
        <w:t>投 标 人</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p>
    <w:p w14:paraId="58AB8B4B">
      <w:pPr>
        <w:pStyle w:val="1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项目</w:t>
      </w:r>
      <w:r>
        <w:rPr>
          <w:rFonts w:hint="eastAsia" w:ascii="仿宋_GB2312" w:hAnsi="仿宋_GB2312" w:eastAsia="仿宋_GB2312" w:cs="仿宋_GB2312"/>
          <w:b w:val="0"/>
          <w:bCs/>
          <w:color w:val="auto"/>
          <w:sz w:val="32"/>
          <w:szCs w:val="32"/>
          <w:highlight w:val="none"/>
          <w:lang w:eastAsia="zh-CN"/>
        </w:rPr>
        <w:t>（服务）</w:t>
      </w:r>
      <w:r>
        <w:rPr>
          <w:rFonts w:hint="eastAsia" w:ascii="仿宋_GB2312" w:hAnsi="仿宋_GB2312" w:eastAsia="仿宋_GB2312" w:cs="仿宋_GB2312"/>
          <w:b w:val="0"/>
          <w:bCs/>
          <w:color w:val="auto"/>
          <w:sz w:val="32"/>
          <w:szCs w:val="32"/>
          <w:highlight w:val="none"/>
        </w:rPr>
        <w:t>名称</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25"/>
        <w:gridCol w:w="1664"/>
        <w:gridCol w:w="3198"/>
        <w:gridCol w:w="1404"/>
      </w:tblGrid>
      <w:tr w14:paraId="2CC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781" w:type="dxa"/>
            <w:tcBorders>
              <w:tl2br w:val="nil"/>
              <w:tr2bl w:val="nil"/>
            </w:tcBorders>
            <w:noWrap w:val="0"/>
            <w:vAlign w:val="center"/>
          </w:tcPr>
          <w:p w14:paraId="28B7288E">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序号</w:t>
            </w:r>
          </w:p>
        </w:tc>
        <w:tc>
          <w:tcPr>
            <w:tcW w:w="2025" w:type="dxa"/>
            <w:tcBorders>
              <w:tl2br w:val="nil"/>
              <w:tr2bl w:val="nil"/>
            </w:tcBorders>
            <w:noWrap w:val="0"/>
            <w:vAlign w:val="center"/>
          </w:tcPr>
          <w:p w14:paraId="24A2CA2A">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服务名称</w:t>
            </w:r>
          </w:p>
        </w:tc>
        <w:tc>
          <w:tcPr>
            <w:tcW w:w="6266" w:type="dxa"/>
            <w:gridSpan w:val="3"/>
            <w:tcBorders>
              <w:tl2br w:val="nil"/>
              <w:tr2bl w:val="nil"/>
            </w:tcBorders>
            <w:noWrap w:val="0"/>
            <w:vAlign w:val="center"/>
          </w:tcPr>
          <w:p w14:paraId="15BA9D13">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服务内容</w:t>
            </w:r>
          </w:p>
        </w:tc>
      </w:tr>
      <w:tr w14:paraId="39EE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781" w:type="dxa"/>
            <w:tcBorders>
              <w:tl2br w:val="nil"/>
              <w:tr2bl w:val="nil"/>
            </w:tcBorders>
            <w:noWrap w:val="0"/>
            <w:vAlign w:val="center"/>
          </w:tcPr>
          <w:p w14:paraId="401ED625">
            <w:pPr>
              <w:spacing w:line="360" w:lineRule="auto"/>
              <w:ind w:left="-38"/>
              <w:jc w:val="center"/>
              <w:rPr>
                <w:rFonts w:hint="eastAsia" w:ascii="宋体" w:hAnsi="宋体"/>
                <w:b/>
                <w:color w:val="auto"/>
                <w:sz w:val="28"/>
                <w:szCs w:val="28"/>
                <w:highlight w:val="none"/>
              </w:rPr>
            </w:pPr>
            <w:r>
              <w:rPr>
                <w:rFonts w:hint="eastAsia" w:ascii="Times New Roman" w:hAnsi="Times New Roman" w:eastAsia="仿宋_GB2312" w:cs="Times New Roman"/>
                <w:color w:val="auto"/>
                <w:sz w:val="32"/>
                <w:szCs w:val="32"/>
                <w:lang w:val="en-US" w:eastAsia="zh-CN"/>
              </w:rPr>
              <w:t>1</w:t>
            </w:r>
          </w:p>
        </w:tc>
        <w:tc>
          <w:tcPr>
            <w:tcW w:w="2025" w:type="dxa"/>
            <w:tcBorders>
              <w:tl2br w:val="nil"/>
              <w:tr2bl w:val="nil"/>
            </w:tcBorders>
            <w:noWrap w:val="0"/>
            <w:vAlign w:val="center"/>
          </w:tcPr>
          <w:p w14:paraId="1D6B7215">
            <w:pPr>
              <w:spacing w:line="360" w:lineRule="auto"/>
              <w:ind w:left="-38"/>
              <w:jc w:val="center"/>
              <w:rPr>
                <w:rFonts w:hint="eastAsia" w:ascii="宋体" w:hAnsi="宋体"/>
                <w:b/>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咨询</w:t>
            </w:r>
            <w:r>
              <w:rPr>
                <w:rFonts w:hint="eastAsia" w:ascii="仿宋_GB2312" w:hAnsi="仿宋_GB2312" w:eastAsia="仿宋_GB2312" w:cs="仿宋_GB2312"/>
                <w:b w:val="0"/>
                <w:bCs/>
                <w:color w:val="auto"/>
                <w:sz w:val="28"/>
                <w:szCs w:val="28"/>
                <w:highlight w:val="none"/>
              </w:rPr>
              <w:t>服务</w:t>
            </w:r>
          </w:p>
        </w:tc>
        <w:tc>
          <w:tcPr>
            <w:tcW w:w="6266" w:type="dxa"/>
            <w:gridSpan w:val="3"/>
            <w:tcBorders>
              <w:tl2br w:val="nil"/>
              <w:tr2bl w:val="nil"/>
            </w:tcBorders>
            <w:noWrap w:val="0"/>
            <w:vAlign w:val="center"/>
          </w:tcPr>
          <w:p w14:paraId="281A1141">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宋体" w:hAnsi="宋体"/>
                <w:b/>
                <w:color w:val="auto"/>
                <w:sz w:val="28"/>
                <w:szCs w:val="28"/>
                <w:highlight w:val="none"/>
              </w:rPr>
            </w:pPr>
            <w:r>
              <w:rPr>
                <w:rFonts w:hint="eastAsia" w:ascii="仿宋_GB2312" w:hAnsi="仿宋_GB2312" w:eastAsia="仿宋_GB2312" w:cs="仿宋_GB2312"/>
                <w:color w:val="auto"/>
                <w:sz w:val="28"/>
                <w:szCs w:val="28"/>
                <w:highlight w:val="none"/>
                <w:lang w:eastAsia="zh-CN"/>
              </w:rPr>
              <w:t>负责</w:t>
            </w:r>
            <w:r>
              <w:rPr>
                <w:rFonts w:hint="eastAsia" w:ascii="仿宋_GB2312" w:hAnsi="仿宋_GB2312" w:eastAsia="仿宋_GB2312" w:cs="仿宋_GB2312"/>
                <w:color w:val="auto"/>
                <w:sz w:val="28"/>
                <w:szCs w:val="28"/>
                <w:highlight w:val="none"/>
                <w:lang w:val="en-US" w:eastAsia="zh-CN"/>
              </w:rPr>
              <w:t>东西湖区公园绿地生态空间综合利用项目</w:t>
            </w:r>
            <w:r>
              <w:rPr>
                <w:rFonts w:hint="eastAsia" w:ascii="仿宋_GB2312" w:hAnsi="仿宋_GB2312" w:eastAsia="仿宋_GB2312" w:cs="仿宋_GB2312"/>
                <w:color w:val="auto"/>
                <w:sz w:val="28"/>
                <w:szCs w:val="28"/>
                <w:highlight w:val="none"/>
                <w:lang w:val="en-US" w:eastAsia="zh-CN"/>
              </w:rPr>
              <w:t>资源现状调查及产业分析咨询服务，并编制完成《</w:t>
            </w:r>
            <w:r>
              <w:rPr>
                <w:rFonts w:hint="eastAsia" w:ascii="仿宋_GB2312" w:hAnsi="仿宋_GB2312" w:eastAsia="仿宋_GB2312" w:cs="仿宋_GB2312"/>
                <w:b w:val="0"/>
                <w:bCs/>
                <w:color w:val="auto"/>
                <w:sz w:val="28"/>
                <w:szCs w:val="28"/>
                <w:highlight w:val="none"/>
                <w:lang w:val="en-US" w:eastAsia="zh-CN"/>
              </w:rPr>
              <w:t>东西湖区公园绿地生态空间综合利用项目</w:t>
            </w:r>
            <w:r>
              <w:rPr>
                <w:rFonts w:hint="eastAsia" w:ascii="仿宋_GB2312" w:hAnsi="仿宋_GB2312" w:eastAsia="仿宋_GB2312" w:cs="仿宋_GB2312"/>
                <w:color w:val="auto"/>
                <w:sz w:val="28"/>
                <w:szCs w:val="28"/>
                <w:highlight w:val="none"/>
                <w:lang w:val="en-US" w:eastAsia="zh-CN"/>
              </w:rPr>
              <w:t>资源现状调查及产业分析咨询报告》。</w:t>
            </w:r>
          </w:p>
        </w:tc>
      </w:tr>
      <w:tr w14:paraId="493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tcBorders>
              <w:tl2br w:val="nil"/>
              <w:tr2bl w:val="nil"/>
            </w:tcBorders>
            <w:noWrap w:val="0"/>
            <w:vAlign w:val="center"/>
          </w:tcPr>
          <w:p w14:paraId="4F083AF2">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投标总报价</w:t>
            </w:r>
          </w:p>
        </w:tc>
        <w:tc>
          <w:tcPr>
            <w:tcW w:w="6266" w:type="dxa"/>
            <w:gridSpan w:val="3"/>
            <w:tcBorders>
              <w:tl2br w:val="nil"/>
              <w:tr2bl w:val="nil"/>
            </w:tcBorders>
            <w:noWrap w:val="0"/>
            <w:vAlign w:val="center"/>
          </w:tcPr>
          <w:p w14:paraId="5760396F">
            <w:pPr>
              <w:spacing w:line="360" w:lineRule="auto"/>
              <w:jc w:val="both"/>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折扣率：</w:t>
            </w:r>
          </w:p>
        </w:tc>
      </w:tr>
      <w:tr w14:paraId="4E63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trPr>
        <w:tc>
          <w:tcPr>
            <w:tcW w:w="2806" w:type="dxa"/>
            <w:gridSpan w:val="2"/>
            <w:tcBorders>
              <w:tl2br w:val="nil"/>
              <w:tr2bl w:val="nil"/>
            </w:tcBorders>
            <w:noWrap w:val="0"/>
            <w:vAlign w:val="center"/>
          </w:tcPr>
          <w:p w14:paraId="35A277F1">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项目服务期</w:t>
            </w:r>
          </w:p>
        </w:tc>
        <w:tc>
          <w:tcPr>
            <w:tcW w:w="6266" w:type="dxa"/>
            <w:gridSpan w:val="3"/>
            <w:tcBorders>
              <w:tl2br w:val="nil"/>
              <w:tr2bl w:val="nil"/>
            </w:tcBorders>
            <w:noWrap w:val="0"/>
            <w:vAlign w:val="center"/>
          </w:tcPr>
          <w:p w14:paraId="37A69E7C">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共计15个日历天。在合同签订后15个日历天内，完成</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lang w:val="en-US" w:eastAsia="zh-CN"/>
              </w:rPr>
              <w:t>东西湖区公园绿地生态空间综合利用项目</w:t>
            </w:r>
            <w:r>
              <w:rPr>
                <w:rFonts w:hint="eastAsia" w:ascii="仿宋_GB2312" w:hAnsi="仿宋_GB2312" w:eastAsia="仿宋_GB2312" w:cs="仿宋_GB2312"/>
                <w:color w:val="auto"/>
                <w:sz w:val="28"/>
                <w:szCs w:val="28"/>
                <w:highlight w:val="none"/>
                <w:lang w:val="en-US" w:eastAsia="zh-CN"/>
              </w:rPr>
              <w:t>资源现状调查及产业分析咨询报告》</w:t>
            </w:r>
            <w:r>
              <w:rPr>
                <w:rFonts w:hint="eastAsia" w:ascii="仿宋_GB2312" w:hAnsi="仿宋_GB2312" w:eastAsia="仿宋_GB2312" w:cs="仿宋_GB2312"/>
                <w:b w:val="0"/>
                <w:bCs/>
                <w:color w:val="auto"/>
                <w:sz w:val="28"/>
                <w:szCs w:val="28"/>
                <w:highlight w:val="none"/>
                <w:lang w:val="en-US" w:eastAsia="zh-CN"/>
              </w:rPr>
              <w:t>成果文件（含一期、二期全部范围）的编制工作，并将相关文件装订好送达指定地点。</w:t>
            </w:r>
          </w:p>
        </w:tc>
      </w:tr>
      <w:tr w14:paraId="687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2806" w:type="dxa"/>
            <w:gridSpan w:val="2"/>
            <w:tcBorders>
              <w:tl2br w:val="nil"/>
              <w:tr2bl w:val="nil"/>
            </w:tcBorders>
            <w:noWrap w:val="0"/>
            <w:vAlign w:val="center"/>
          </w:tcPr>
          <w:p w14:paraId="3BA27F46">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其它优惠条件</w:t>
            </w:r>
          </w:p>
        </w:tc>
        <w:tc>
          <w:tcPr>
            <w:tcW w:w="6266" w:type="dxa"/>
            <w:gridSpan w:val="3"/>
            <w:tcBorders>
              <w:tl2br w:val="nil"/>
              <w:tr2bl w:val="nil"/>
            </w:tcBorders>
            <w:noWrap w:val="0"/>
            <w:vAlign w:val="center"/>
          </w:tcPr>
          <w:p w14:paraId="299501A6">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宋体" w:hAnsi="宋体"/>
                <w:color w:val="auto"/>
                <w:szCs w:val="21"/>
                <w:highlight w:val="none"/>
              </w:rPr>
            </w:pPr>
            <w:r>
              <w:rPr>
                <w:rFonts w:hint="eastAsia" w:ascii="仿宋_GB2312" w:hAnsi="仿宋_GB2312" w:eastAsia="仿宋_GB2312" w:cs="仿宋_GB2312"/>
                <w:color w:val="auto"/>
                <w:sz w:val="28"/>
                <w:szCs w:val="28"/>
                <w:highlight w:val="none"/>
                <w:lang w:eastAsia="zh-CN"/>
              </w:rPr>
              <w:t>（如优惠条件中有优惠金额或折扣比例，则投标总报价应为优惠、折扣后的报价）</w:t>
            </w:r>
          </w:p>
        </w:tc>
      </w:tr>
      <w:tr w14:paraId="5F49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2806" w:type="dxa"/>
            <w:gridSpan w:val="2"/>
            <w:vMerge w:val="restart"/>
            <w:tcBorders>
              <w:tl2br w:val="nil"/>
              <w:tr2bl w:val="nil"/>
            </w:tcBorders>
            <w:noWrap w:val="0"/>
            <w:vAlign w:val="center"/>
          </w:tcPr>
          <w:p w14:paraId="5792859D">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项目负责人</w:t>
            </w:r>
          </w:p>
        </w:tc>
        <w:tc>
          <w:tcPr>
            <w:tcW w:w="1664" w:type="dxa"/>
            <w:tcBorders>
              <w:tl2br w:val="nil"/>
              <w:tr2bl w:val="nil"/>
            </w:tcBorders>
            <w:noWrap w:val="0"/>
            <w:vAlign w:val="center"/>
          </w:tcPr>
          <w:p w14:paraId="71BC0E3B">
            <w:pPr>
              <w:keepNext w:val="0"/>
              <w:keepLines w:val="0"/>
              <w:pageBreakBefore w:val="0"/>
              <w:widowControl w:val="0"/>
              <w:kinsoku/>
              <w:wordWrap/>
              <w:overflowPunct/>
              <w:topLinePunct w:val="0"/>
              <w:autoSpaceDE/>
              <w:autoSpaceDN/>
              <w:bidi w:val="0"/>
              <w:adjustRightInd w:val="0"/>
              <w:snapToGrid w:val="0"/>
              <w:spacing w:line="480" w:lineRule="atLeast"/>
              <w:ind w:firstLine="280" w:firstLineChars="1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姓名</w:t>
            </w:r>
          </w:p>
        </w:tc>
        <w:tc>
          <w:tcPr>
            <w:tcW w:w="3198" w:type="dxa"/>
            <w:tcBorders>
              <w:tl2br w:val="nil"/>
              <w:tr2bl w:val="nil"/>
            </w:tcBorders>
            <w:noWrap w:val="0"/>
            <w:vAlign w:val="center"/>
          </w:tcPr>
          <w:p w14:paraId="170EB98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国家注册执业资格证号</w:t>
            </w:r>
          </w:p>
        </w:tc>
        <w:tc>
          <w:tcPr>
            <w:tcW w:w="1404" w:type="dxa"/>
            <w:tcBorders>
              <w:tl2br w:val="nil"/>
              <w:tr2bl w:val="nil"/>
            </w:tcBorders>
            <w:noWrap w:val="0"/>
            <w:vAlign w:val="center"/>
          </w:tcPr>
          <w:p w14:paraId="7C1D1A4C">
            <w:pPr>
              <w:keepNext w:val="0"/>
              <w:keepLines w:val="0"/>
              <w:pageBreakBefore w:val="0"/>
              <w:widowControl w:val="0"/>
              <w:kinsoku/>
              <w:wordWrap/>
              <w:overflowPunct/>
              <w:topLinePunct w:val="0"/>
              <w:autoSpaceDE/>
              <w:autoSpaceDN/>
              <w:bidi w:val="0"/>
              <w:adjustRightInd w:val="0"/>
              <w:snapToGrid w:val="0"/>
              <w:spacing w:line="480" w:lineRule="atLeast"/>
              <w:ind w:firstLine="280" w:firstLineChars="1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职称</w:t>
            </w:r>
          </w:p>
        </w:tc>
      </w:tr>
      <w:tr w14:paraId="53F5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vMerge w:val="continue"/>
            <w:tcBorders>
              <w:tl2br w:val="nil"/>
              <w:tr2bl w:val="nil"/>
            </w:tcBorders>
            <w:noWrap w:val="0"/>
            <w:vAlign w:val="center"/>
          </w:tcPr>
          <w:p w14:paraId="135E8EDE">
            <w:pPr>
              <w:spacing w:line="360" w:lineRule="auto"/>
              <w:ind w:left="-38"/>
              <w:jc w:val="center"/>
              <w:rPr>
                <w:rFonts w:hint="eastAsia" w:ascii="宋体" w:hAnsi="宋体"/>
                <w:b/>
                <w:color w:val="auto"/>
                <w:sz w:val="24"/>
                <w:highlight w:val="none"/>
              </w:rPr>
            </w:pPr>
          </w:p>
        </w:tc>
        <w:tc>
          <w:tcPr>
            <w:tcW w:w="1664" w:type="dxa"/>
            <w:tcBorders>
              <w:tl2br w:val="nil"/>
              <w:tr2bl w:val="nil"/>
            </w:tcBorders>
            <w:noWrap w:val="0"/>
            <w:vAlign w:val="center"/>
          </w:tcPr>
          <w:p w14:paraId="17E4BD07">
            <w:pPr>
              <w:spacing w:line="360" w:lineRule="auto"/>
              <w:jc w:val="left"/>
              <w:rPr>
                <w:rFonts w:hint="eastAsia" w:ascii="宋体" w:hAnsi="宋体"/>
                <w:color w:val="auto"/>
                <w:szCs w:val="21"/>
                <w:highlight w:val="none"/>
              </w:rPr>
            </w:pPr>
          </w:p>
        </w:tc>
        <w:tc>
          <w:tcPr>
            <w:tcW w:w="3198" w:type="dxa"/>
            <w:tcBorders>
              <w:tl2br w:val="nil"/>
              <w:tr2bl w:val="nil"/>
            </w:tcBorders>
            <w:noWrap w:val="0"/>
            <w:vAlign w:val="center"/>
          </w:tcPr>
          <w:p w14:paraId="5C8420FE">
            <w:pPr>
              <w:spacing w:line="360" w:lineRule="auto"/>
              <w:jc w:val="left"/>
              <w:rPr>
                <w:rFonts w:hint="eastAsia" w:ascii="宋体" w:hAnsi="宋体"/>
                <w:color w:val="auto"/>
                <w:szCs w:val="21"/>
                <w:highlight w:val="none"/>
              </w:rPr>
            </w:pPr>
          </w:p>
        </w:tc>
        <w:tc>
          <w:tcPr>
            <w:tcW w:w="1404" w:type="dxa"/>
            <w:tcBorders>
              <w:tl2br w:val="nil"/>
              <w:tr2bl w:val="nil"/>
            </w:tcBorders>
            <w:noWrap w:val="0"/>
            <w:vAlign w:val="center"/>
          </w:tcPr>
          <w:p w14:paraId="454359B9">
            <w:pPr>
              <w:spacing w:line="360" w:lineRule="auto"/>
              <w:jc w:val="left"/>
              <w:rPr>
                <w:rFonts w:hint="eastAsia" w:ascii="宋体" w:hAnsi="宋体"/>
                <w:color w:val="auto"/>
                <w:szCs w:val="21"/>
                <w:highlight w:val="none"/>
              </w:rPr>
            </w:pPr>
          </w:p>
        </w:tc>
      </w:tr>
      <w:tr w14:paraId="4FFE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6" w:type="dxa"/>
            <w:gridSpan w:val="2"/>
            <w:tcBorders>
              <w:tl2br w:val="nil"/>
              <w:tr2bl w:val="nil"/>
            </w:tcBorders>
            <w:noWrap w:val="0"/>
            <w:vAlign w:val="center"/>
          </w:tcPr>
          <w:p w14:paraId="2E113AB4">
            <w:pPr>
              <w:spacing w:line="360" w:lineRule="auto"/>
              <w:jc w:val="center"/>
              <w:rPr>
                <w:rFonts w:hint="eastAsia" w:ascii="宋体" w:hAnsi="宋体"/>
                <w:b/>
                <w:color w:val="auto"/>
                <w:sz w:val="24"/>
                <w:highlight w:val="none"/>
              </w:rPr>
            </w:pPr>
            <w:r>
              <w:rPr>
                <w:rFonts w:hint="eastAsia" w:ascii="仿宋_GB2312" w:hAnsi="仿宋_GB2312" w:eastAsia="仿宋_GB2312" w:cs="仿宋_GB2312"/>
                <w:b w:val="0"/>
                <w:bCs/>
                <w:color w:val="auto"/>
                <w:sz w:val="28"/>
                <w:szCs w:val="28"/>
                <w:highlight w:val="none"/>
              </w:rPr>
              <w:t>备    注</w:t>
            </w:r>
          </w:p>
        </w:tc>
        <w:tc>
          <w:tcPr>
            <w:tcW w:w="6266" w:type="dxa"/>
            <w:gridSpan w:val="3"/>
            <w:tcBorders>
              <w:tl2br w:val="nil"/>
              <w:tr2bl w:val="nil"/>
            </w:tcBorders>
            <w:noWrap w:val="0"/>
            <w:vAlign w:val="center"/>
          </w:tcPr>
          <w:p w14:paraId="28CFF673">
            <w:pPr>
              <w:spacing w:line="360" w:lineRule="auto"/>
              <w:rPr>
                <w:rFonts w:hint="eastAsia" w:ascii="宋体" w:hAnsi="宋体"/>
                <w:b/>
                <w:color w:val="auto"/>
                <w:sz w:val="24"/>
                <w:highlight w:val="none"/>
              </w:rPr>
            </w:pPr>
          </w:p>
        </w:tc>
      </w:tr>
    </w:tbl>
    <w:p w14:paraId="6F38E037">
      <w:pPr>
        <w:keepNext w:val="0"/>
        <w:keepLines w:val="0"/>
        <w:pageBreakBefore w:val="0"/>
        <w:widowControl w:val="0"/>
        <w:kinsoku/>
        <w:wordWrap/>
        <w:overflowPunct/>
        <w:topLinePunct w:val="0"/>
        <w:autoSpaceDE/>
        <w:autoSpaceDN/>
        <w:bidi w:val="0"/>
        <w:adjustRightInd w:val="0"/>
        <w:snapToGrid w:val="0"/>
        <w:spacing w:line="460" w:lineRule="atLeas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说明：</w:t>
      </w:r>
    </w:p>
    <w:p w14:paraId="7DC2E1E2">
      <w:pPr>
        <w:keepNext w:val="0"/>
        <w:keepLines w:val="0"/>
        <w:pageBreakBefore w:val="0"/>
        <w:widowControl w:val="0"/>
        <w:kinsoku/>
        <w:wordWrap/>
        <w:overflowPunct/>
        <w:topLinePunct w:val="0"/>
        <w:autoSpaceDE/>
        <w:autoSpaceDN/>
        <w:bidi w:val="0"/>
        <w:adjustRightInd w:val="0"/>
        <w:snapToGrid w:val="0"/>
        <w:spacing w:line="460" w:lineRule="atLeast"/>
        <w:ind w:firstLine="64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28"/>
          <w:szCs w:val="28"/>
          <w:highlight w:val="none"/>
          <w:lang w:eastAsia="zh-CN"/>
        </w:rPr>
        <w:t>供应商的总报价只允许报一个，总报价出现两个及以上的投标报价时，按废标处理。</w:t>
      </w:r>
    </w:p>
    <w:p w14:paraId="5D29E562">
      <w:pPr>
        <w:keepNext w:val="0"/>
        <w:keepLines w:val="0"/>
        <w:pageBreakBefore w:val="0"/>
        <w:widowControl w:val="0"/>
        <w:kinsoku/>
        <w:wordWrap/>
        <w:overflowPunct/>
        <w:topLinePunct w:val="0"/>
        <w:autoSpaceDE/>
        <w:autoSpaceDN/>
        <w:bidi w:val="0"/>
        <w:adjustRightInd w:val="0"/>
        <w:snapToGrid w:val="0"/>
        <w:spacing w:line="460" w:lineRule="atLeast"/>
        <w:ind w:firstLine="64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Times New Roman" w:hAnsi="Times New Roman" w:eastAsia="仿宋_GB2312" w:cs="Times New Roman"/>
          <w:color w:val="auto"/>
          <w:sz w:val="32"/>
          <w:szCs w:val="32"/>
          <w:lang w:val="en-US" w:eastAsia="zh-CN"/>
        </w:rPr>
        <w:t xml:space="preserve">2. </w:t>
      </w:r>
      <w:r>
        <w:rPr>
          <w:rFonts w:hint="eastAsia" w:ascii="仿宋_GB2312" w:hAnsi="仿宋_GB2312" w:eastAsia="仿宋_GB2312" w:cs="仿宋_GB2312"/>
          <w:color w:val="auto"/>
          <w:sz w:val="28"/>
          <w:szCs w:val="28"/>
          <w:highlight w:val="none"/>
          <w:lang w:eastAsia="zh-CN"/>
        </w:rPr>
        <w:t>本表必须按要求由投标人本项目法人授权代表签字，并加盖投标单位公章，否则将被视为非响应性投标而作无效投标处理。</w:t>
      </w:r>
    </w:p>
    <w:p w14:paraId="0A816450">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投标人授权代表（签字）：</w:t>
      </w:r>
    </w:p>
    <w:p w14:paraId="4740A14B">
      <w:pPr>
        <w:keepNext w:val="0"/>
        <w:keepLines w:val="0"/>
        <w:pageBreakBefore w:val="0"/>
        <w:widowControl w:val="0"/>
        <w:kinsoku/>
        <w:wordWrap/>
        <w:overflowPunct/>
        <w:topLinePunct w:val="0"/>
        <w:autoSpaceDE/>
        <w:autoSpaceDN/>
        <w:bidi w:val="0"/>
        <w:adjustRightInd w:val="0"/>
        <w:snapToGrid w:val="0"/>
        <w:spacing w:line="460" w:lineRule="atLeast"/>
        <w:ind w:firstLine="3920" w:firstLineChars="1400"/>
        <w:jc w:val="both"/>
        <w:textAlignment w:val="auto"/>
        <w:rPr>
          <w:rFonts w:hint="eastAsia" w:ascii="仿宋_GB2312" w:hAnsi="仿宋_GB2312" w:eastAsia="仿宋_GB2312" w:cs="仿宋_GB2312"/>
          <w:color w:val="auto"/>
          <w:sz w:val="28"/>
          <w:szCs w:val="28"/>
          <w:highlight w:val="none"/>
          <w:lang w:eastAsia="zh-CN"/>
        </w:rPr>
      </w:pPr>
    </w:p>
    <w:p w14:paraId="00740EF2">
      <w:pPr>
        <w:keepNext w:val="0"/>
        <w:keepLines w:val="0"/>
        <w:pageBreakBefore w:val="0"/>
        <w:widowControl w:val="0"/>
        <w:kinsoku/>
        <w:wordWrap/>
        <w:overflowPunct/>
        <w:topLinePunct w:val="0"/>
        <w:autoSpaceDE/>
        <w:autoSpaceDN/>
        <w:bidi w:val="0"/>
        <w:adjustRightInd w:val="0"/>
        <w:snapToGrid w:val="0"/>
        <w:spacing w:line="460" w:lineRule="atLeast"/>
        <w:ind w:firstLine="4200" w:firstLineChars="15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投标人（加盖公章）：</w:t>
      </w:r>
    </w:p>
    <w:p w14:paraId="70B2C0E8">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130452FE">
      <w:pPr>
        <w:keepNext w:val="0"/>
        <w:keepLines w:val="0"/>
        <w:pageBreakBefore w:val="0"/>
        <w:widowControl w:val="0"/>
        <w:kinsoku/>
        <w:wordWrap/>
        <w:overflowPunct/>
        <w:topLinePunct w:val="0"/>
        <w:autoSpaceDE/>
        <w:autoSpaceDN/>
        <w:bidi w:val="0"/>
        <w:adjustRightInd w:val="0"/>
        <w:snapToGrid w:val="0"/>
        <w:spacing w:line="460" w:lineRule="atLeas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投标时间：</w:t>
      </w:r>
    </w:p>
    <w:p w14:paraId="1B249661">
      <w:pPr>
        <w:pStyle w:val="2"/>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附件三:承诺函</w:t>
      </w:r>
    </w:p>
    <w:p w14:paraId="597E1B20">
      <w:pPr>
        <w:widowControl/>
        <w:shd w:val="clear" w:color="auto" w:fill="FFFFFF"/>
        <w:ind w:firstLine="560" w:firstLineChars="200"/>
        <w:rPr>
          <w:rFonts w:hint="eastAsia" w:ascii="仿宋_GB2312" w:hAnsi="仿宋_GB2312" w:eastAsia="仿宋_GB2312" w:cs="仿宋_GB2312"/>
          <w:color w:val="auto"/>
          <w:sz w:val="32"/>
          <w:szCs w:val="32"/>
          <w:lang w:val="en-US" w:eastAsia="zh-CN"/>
        </w:rPr>
      </w:pPr>
      <w:r>
        <w:rPr>
          <w:rFonts w:hint="eastAsia" w:ascii="宋体" w:hAnsi="宋体"/>
          <w:sz w:val="28"/>
          <w:szCs w:val="28"/>
          <w:lang w:val="en-US" w:eastAsia="zh-CN"/>
        </w:rPr>
        <w:t xml:space="preserve">    </w:t>
      </w:r>
      <w:r>
        <w:rPr>
          <w:rFonts w:hint="eastAsia" w:ascii="仿宋_GB2312" w:hAnsi="仿宋_GB2312" w:eastAsia="仿宋_GB2312" w:cs="仿宋_GB2312"/>
          <w:color w:val="auto"/>
          <w:sz w:val="32"/>
          <w:szCs w:val="32"/>
          <w:lang w:val="en-US" w:eastAsia="zh-CN"/>
        </w:rPr>
        <w:t>本次服务项目《国家计委关于印发建设项目前期工作咨询收费暂行规定的通知》计价格[1999]1283号中“编制项目建议书”的计费标准，按区间内插入法计算标准取费，行业调整系数为0.7，本次服务项目拦标折扣率为</w:t>
      </w:r>
      <w:r>
        <w:rPr>
          <w:rFonts w:hint="eastAsia" w:ascii="Times New Roman" w:hAnsi="Times New Roman" w:eastAsia="仿宋_GB2312" w:cs="Times New Roman"/>
          <w:color w:val="auto"/>
          <w:sz w:val="32"/>
          <w:szCs w:val="32"/>
          <w:lang w:val="en-US" w:eastAsia="zh-CN"/>
        </w:rPr>
        <w:t>55%</w:t>
      </w:r>
      <w:r>
        <w:rPr>
          <w:rFonts w:hint="eastAsia" w:ascii="仿宋_GB2312" w:hAnsi="仿宋_GB2312" w:eastAsia="仿宋_GB2312" w:cs="仿宋_GB2312"/>
          <w:color w:val="auto"/>
          <w:sz w:val="32"/>
          <w:szCs w:val="32"/>
          <w:lang w:val="en-US" w:eastAsia="zh-CN"/>
        </w:rPr>
        <w:t>，不得高于拦标折扣率报价。本次服务主要内容为：提供实施资源现状调查和产业分析咨询编制服务，并负责完成《东西湖区公园绿地生态空间综合利用项目资源现状调查和产业分析咨询报告》成果文件（含一期、二期全部范围）的编制工作。我单位承诺遵照本次服务招标文件和报价说明，结合单位自身情况，认真测算服务费用后报价，高于拦标折扣率报价作废标处理。</w:t>
      </w:r>
    </w:p>
    <w:p w14:paraId="2F38C86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sz w:val="28"/>
          <w:szCs w:val="28"/>
          <w:lang w:val="en-US" w:eastAsia="zh-CN"/>
        </w:rPr>
        <w:t xml:space="preserve">  </w:t>
      </w:r>
    </w:p>
    <w:p w14:paraId="0F77376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sz w:val="28"/>
          <w:szCs w:val="28"/>
          <w:lang w:val="en-US" w:eastAsia="zh-CN"/>
        </w:rPr>
        <w:t xml:space="preserve">  </w:t>
      </w:r>
    </w:p>
    <w:p w14:paraId="493B0DB1">
      <w:pPr>
        <w:pStyle w:val="6"/>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投标人授权代表（签字）：</w:t>
      </w:r>
    </w:p>
    <w:p w14:paraId="4091DE11">
      <w:pPr>
        <w:pStyle w:val="6"/>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rPr>
      </w:pPr>
    </w:p>
    <w:p w14:paraId="391FB063">
      <w:pPr>
        <w:pStyle w:val="6"/>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投标人（加盖公章）：</w:t>
      </w:r>
    </w:p>
    <w:p w14:paraId="7B2ED8BC">
      <w:pPr>
        <w:pStyle w:val="6"/>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p>
    <w:p w14:paraId="141795FA">
      <w:pPr>
        <w:pStyle w:val="6"/>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投标时间：</w:t>
      </w:r>
    </w:p>
    <w:p w14:paraId="194AEAA1">
      <w:pPr>
        <w:spacing w:line="600" w:lineRule="exact"/>
        <w:ind w:firstLine="548" w:firstLineChars="196"/>
        <w:rPr>
          <w:rFonts w:hint="eastAsia" w:ascii="宋体" w:hAnsi="宋体"/>
          <w:sz w:val="28"/>
          <w:szCs w:val="28"/>
        </w:rPr>
      </w:pPr>
    </w:p>
    <w:p w14:paraId="27923D16">
      <w:pPr>
        <w:jc w:val="both"/>
        <w:rPr>
          <w:rFonts w:hint="eastAsia" w:ascii="华文行楷" w:hAnsi="宋体" w:eastAsia="华文行楷"/>
          <w:b/>
          <w:color w:val="auto"/>
          <w:sz w:val="32"/>
          <w:szCs w:val="32"/>
          <w:highlight w:val="none"/>
          <w:lang w:val="en-US" w:eastAsia="zh-CN"/>
        </w:rPr>
      </w:pPr>
    </w:p>
    <w:p w14:paraId="126B4CE0">
      <w:pPr>
        <w:pStyle w:val="2"/>
        <w:keepNext/>
        <w:keepLines/>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 w:val="0"/>
          <w:bCs/>
          <w:kern w:val="2"/>
          <w:sz w:val="44"/>
          <w:szCs w:val="44"/>
          <w:highlight w:val="none"/>
          <w:lang w:val="en-US" w:eastAsia="zh-CN" w:bidi="ar-SA"/>
        </w:rPr>
        <w:t>附件四：投标人营业执照、项目负责人专业技术职称或执业能力资格证书及类似业绩等其他资料</w:t>
      </w:r>
    </w:p>
    <w:p w14:paraId="5966C4E0">
      <w:pPr>
        <w:jc w:val="center"/>
        <w:rPr>
          <w:rFonts w:hint="eastAsia" w:ascii="宋体" w:hAnsi="宋体"/>
          <w:b/>
          <w:color w:val="auto"/>
          <w:sz w:val="36"/>
          <w:szCs w:val="36"/>
          <w:highlight w:val="none"/>
        </w:rPr>
      </w:pPr>
    </w:p>
    <w:p w14:paraId="2879E5C9">
      <w:pPr>
        <w:jc w:val="center"/>
        <w:rPr>
          <w:rFonts w:hint="eastAsia" w:ascii="宋体" w:hAnsi="宋体"/>
          <w:b/>
          <w:color w:val="auto"/>
          <w:sz w:val="28"/>
          <w:szCs w:val="28"/>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无固定格式要求</w:t>
      </w:r>
      <w:bookmarkStart w:id="5" w:name="_GoBack"/>
      <w:bookmarkEnd w:id="5"/>
    </w:p>
    <w:p w14:paraId="49537F41">
      <w:pPr>
        <w:pStyle w:val="5"/>
        <w:rPr>
          <w:rFonts w:hint="default" w:ascii="宋体" w:hAnsi="宋体"/>
          <w:color w:val="auto"/>
          <w:sz w:val="28"/>
          <w:szCs w:val="28"/>
          <w:highlight w:val="none"/>
          <w:lang w:val="en-US" w:eastAsia="zh-CN"/>
        </w:rPr>
      </w:pPr>
    </w:p>
    <w:p w14:paraId="2D868691">
      <w:pPr>
        <w:ind w:firstLine="570"/>
        <w:rPr>
          <w:rFonts w:hint="eastAsia" w:ascii="宋体" w:hAnsi="宋体"/>
          <w:b/>
          <w:sz w:val="28"/>
          <w:szCs w:val="28"/>
        </w:rPr>
      </w:pPr>
    </w:p>
    <w:p w14:paraId="248A180E">
      <w:pPr>
        <w:pStyle w:val="5"/>
        <w:rPr>
          <w:rFonts w:hint="default" w:ascii="宋体" w:hAnsi="宋体"/>
          <w:color w:val="auto"/>
          <w:sz w:val="28"/>
          <w:szCs w:val="28"/>
          <w:highlight w:val="none"/>
          <w:lang w:val="en-US" w:eastAsia="zh-CN"/>
        </w:rPr>
      </w:pPr>
    </w:p>
    <w:p w14:paraId="00B20AB2">
      <w:pPr>
        <w:ind w:left="0" w:leftChars="0" w:right="0" w:rightChars="0" w:firstLine="0" w:firstLineChars="0"/>
        <w:jc w:val="center"/>
        <w:rPr>
          <w:rFonts w:hint="eastAsia" w:ascii="方正小标宋简体" w:hAnsi="方正小标宋简体" w:eastAsia="方正小标宋简体" w:cs="方正小标宋简体"/>
          <w:b w:val="0"/>
          <w:bCs/>
          <w:sz w:val="44"/>
          <w:szCs w:val="44"/>
          <w:highlight w:val="none"/>
          <w:lang w:eastAsia="zh-CN"/>
        </w:rPr>
      </w:pPr>
    </w:p>
    <w:p w14:paraId="052CF7FE">
      <w:pPr>
        <w:ind w:firstLine="720"/>
        <w:jc w:val="center"/>
        <w:rPr>
          <w:rFonts w:hint="default" w:ascii="仿宋_GB2312" w:hAnsi="仿宋_GB2312" w:eastAsia="仿宋_GB2312" w:cs="仿宋_GB2312"/>
          <w:sz w:val="36"/>
          <w:szCs w:val="36"/>
          <w:highlight w:val="none"/>
          <w:u w:val="single" w:color="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229B"/>
    <w:rsid w:val="02221A62"/>
    <w:rsid w:val="029C28AB"/>
    <w:rsid w:val="046B3792"/>
    <w:rsid w:val="04C2712A"/>
    <w:rsid w:val="04DA0918"/>
    <w:rsid w:val="05A36F5B"/>
    <w:rsid w:val="062E0F1B"/>
    <w:rsid w:val="086E1AA3"/>
    <w:rsid w:val="08DC4BAC"/>
    <w:rsid w:val="0BD51E39"/>
    <w:rsid w:val="0C083FBC"/>
    <w:rsid w:val="0E770F85"/>
    <w:rsid w:val="0FFC5BE6"/>
    <w:rsid w:val="114304FD"/>
    <w:rsid w:val="131B6383"/>
    <w:rsid w:val="13C7475D"/>
    <w:rsid w:val="147F6DE6"/>
    <w:rsid w:val="16826719"/>
    <w:rsid w:val="169923E1"/>
    <w:rsid w:val="19355CC5"/>
    <w:rsid w:val="19E33973"/>
    <w:rsid w:val="1BEC2FB3"/>
    <w:rsid w:val="1E94214F"/>
    <w:rsid w:val="204435FC"/>
    <w:rsid w:val="21A41C3A"/>
    <w:rsid w:val="21A659B2"/>
    <w:rsid w:val="227C4964"/>
    <w:rsid w:val="266F2816"/>
    <w:rsid w:val="27337321"/>
    <w:rsid w:val="274E4B21"/>
    <w:rsid w:val="27B30E28"/>
    <w:rsid w:val="27DB3EDB"/>
    <w:rsid w:val="27EE3C0E"/>
    <w:rsid w:val="28612632"/>
    <w:rsid w:val="28F416F8"/>
    <w:rsid w:val="29C15A7E"/>
    <w:rsid w:val="2BA47406"/>
    <w:rsid w:val="2CA62D0A"/>
    <w:rsid w:val="2D0F08AF"/>
    <w:rsid w:val="304A7E50"/>
    <w:rsid w:val="354457B6"/>
    <w:rsid w:val="35AD6EB7"/>
    <w:rsid w:val="380A4A95"/>
    <w:rsid w:val="382F62A9"/>
    <w:rsid w:val="386341A5"/>
    <w:rsid w:val="38804D57"/>
    <w:rsid w:val="394915ED"/>
    <w:rsid w:val="39B60304"/>
    <w:rsid w:val="3A4A1178"/>
    <w:rsid w:val="3AA27206"/>
    <w:rsid w:val="3B0C4680"/>
    <w:rsid w:val="3CE05DC4"/>
    <w:rsid w:val="3F9B5FD2"/>
    <w:rsid w:val="407F58F4"/>
    <w:rsid w:val="41807B75"/>
    <w:rsid w:val="418B7E3D"/>
    <w:rsid w:val="429C453B"/>
    <w:rsid w:val="448B4867"/>
    <w:rsid w:val="47E04ECA"/>
    <w:rsid w:val="47F866B8"/>
    <w:rsid w:val="4ADF76BB"/>
    <w:rsid w:val="4D021D86"/>
    <w:rsid w:val="4F391364"/>
    <w:rsid w:val="4F7B197C"/>
    <w:rsid w:val="4F936CC6"/>
    <w:rsid w:val="50A82C45"/>
    <w:rsid w:val="50F934A0"/>
    <w:rsid w:val="52140592"/>
    <w:rsid w:val="52326C6A"/>
    <w:rsid w:val="52FC2DD4"/>
    <w:rsid w:val="544B7B6F"/>
    <w:rsid w:val="54613836"/>
    <w:rsid w:val="54817A35"/>
    <w:rsid w:val="56CD51B3"/>
    <w:rsid w:val="571903F8"/>
    <w:rsid w:val="57415259"/>
    <w:rsid w:val="58B06B3A"/>
    <w:rsid w:val="595B4CF8"/>
    <w:rsid w:val="59657925"/>
    <w:rsid w:val="5B13515F"/>
    <w:rsid w:val="5C166CB5"/>
    <w:rsid w:val="5EC24ED2"/>
    <w:rsid w:val="5FB40CBE"/>
    <w:rsid w:val="606F2E37"/>
    <w:rsid w:val="60CE5249"/>
    <w:rsid w:val="60CF38D6"/>
    <w:rsid w:val="639257BA"/>
    <w:rsid w:val="66D6776C"/>
    <w:rsid w:val="675114E9"/>
    <w:rsid w:val="68012F0F"/>
    <w:rsid w:val="6B8901D1"/>
    <w:rsid w:val="6B99520C"/>
    <w:rsid w:val="6C726189"/>
    <w:rsid w:val="6CA87DFD"/>
    <w:rsid w:val="6F9B1553"/>
    <w:rsid w:val="704A4D27"/>
    <w:rsid w:val="723B701D"/>
    <w:rsid w:val="739A5FC5"/>
    <w:rsid w:val="768E1E11"/>
    <w:rsid w:val="769D3E02"/>
    <w:rsid w:val="782E700C"/>
    <w:rsid w:val="78B6564F"/>
    <w:rsid w:val="797D43BF"/>
    <w:rsid w:val="79C8388C"/>
    <w:rsid w:val="79FC72CC"/>
    <w:rsid w:val="7A9419C0"/>
    <w:rsid w:val="7B1D0CCD"/>
    <w:rsid w:val="7BB87930"/>
    <w:rsid w:val="7BF87D2D"/>
    <w:rsid w:val="7F0864D9"/>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Times New Roman" w:hAnsi="Times New Roman"/>
      <w:sz w:val="24"/>
      <w:szCs w:val="24"/>
    </w:rPr>
  </w:style>
  <w:style w:type="paragraph" w:styleId="4">
    <w:name w:val="Body Text Indent"/>
    <w:basedOn w:val="1"/>
    <w:next w:val="5"/>
    <w:qFormat/>
    <w:uiPriority w:val="0"/>
    <w:pPr>
      <w:ind w:firstLine="358" w:firstLineChars="112"/>
    </w:pPr>
    <w:rPr>
      <w:rFonts w:ascii="仿宋_GB2312" w:eastAsia="仿宋_GB2312"/>
      <w:sz w:val="32"/>
      <w:szCs w:val="32"/>
    </w:rPr>
  </w:style>
  <w:style w:type="paragraph" w:customStyle="1" w:styleId="5">
    <w:name w:val="正文1"/>
    <w:basedOn w:val="3"/>
    <w:autoRedefine/>
    <w:qFormat/>
    <w:uiPriority w:val="0"/>
    <w:pPr>
      <w:widowControl w:val="0"/>
      <w:adjustRightInd w:val="0"/>
      <w:snapToGrid w:val="0"/>
      <w:spacing w:after="156" w:afterLines="50" w:line="300" w:lineRule="auto"/>
      <w:ind w:firstLine="200" w:firstLineChars="200"/>
      <w:jc w:val="both"/>
    </w:pPr>
    <w:rPr>
      <w:rFonts w:ascii="宋体" w:hAnsi="Times New Roman"/>
      <w:spacing w:val="10"/>
      <w:sz w:val="24"/>
      <w:lang w:val="en-US" w:eastAsia="zh-CN" w:bidi="ar-SA"/>
    </w:rPr>
  </w:style>
  <w:style w:type="paragraph" w:styleId="6">
    <w:name w:val="Plain Text"/>
    <w:basedOn w:val="1"/>
    <w:qFormat/>
    <w:uiPriority w:val="0"/>
    <w:rPr>
      <w:rFonts w:ascii="宋体" w:hAnsi="Courier New" w:cs="Courier New"/>
      <w:kern w:val="2"/>
      <w:sz w:val="21"/>
      <w:szCs w:val="21"/>
    </w:rPr>
  </w:style>
  <w:style w:type="character" w:customStyle="1" w:styleId="9">
    <w:name w:val="NormalCharacter"/>
    <w:qFormat/>
    <w:uiPriority w:val="0"/>
    <w:rPr>
      <w:rFonts w:ascii="Calibri" w:hAnsi="Calibri" w:eastAsia="宋体"/>
      <w:lang w:val="en-US"/>
    </w:rPr>
  </w:style>
  <w:style w:type="paragraph" w:customStyle="1" w:styleId="10">
    <w:name w:val="Plain Text"/>
    <w:basedOn w:val="1"/>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3121</Words>
  <Characters>3276</Characters>
  <Lines>0</Lines>
  <Paragraphs>0</Paragraphs>
  <TotalTime>0</TotalTime>
  <ScaleCrop>false</ScaleCrop>
  <LinksUpToDate>false</LinksUpToDate>
  <CharactersWithSpaces>3714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2026-04-23T01:24:00Z</dcterms:created>
  <dc:creator>Administrator</dc:creator>
  <cp:lastModifiedBy>平凡之路</cp:lastModifiedBy>
  <dcterms:modified xsi:type="dcterms:W3CDTF">2026-04-30T08:28:07Z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eyJoZGlkIjoiZDA5NGQ3NmY1MTk3NzkyNmQ2NWJmYTQzMmY0NjcyMzUiLCJ1c2VySWQiOiI1Mzc0OTk3NjgifQ==</vt:lpwstr>
  </property>
  <property fmtid="{D5CDD505-2E9C-101B-9397-08002B2CF9AE}" pid="4" name="ICV">
    <vt:lpwstr>EAFCBB5ACF184D7BA1A5E333D491A085_13</vt:lpwstr>
  </property>
</Properties>
</file>