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FA1" w:rsidRDefault="00640C1C">
      <w:pPr>
        <w:widowControl/>
        <w:spacing w:line="432" w:lineRule="atLeast"/>
        <w:jc w:val="center"/>
        <w:rPr>
          <w:rFonts w:ascii="方正小标宋简体" w:eastAsia="方正小标宋简体" w:hAnsi="方正小标宋简体" w:cs="方正小标宋简体"/>
          <w:color w:val="000000"/>
          <w:kern w:val="0"/>
          <w:sz w:val="44"/>
          <w:szCs w:val="44"/>
        </w:rPr>
      </w:pPr>
      <w:r>
        <w:rPr>
          <w:rFonts w:ascii="方正小标宋简体" w:eastAsia="方正小标宋简体" w:hAnsi="方正小标宋简体" w:cs="方正小标宋简体" w:hint="eastAsia"/>
          <w:color w:val="000000"/>
          <w:kern w:val="0"/>
          <w:sz w:val="44"/>
          <w:szCs w:val="44"/>
        </w:rPr>
        <w:t>2020年度区应急管理局整体绩效自评结果</w:t>
      </w:r>
    </w:p>
    <w:p w:rsidR="00176FA1" w:rsidRDefault="00176FA1">
      <w:pPr>
        <w:widowControl/>
        <w:spacing w:line="432" w:lineRule="atLeast"/>
        <w:jc w:val="center"/>
        <w:rPr>
          <w:rFonts w:ascii="方正小标宋简体" w:eastAsia="方正小标宋简体" w:hAnsi="方正小标宋简体" w:cs="方正小标宋简体"/>
          <w:color w:val="000000"/>
          <w:kern w:val="0"/>
          <w:szCs w:val="32"/>
        </w:rPr>
      </w:pPr>
    </w:p>
    <w:p w:rsidR="00176FA1" w:rsidRDefault="00640C1C">
      <w:pPr>
        <w:widowControl/>
        <w:ind w:firstLineChars="200" w:firstLine="632"/>
        <w:jc w:val="left"/>
        <w:rPr>
          <w:rFonts w:ascii="仿宋" w:eastAsia="仿宋" w:hAnsi="仿宋" w:cs="仿宋"/>
          <w:color w:val="000000"/>
          <w:kern w:val="0"/>
          <w:szCs w:val="32"/>
        </w:rPr>
      </w:pPr>
      <w:r>
        <w:rPr>
          <w:rFonts w:ascii="仿宋" w:eastAsia="仿宋" w:hAnsi="仿宋" w:cs="仿宋" w:hint="eastAsia"/>
          <w:color w:val="000000"/>
          <w:kern w:val="0"/>
          <w:szCs w:val="32"/>
        </w:rPr>
        <w:t>为做好2020年度部门整体支出绩效自评工作，强化绩效和责任意识，提高财政资金使用效益，根据区财政局《关于开展2020年度预算绩效评价及结果应用工作的通知》（</w:t>
      </w:r>
      <w:proofErr w:type="gramStart"/>
      <w:r>
        <w:rPr>
          <w:rFonts w:ascii="仿宋" w:eastAsia="仿宋" w:hAnsi="仿宋" w:cs="仿宋" w:hint="eastAsia"/>
          <w:color w:val="000000"/>
          <w:kern w:val="0"/>
          <w:szCs w:val="32"/>
        </w:rPr>
        <w:t>东财〔2020〕</w:t>
      </w:r>
      <w:proofErr w:type="gramEnd"/>
      <w:r>
        <w:rPr>
          <w:rFonts w:ascii="仿宋" w:eastAsia="仿宋" w:hAnsi="仿宋" w:cs="仿宋" w:hint="eastAsia"/>
          <w:color w:val="000000"/>
          <w:kern w:val="0"/>
          <w:szCs w:val="32"/>
        </w:rPr>
        <w:t>42号）要求，我局对2020年度部门整体支出开展绩效自评，具体情况如下：</w:t>
      </w:r>
    </w:p>
    <w:p w:rsidR="00176FA1" w:rsidRDefault="00640C1C">
      <w:pPr>
        <w:widowControl/>
        <w:ind w:firstLineChars="200" w:firstLine="632"/>
        <w:jc w:val="left"/>
        <w:rPr>
          <w:rFonts w:ascii="黑体" w:eastAsia="黑体" w:hAnsi="黑体" w:cs="黑体"/>
          <w:color w:val="000000"/>
          <w:kern w:val="0"/>
          <w:szCs w:val="32"/>
        </w:rPr>
      </w:pPr>
      <w:r>
        <w:rPr>
          <w:rFonts w:ascii="黑体" w:eastAsia="黑体" w:hAnsi="黑体" w:cs="黑体" w:hint="eastAsia"/>
          <w:color w:val="000000"/>
          <w:kern w:val="0"/>
          <w:szCs w:val="32"/>
        </w:rPr>
        <w:t>一、自评结论</w:t>
      </w:r>
    </w:p>
    <w:p w:rsidR="00176FA1" w:rsidRDefault="00640C1C">
      <w:pPr>
        <w:widowControl/>
        <w:ind w:firstLineChars="200" w:firstLine="632"/>
        <w:jc w:val="left"/>
        <w:rPr>
          <w:rFonts w:ascii="楷体" w:eastAsia="楷体" w:hAnsi="楷体" w:cs="楷体"/>
          <w:color w:val="000000"/>
          <w:kern w:val="0"/>
          <w:szCs w:val="32"/>
        </w:rPr>
      </w:pPr>
      <w:r>
        <w:rPr>
          <w:rFonts w:ascii="楷体" w:eastAsia="楷体" w:hAnsi="楷体" w:cs="楷体" w:hint="eastAsia"/>
          <w:color w:val="000000"/>
          <w:kern w:val="0"/>
          <w:szCs w:val="32"/>
        </w:rPr>
        <w:t>（一）部门整体绩效自评得分</w:t>
      </w:r>
    </w:p>
    <w:p w:rsidR="00176FA1" w:rsidRDefault="00640C1C">
      <w:pPr>
        <w:widowControl/>
        <w:ind w:firstLineChars="200" w:firstLine="632"/>
        <w:jc w:val="left"/>
        <w:rPr>
          <w:rFonts w:ascii="仿宋" w:eastAsia="仿宋" w:hAnsi="仿宋" w:cs="仿宋"/>
          <w:color w:val="000000"/>
          <w:kern w:val="0"/>
          <w:szCs w:val="32"/>
        </w:rPr>
      </w:pPr>
      <w:r>
        <w:rPr>
          <w:rFonts w:ascii="仿宋" w:eastAsia="仿宋" w:hAnsi="仿宋" w:cs="仿宋" w:hint="eastAsia"/>
          <w:color w:val="000000"/>
          <w:kern w:val="0"/>
          <w:szCs w:val="32"/>
        </w:rPr>
        <w:t>根据区统一设定评分标准，绩效评价设置总分100分，其中预算执行情况20分，绩效目标完成情况80分，其中产出指标40分，效益指标40分。区应急管理局整体绩效自评得分96.85分，评价等级为“良”。一级指标得分情况详见下表：</w:t>
      </w:r>
    </w:p>
    <w:tbl>
      <w:tblPr>
        <w:tblStyle w:val="a5"/>
        <w:tblW w:w="0" w:type="auto"/>
        <w:tblLook w:val="04A0" w:firstRow="1" w:lastRow="0" w:firstColumn="1" w:lastColumn="0" w:noHBand="0" w:noVBand="1"/>
      </w:tblPr>
      <w:tblGrid>
        <w:gridCol w:w="2265"/>
        <w:gridCol w:w="2265"/>
        <w:gridCol w:w="2265"/>
        <w:gridCol w:w="2266"/>
      </w:tblGrid>
      <w:tr w:rsidR="00176FA1">
        <w:trPr>
          <w:trHeight w:val="584"/>
        </w:trPr>
        <w:tc>
          <w:tcPr>
            <w:tcW w:w="2265" w:type="dxa"/>
          </w:tcPr>
          <w:p w:rsidR="00176FA1" w:rsidRDefault="00640C1C">
            <w:pPr>
              <w:widowControl/>
              <w:jc w:val="center"/>
              <w:rPr>
                <w:rFonts w:ascii="仿宋" w:eastAsia="仿宋" w:hAnsi="仿宋" w:cs="仿宋"/>
                <w:color w:val="000000"/>
                <w:kern w:val="0"/>
                <w:szCs w:val="32"/>
              </w:rPr>
            </w:pPr>
            <w:r>
              <w:rPr>
                <w:rFonts w:ascii="仿宋" w:eastAsia="仿宋" w:hAnsi="仿宋" w:cs="仿宋" w:hint="eastAsia"/>
                <w:color w:val="000000"/>
                <w:kern w:val="0"/>
                <w:szCs w:val="32"/>
              </w:rPr>
              <w:t>一级指标</w:t>
            </w:r>
          </w:p>
        </w:tc>
        <w:tc>
          <w:tcPr>
            <w:tcW w:w="2265" w:type="dxa"/>
          </w:tcPr>
          <w:p w:rsidR="00176FA1" w:rsidRDefault="00640C1C">
            <w:pPr>
              <w:widowControl/>
              <w:jc w:val="center"/>
              <w:rPr>
                <w:rFonts w:ascii="仿宋" w:eastAsia="仿宋" w:hAnsi="仿宋" w:cs="仿宋"/>
                <w:color w:val="000000"/>
                <w:kern w:val="0"/>
                <w:szCs w:val="32"/>
              </w:rPr>
            </w:pPr>
            <w:r>
              <w:rPr>
                <w:rFonts w:ascii="仿宋" w:eastAsia="仿宋" w:hAnsi="仿宋" w:cs="仿宋" w:hint="eastAsia"/>
                <w:color w:val="000000"/>
                <w:kern w:val="0"/>
                <w:szCs w:val="32"/>
              </w:rPr>
              <w:t>指标分值</w:t>
            </w:r>
          </w:p>
        </w:tc>
        <w:tc>
          <w:tcPr>
            <w:tcW w:w="2265" w:type="dxa"/>
          </w:tcPr>
          <w:p w:rsidR="00176FA1" w:rsidRDefault="00640C1C">
            <w:pPr>
              <w:widowControl/>
              <w:jc w:val="center"/>
              <w:rPr>
                <w:rFonts w:ascii="仿宋" w:eastAsia="仿宋" w:hAnsi="仿宋" w:cs="仿宋"/>
                <w:color w:val="000000"/>
                <w:kern w:val="0"/>
                <w:szCs w:val="32"/>
              </w:rPr>
            </w:pPr>
            <w:r>
              <w:rPr>
                <w:rFonts w:ascii="仿宋" w:eastAsia="仿宋" w:hAnsi="仿宋" w:cs="仿宋" w:hint="eastAsia"/>
                <w:color w:val="000000"/>
                <w:kern w:val="0"/>
                <w:szCs w:val="32"/>
              </w:rPr>
              <w:t>评价得分</w:t>
            </w:r>
          </w:p>
        </w:tc>
        <w:tc>
          <w:tcPr>
            <w:tcW w:w="2266" w:type="dxa"/>
          </w:tcPr>
          <w:p w:rsidR="00176FA1" w:rsidRDefault="00640C1C">
            <w:pPr>
              <w:widowControl/>
              <w:jc w:val="center"/>
              <w:rPr>
                <w:rFonts w:ascii="仿宋" w:eastAsia="仿宋" w:hAnsi="仿宋" w:cs="仿宋"/>
                <w:color w:val="000000"/>
                <w:kern w:val="0"/>
                <w:szCs w:val="32"/>
              </w:rPr>
            </w:pPr>
            <w:r>
              <w:rPr>
                <w:rFonts w:ascii="仿宋" w:eastAsia="仿宋" w:hAnsi="仿宋" w:cs="仿宋" w:hint="eastAsia"/>
                <w:color w:val="000000"/>
                <w:kern w:val="0"/>
                <w:szCs w:val="32"/>
              </w:rPr>
              <w:t>得分率</w:t>
            </w:r>
          </w:p>
        </w:tc>
      </w:tr>
      <w:tr w:rsidR="00176FA1">
        <w:tc>
          <w:tcPr>
            <w:tcW w:w="2265" w:type="dxa"/>
          </w:tcPr>
          <w:p w:rsidR="00176FA1" w:rsidRDefault="00640C1C">
            <w:pPr>
              <w:widowControl/>
              <w:jc w:val="center"/>
              <w:rPr>
                <w:rFonts w:ascii="仿宋" w:eastAsia="仿宋" w:hAnsi="仿宋" w:cs="仿宋"/>
                <w:color w:val="000000"/>
                <w:kern w:val="0"/>
                <w:szCs w:val="32"/>
              </w:rPr>
            </w:pPr>
            <w:r>
              <w:rPr>
                <w:rFonts w:ascii="仿宋" w:eastAsia="仿宋" w:hAnsi="仿宋" w:cs="仿宋" w:hint="eastAsia"/>
                <w:color w:val="000000"/>
                <w:kern w:val="0"/>
                <w:szCs w:val="32"/>
              </w:rPr>
              <w:t>预算执行</w:t>
            </w:r>
          </w:p>
        </w:tc>
        <w:tc>
          <w:tcPr>
            <w:tcW w:w="2265" w:type="dxa"/>
          </w:tcPr>
          <w:p w:rsidR="00176FA1" w:rsidRDefault="00640C1C">
            <w:pPr>
              <w:widowControl/>
              <w:jc w:val="center"/>
              <w:rPr>
                <w:rFonts w:ascii="仿宋" w:eastAsia="仿宋" w:hAnsi="仿宋" w:cs="仿宋"/>
                <w:color w:val="000000"/>
                <w:kern w:val="0"/>
                <w:szCs w:val="32"/>
              </w:rPr>
            </w:pPr>
            <w:r>
              <w:rPr>
                <w:rFonts w:ascii="仿宋" w:eastAsia="仿宋" w:hAnsi="仿宋" w:cs="仿宋" w:hint="eastAsia"/>
                <w:color w:val="000000"/>
                <w:kern w:val="0"/>
                <w:szCs w:val="32"/>
              </w:rPr>
              <w:t>20</w:t>
            </w:r>
          </w:p>
        </w:tc>
        <w:tc>
          <w:tcPr>
            <w:tcW w:w="2265" w:type="dxa"/>
          </w:tcPr>
          <w:p w:rsidR="00176FA1" w:rsidRDefault="00640C1C">
            <w:pPr>
              <w:widowControl/>
              <w:jc w:val="center"/>
              <w:rPr>
                <w:rFonts w:ascii="仿宋" w:eastAsia="仿宋" w:hAnsi="仿宋" w:cs="仿宋"/>
                <w:color w:val="000000"/>
                <w:kern w:val="0"/>
                <w:szCs w:val="32"/>
              </w:rPr>
            </w:pPr>
            <w:r>
              <w:rPr>
                <w:rFonts w:ascii="仿宋" w:eastAsia="仿宋" w:hAnsi="仿宋" w:cs="仿宋" w:hint="eastAsia"/>
                <w:color w:val="000000"/>
                <w:kern w:val="0"/>
                <w:szCs w:val="32"/>
              </w:rPr>
              <w:t>16.85</w:t>
            </w:r>
          </w:p>
        </w:tc>
        <w:tc>
          <w:tcPr>
            <w:tcW w:w="2266" w:type="dxa"/>
          </w:tcPr>
          <w:p w:rsidR="00176FA1" w:rsidRDefault="00640C1C">
            <w:pPr>
              <w:widowControl/>
              <w:jc w:val="center"/>
              <w:rPr>
                <w:rFonts w:ascii="仿宋" w:eastAsia="仿宋" w:hAnsi="仿宋" w:cs="仿宋"/>
                <w:color w:val="000000"/>
                <w:kern w:val="0"/>
                <w:szCs w:val="32"/>
              </w:rPr>
            </w:pPr>
            <w:r>
              <w:rPr>
                <w:rFonts w:ascii="仿宋" w:eastAsia="仿宋" w:hAnsi="仿宋" w:cs="仿宋" w:hint="eastAsia"/>
                <w:color w:val="000000"/>
                <w:kern w:val="0"/>
                <w:szCs w:val="32"/>
              </w:rPr>
              <w:t>84.25%</w:t>
            </w:r>
          </w:p>
        </w:tc>
      </w:tr>
      <w:tr w:rsidR="00176FA1">
        <w:tc>
          <w:tcPr>
            <w:tcW w:w="2265" w:type="dxa"/>
          </w:tcPr>
          <w:p w:rsidR="00176FA1" w:rsidRDefault="00640C1C">
            <w:pPr>
              <w:widowControl/>
              <w:jc w:val="center"/>
              <w:rPr>
                <w:rFonts w:ascii="仿宋" w:eastAsia="仿宋" w:hAnsi="仿宋" w:cs="仿宋"/>
                <w:color w:val="000000"/>
                <w:kern w:val="0"/>
                <w:szCs w:val="32"/>
              </w:rPr>
            </w:pPr>
            <w:r>
              <w:rPr>
                <w:rFonts w:ascii="仿宋" w:eastAsia="仿宋" w:hAnsi="仿宋" w:cs="仿宋" w:hint="eastAsia"/>
                <w:color w:val="000000"/>
                <w:kern w:val="0"/>
                <w:szCs w:val="32"/>
              </w:rPr>
              <w:t>产出指标</w:t>
            </w:r>
          </w:p>
        </w:tc>
        <w:tc>
          <w:tcPr>
            <w:tcW w:w="2265" w:type="dxa"/>
          </w:tcPr>
          <w:p w:rsidR="00176FA1" w:rsidRDefault="00640C1C">
            <w:pPr>
              <w:widowControl/>
              <w:jc w:val="center"/>
              <w:rPr>
                <w:rFonts w:ascii="仿宋" w:eastAsia="仿宋" w:hAnsi="仿宋" w:cs="仿宋"/>
                <w:color w:val="000000"/>
                <w:kern w:val="0"/>
                <w:szCs w:val="32"/>
              </w:rPr>
            </w:pPr>
            <w:r>
              <w:rPr>
                <w:rFonts w:ascii="仿宋" w:eastAsia="仿宋" w:hAnsi="仿宋" w:cs="仿宋" w:hint="eastAsia"/>
                <w:color w:val="000000"/>
                <w:kern w:val="0"/>
                <w:szCs w:val="32"/>
              </w:rPr>
              <w:t>40</w:t>
            </w:r>
          </w:p>
        </w:tc>
        <w:tc>
          <w:tcPr>
            <w:tcW w:w="2265" w:type="dxa"/>
          </w:tcPr>
          <w:p w:rsidR="00176FA1" w:rsidRDefault="00640C1C">
            <w:pPr>
              <w:widowControl/>
              <w:jc w:val="center"/>
              <w:rPr>
                <w:rFonts w:ascii="仿宋" w:eastAsia="仿宋" w:hAnsi="仿宋" w:cs="仿宋"/>
                <w:color w:val="000000"/>
                <w:kern w:val="0"/>
                <w:szCs w:val="32"/>
              </w:rPr>
            </w:pPr>
            <w:r>
              <w:rPr>
                <w:rFonts w:ascii="仿宋" w:eastAsia="仿宋" w:hAnsi="仿宋" w:cs="仿宋" w:hint="eastAsia"/>
                <w:color w:val="000000"/>
                <w:kern w:val="0"/>
                <w:szCs w:val="32"/>
              </w:rPr>
              <w:t>40</w:t>
            </w:r>
          </w:p>
        </w:tc>
        <w:tc>
          <w:tcPr>
            <w:tcW w:w="2266" w:type="dxa"/>
          </w:tcPr>
          <w:p w:rsidR="00176FA1" w:rsidRDefault="00640C1C">
            <w:pPr>
              <w:widowControl/>
              <w:jc w:val="center"/>
              <w:rPr>
                <w:rFonts w:ascii="仿宋" w:eastAsia="仿宋" w:hAnsi="仿宋" w:cs="仿宋"/>
                <w:color w:val="000000"/>
                <w:kern w:val="0"/>
                <w:szCs w:val="32"/>
              </w:rPr>
            </w:pPr>
            <w:r>
              <w:rPr>
                <w:rFonts w:ascii="仿宋" w:eastAsia="仿宋" w:hAnsi="仿宋" w:cs="仿宋" w:hint="eastAsia"/>
                <w:color w:val="000000"/>
                <w:kern w:val="0"/>
                <w:szCs w:val="32"/>
              </w:rPr>
              <w:t>100%</w:t>
            </w:r>
          </w:p>
        </w:tc>
      </w:tr>
      <w:tr w:rsidR="00176FA1">
        <w:tc>
          <w:tcPr>
            <w:tcW w:w="2265" w:type="dxa"/>
          </w:tcPr>
          <w:p w:rsidR="00176FA1" w:rsidRDefault="00640C1C">
            <w:pPr>
              <w:widowControl/>
              <w:jc w:val="center"/>
              <w:rPr>
                <w:rFonts w:ascii="仿宋" w:eastAsia="仿宋" w:hAnsi="仿宋" w:cs="仿宋"/>
                <w:color w:val="000000"/>
                <w:kern w:val="0"/>
                <w:szCs w:val="32"/>
              </w:rPr>
            </w:pPr>
            <w:r>
              <w:rPr>
                <w:rFonts w:ascii="仿宋" w:eastAsia="仿宋" w:hAnsi="仿宋" w:cs="仿宋" w:hint="eastAsia"/>
                <w:color w:val="000000"/>
                <w:kern w:val="0"/>
                <w:szCs w:val="32"/>
              </w:rPr>
              <w:t>效益指标</w:t>
            </w:r>
          </w:p>
        </w:tc>
        <w:tc>
          <w:tcPr>
            <w:tcW w:w="2265" w:type="dxa"/>
          </w:tcPr>
          <w:p w:rsidR="00176FA1" w:rsidRDefault="00640C1C">
            <w:pPr>
              <w:widowControl/>
              <w:jc w:val="center"/>
              <w:rPr>
                <w:rFonts w:ascii="仿宋" w:eastAsia="仿宋" w:hAnsi="仿宋" w:cs="仿宋"/>
                <w:color w:val="000000"/>
                <w:kern w:val="0"/>
                <w:szCs w:val="32"/>
              </w:rPr>
            </w:pPr>
            <w:r>
              <w:rPr>
                <w:rFonts w:ascii="仿宋" w:eastAsia="仿宋" w:hAnsi="仿宋" w:cs="仿宋" w:hint="eastAsia"/>
                <w:color w:val="000000"/>
                <w:kern w:val="0"/>
                <w:szCs w:val="32"/>
              </w:rPr>
              <w:t>40</w:t>
            </w:r>
          </w:p>
        </w:tc>
        <w:tc>
          <w:tcPr>
            <w:tcW w:w="2265" w:type="dxa"/>
          </w:tcPr>
          <w:p w:rsidR="00176FA1" w:rsidRDefault="00640C1C">
            <w:pPr>
              <w:widowControl/>
              <w:jc w:val="center"/>
              <w:rPr>
                <w:rFonts w:ascii="仿宋" w:eastAsia="仿宋" w:hAnsi="仿宋" w:cs="仿宋"/>
                <w:color w:val="000000"/>
                <w:kern w:val="0"/>
                <w:szCs w:val="32"/>
              </w:rPr>
            </w:pPr>
            <w:r>
              <w:rPr>
                <w:rFonts w:ascii="仿宋" w:eastAsia="仿宋" w:hAnsi="仿宋" w:cs="仿宋" w:hint="eastAsia"/>
                <w:color w:val="000000"/>
                <w:kern w:val="0"/>
                <w:szCs w:val="32"/>
              </w:rPr>
              <w:t>40</w:t>
            </w:r>
          </w:p>
        </w:tc>
        <w:tc>
          <w:tcPr>
            <w:tcW w:w="2266" w:type="dxa"/>
          </w:tcPr>
          <w:p w:rsidR="00176FA1" w:rsidRDefault="00640C1C">
            <w:pPr>
              <w:widowControl/>
              <w:jc w:val="center"/>
              <w:rPr>
                <w:rFonts w:ascii="仿宋" w:eastAsia="仿宋" w:hAnsi="仿宋" w:cs="仿宋"/>
                <w:color w:val="000000"/>
                <w:kern w:val="0"/>
                <w:szCs w:val="32"/>
              </w:rPr>
            </w:pPr>
            <w:r>
              <w:rPr>
                <w:rFonts w:ascii="仿宋" w:eastAsia="仿宋" w:hAnsi="仿宋" w:cs="仿宋" w:hint="eastAsia"/>
                <w:color w:val="000000"/>
                <w:kern w:val="0"/>
                <w:szCs w:val="32"/>
              </w:rPr>
              <w:t>100%</w:t>
            </w:r>
          </w:p>
        </w:tc>
      </w:tr>
    </w:tbl>
    <w:p w:rsidR="00176FA1" w:rsidRDefault="00640C1C">
      <w:pPr>
        <w:widowControl/>
        <w:ind w:firstLineChars="200" w:firstLine="632"/>
        <w:jc w:val="left"/>
        <w:rPr>
          <w:rFonts w:ascii="仿宋" w:eastAsia="仿宋" w:hAnsi="仿宋" w:cs="仿宋"/>
          <w:color w:val="000000"/>
          <w:kern w:val="0"/>
          <w:szCs w:val="32"/>
        </w:rPr>
      </w:pPr>
      <w:r>
        <w:rPr>
          <w:rFonts w:ascii="仿宋" w:eastAsia="仿宋" w:hAnsi="仿宋" w:cs="仿宋" w:hint="eastAsia"/>
          <w:color w:val="000000"/>
          <w:kern w:val="0"/>
          <w:szCs w:val="32"/>
        </w:rPr>
        <w:t>区应急管理局较好的完成了2020年度工作计划任务，综合评价结论如下：</w:t>
      </w:r>
    </w:p>
    <w:p w:rsidR="00176FA1" w:rsidRDefault="00640C1C">
      <w:pPr>
        <w:widowControl/>
        <w:ind w:firstLineChars="200" w:firstLine="632"/>
        <w:jc w:val="left"/>
        <w:rPr>
          <w:rFonts w:ascii="仿宋" w:eastAsia="仿宋" w:hAnsi="仿宋" w:cs="仿宋"/>
          <w:color w:val="000000"/>
          <w:kern w:val="0"/>
          <w:szCs w:val="32"/>
        </w:rPr>
      </w:pPr>
      <w:r>
        <w:rPr>
          <w:rFonts w:ascii="仿宋" w:eastAsia="仿宋" w:hAnsi="仿宋" w:cs="仿宋"/>
          <w:color w:val="000000"/>
          <w:kern w:val="0"/>
          <w:szCs w:val="32"/>
        </w:rPr>
        <w:t>2020年，在新冠肺炎疫情与应急管理工作交织迭加的形势下，区应急管理局在区委、</w:t>
      </w:r>
      <w:r w:rsidR="00283531">
        <w:rPr>
          <w:rFonts w:ascii="仿宋" w:eastAsia="仿宋" w:hAnsi="仿宋" w:cs="仿宋" w:hint="eastAsia"/>
          <w:color w:val="000000"/>
          <w:kern w:val="0"/>
          <w:szCs w:val="32"/>
        </w:rPr>
        <w:t>区</w:t>
      </w:r>
      <w:r>
        <w:rPr>
          <w:rFonts w:ascii="仿宋" w:eastAsia="仿宋" w:hAnsi="仿宋" w:cs="仿宋"/>
          <w:color w:val="000000"/>
          <w:kern w:val="0"/>
          <w:szCs w:val="32"/>
        </w:rPr>
        <w:t>政府坚强领导下，在市应急管理局</w:t>
      </w:r>
      <w:r>
        <w:rPr>
          <w:rFonts w:ascii="仿宋" w:eastAsia="仿宋" w:hAnsi="仿宋" w:cs="仿宋"/>
          <w:color w:val="000000"/>
          <w:kern w:val="0"/>
          <w:szCs w:val="32"/>
        </w:rPr>
        <w:lastRenderedPageBreak/>
        <w:t>的支持指导下，提高政治站位，加强领导、勇于担当、统筹兼顾、履职尽责，以党的</w:t>
      </w:r>
      <w:r w:rsidR="00732264">
        <w:rPr>
          <w:rFonts w:ascii="仿宋" w:eastAsia="仿宋" w:hAnsi="仿宋" w:cs="仿宋" w:hint="eastAsia"/>
          <w:color w:val="000000"/>
          <w:kern w:val="0"/>
          <w:szCs w:val="32"/>
        </w:rPr>
        <w:t>政治</w:t>
      </w:r>
      <w:r>
        <w:rPr>
          <w:rFonts w:ascii="仿宋" w:eastAsia="仿宋" w:hAnsi="仿宋" w:cs="仿宋"/>
          <w:color w:val="000000"/>
          <w:kern w:val="0"/>
          <w:szCs w:val="32"/>
        </w:rPr>
        <w:t>建设为统领，切实抓好疫情防控、安全生产、防灾减灾救灾、应急管理等工作。</w:t>
      </w:r>
    </w:p>
    <w:p w:rsidR="00176FA1" w:rsidRDefault="00640C1C">
      <w:pPr>
        <w:widowControl/>
        <w:ind w:firstLineChars="200" w:firstLine="632"/>
        <w:jc w:val="left"/>
        <w:rPr>
          <w:rFonts w:ascii="楷体" w:eastAsia="楷体" w:hAnsi="楷体" w:cs="楷体"/>
          <w:color w:val="000000"/>
          <w:kern w:val="0"/>
          <w:szCs w:val="32"/>
        </w:rPr>
      </w:pPr>
      <w:r>
        <w:rPr>
          <w:rFonts w:ascii="楷体" w:eastAsia="楷体" w:hAnsi="楷体" w:cs="楷体" w:hint="eastAsia"/>
          <w:color w:val="000000"/>
          <w:kern w:val="0"/>
          <w:szCs w:val="32"/>
        </w:rPr>
        <w:t>（二）部门整体绩效目标完成情况</w:t>
      </w:r>
    </w:p>
    <w:p w:rsidR="00176FA1" w:rsidRDefault="00640C1C">
      <w:pPr>
        <w:widowControl/>
        <w:ind w:firstLineChars="200" w:firstLine="632"/>
        <w:jc w:val="left"/>
        <w:rPr>
          <w:rFonts w:ascii="仿宋" w:eastAsia="仿宋" w:hAnsi="仿宋" w:cs="仿宋"/>
          <w:color w:val="000000"/>
          <w:kern w:val="0"/>
          <w:szCs w:val="32"/>
        </w:rPr>
      </w:pPr>
      <w:r>
        <w:rPr>
          <w:rFonts w:ascii="仿宋" w:eastAsia="仿宋" w:hAnsi="仿宋" w:cs="仿宋" w:hint="eastAsia"/>
          <w:color w:val="000000"/>
          <w:kern w:val="0"/>
          <w:szCs w:val="32"/>
        </w:rPr>
        <w:t>1.执行率情况。</w:t>
      </w:r>
    </w:p>
    <w:p w:rsidR="00176FA1" w:rsidRDefault="00640C1C">
      <w:pPr>
        <w:widowControl/>
        <w:ind w:firstLineChars="200" w:firstLine="632"/>
        <w:jc w:val="left"/>
        <w:rPr>
          <w:rFonts w:ascii="仿宋" w:eastAsia="仿宋" w:hAnsi="仿宋" w:cs="仿宋"/>
          <w:color w:val="000000"/>
          <w:kern w:val="0"/>
          <w:szCs w:val="32"/>
        </w:rPr>
      </w:pPr>
      <w:r>
        <w:rPr>
          <w:rFonts w:ascii="仿宋" w:eastAsia="仿宋" w:hAnsi="仿宋" w:cs="仿宋" w:hint="eastAsia"/>
          <w:color w:val="000000"/>
          <w:kern w:val="0"/>
          <w:szCs w:val="32"/>
        </w:rPr>
        <w:t>区应急管理局2020年部门预算整体执行率84.25%，较好的完成了各项绩效目标。</w:t>
      </w:r>
    </w:p>
    <w:p w:rsidR="00176FA1" w:rsidRDefault="00640C1C">
      <w:pPr>
        <w:widowControl/>
        <w:ind w:firstLineChars="200" w:firstLine="632"/>
        <w:jc w:val="left"/>
        <w:rPr>
          <w:rFonts w:ascii="仿宋" w:eastAsia="仿宋" w:hAnsi="仿宋" w:cs="仿宋"/>
          <w:color w:val="000000"/>
          <w:kern w:val="0"/>
          <w:szCs w:val="32"/>
        </w:rPr>
      </w:pPr>
      <w:r>
        <w:rPr>
          <w:rFonts w:ascii="仿宋" w:eastAsia="仿宋" w:hAnsi="仿宋" w:cs="仿宋" w:hint="eastAsia"/>
          <w:color w:val="000000"/>
          <w:kern w:val="0"/>
          <w:szCs w:val="32"/>
        </w:rPr>
        <w:t>2.完成的绩效目标。</w:t>
      </w:r>
    </w:p>
    <w:p w:rsidR="00176FA1" w:rsidRDefault="00640C1C">
      <w:pPr>
        <w:widowControl/>
        <w:ind w:firstLineChars="200" w:firstLine="632"/>
        <w:jc w:val="left"/>
        <w:rPr>
          <w:rFonts w:ascii="仿宋" w:eastAsia="仿宋" w:hAnsi="仿宋" w:cs="仿宋"/>
          <w:color w:val="000000"/>
          <w:kern w:val="0"/>
          <w:szCs w:val="32"/>
        </w:rPr>
      </w:pPr>
      <w:r>
        <w:rPr>
          <w:rFonts w:ascii="仿宋" w:eastAsia="仿宋" w:hAnsi="仿宋" w:cs="仿宋" w:hint="eastAsia"/>
          <w:color w:val="000000"/>
          <w:kern w:val="0"/>
          <w:szCs w:val="32"/>
        </w:rPr>
        <w:t>（1）培训企业人员4000人。2020年9月，区应急管理局组织开展全区生产经营单位安管人员安全生产教育培训班9期，共培训安全管理人员4253人。</w:t>
      </w:r>
    </w:p>
    <w:p w:rsidR="00176FA1" w:rsidRDefault="00640C1C">
      <w:pPr>
        <w:widowControl/>
        <w:ind w:firstLineChars="200" w:firstLine="632"/>
        <w:jc w:val="left"/>
        <w:rPr>
          <w:rFonts w:ascii="仿宋" w:eastAsia="仿宋" w:hAnsi="仿宋" w:cs="仿宋"/>
          <w:color w:val="000000"/>
          <w:kern w:val="0"/>
          <w:szCs w:val="32"/>
        </w:rPr>
      </w:pPr>
      <w:r>
        <w:rPr>
          <w:rFonts w:ascii="仿宋" w:eastAsia="仿宋" w:hAnsi="仿宋" w:cs="仿宋" w:hint="eastAsia"/>
          <w:color w:val="000000"/>
          <w:kern w:val="0"/>
          <w:szCs w:val="32"/>
        </w:rPr>
        <w:t>（2）培训街道（社区）人员200人次。组织街道（社区）安管人员参加生产经营单位安管人员跟班培训140人次；组织人员到街道开展安全生产执法培训4场，培训街道（社区）安管人员200余人。</w:t>
      </w:r>
    </w:p>
    <w:p w:rsidR="00176FA1" w:rsidRDefault="00640C1C">
      <w:pPr>
        <w:widowControl/>
        <w:ind w:firstLineChars="200" w:firstLine="632"/>
        <w:jc w:val="left"/>
        <w:rPr>
          <w:rFonts w:ascii="仿宋" w:eastAsia="仿宋" w:hAnsi="仿宋" w:cs="仿宋"/>
          <w:color w:val="000000"/>
          <w:kern w:val="0"/>
          <w:szCs w:val="32"/>
        </w:rPr>
      </w:pPr>
      <w:r>
        <w:rPr>
          <w:rFonts w:ascii="仿宋" w:eastAsia="仿宋" w:hAnsi="仿宋" w:cs="仿宋" w:hint="eastAsia"/>
          <w:color w:val="000000"/>
          <w:kern w:val="0"/>
          <w:szCs w:val="32"/>
        </w:rPr>
        <w:t>（3）执法检查企业100家。2020年共执法检查企业287家，按时完成执法检查计划。</w:t>
      </w:r>
    </w:p>
    <w:p w:rsidR="00176FA1" w:rsidRDefault="00640C1C">
      <w:pPr>
        <w:widowControl/>
        <w:ind w:firstLineChars="200" w:firstLine="632"/>
        <w:jc w:val="left"/>
        <w:rPr>
          <w:rFonts w:ascii="仿宋" w:eastAsia="仿宋" w:hAnsi="仿宋" w:cs="仿宋"/>
          <w:color w:val="000000"/>
          <w:kern w:val="0"/>
          <w:szCs w:val="32"/>
        </w:rPr>
      </w:pPr>
      <w:r>
        <w:rPr>
          <w:rFonts w:ascii="仿宋" w:eastAsia="仿宋" w:hAnsi="仿宋" w:cs="仿宋" w:hint="eastAsia"/>
          <w:color w:val="000000"/>
          <w:kern w:val="0"/>
          <w:szCs w:val="32"/>
        </w:rPr>
        <w:t>（4）隐患排查企业1000家。2020年经公开招标，聘请第三</w:t>
      </w:r>
      <w:proofErr w:type="gramStart"/>
      <w:r>
        <w:rPr>
          <w:rFonts w:ascii="仿宋" w:eastAsia="仿宋" w:hAnsi="仿宋" w:cs="仿宋" w:hint="eastAsia"/>
          <w:color w:val="000000"/>
          <w:kern w:val="0"/>
          <w:szCs w:val="32"/>
        </w:rPr>
        <w:t>方专业</w:t>
      </w:r>
      <w:proofErr w:type="gramEnd"/>
      <w:r>
        <w:rPr>
          <w:rFonts w:ascii="仿宋" w:eastAsia="仿宋" w:hAnsi="仿宋" w:cs="仿宋" w:hint="eastAsia"/>
          <w:color w:val="000000"/>
          <w:kern w:val="0"/>
          <w:szCs w:val="32"/>
        </w:rPr>
        <w:t>技术机构，以1000家工贸企业、大型商超、仓储、物流园、建筑工地、工业园区为基础，以医药化工、涉氨制冷、粉尘爆炸、有限空间、金属冶炼等行业企业为重点，全面开展安全管理基本</w:t>
      </w:r>
      <w:r>
        <w:rPr>
          <w:rFonts w:ascii="仿宋" w:eastAsia="仿宋" w:hAnsi="仿宋" w:cs="仿宋" w:hint="eastAsia"/>
          <w:color w:val="000000"/>
          <w:kern w:val="0"/>
          <w:szCs w:val="32"/>
        </w:rPr>
        <w:lastRenderedPageBreak/>
        <w:t>信息采集，建立风险数据库、安全生产档案和风险点档案，实行“</w:t>
      </w:r>
      <w:proofErr w:type="gramStart"/>
      <w:r>
        <w:rPr>
          <w:rFonts w:ascii="仿宋" w:eastAsia="仿宋" w:hAnsi="仿宋" w:cs="仿宋" w:hint="eastAsia"/>
          <w:color w:val="000000"/>
          <w:kern w:val="0"/>
          <w:szCs w:val="32"/>
        </w:rPr>
        <w:t>一</w:t>
      </w:r>
      <w:proofErr w:type="gramEnd"/>
      <w:r>
        <w:rPr>
          <w:rFonts w:ascii="仿宋" w:eastAsia="仿宋" w:hAnsi="仿宋" w:cs="仿宋" w:hint="eastAsia"/>
          <w:color w:val="000000"/>
          <w:kern w:val="0"/>
          <w:szCs w:val="32"/>
        </w:rPr>
        <w:t>企一册”风险分级分类。</w:t>
      </w:r>
    </w:p>
    <w:p w:rsidR="00176FA1" w:rsidRDefault="00640C1C">
      <w:pPr>
        <w:widowControl/>
        <w:ind w:firstLineChars="200" w:firstLine="632"/>
        <w:jc w:val="left"/>
        <w:rPr>
          <w:rFonts w:ascii="仿宋" w:eastAsia="仿宋" w:hAnsi="仿宋" w:cs="仿宋"/>
          <w:color w:val="000000"/>
          <w:kern w:val="0"/>
          <w:szCs w:val="32"/>
        </w:rPr>
      </w:pPr>
      <w:r>
        <w:rPr>
          <w:rFonts w:ascii="仿宋" w:eastAsia="仿宋" w:hAnsi="仿宋" w:cs="仿宋" w:hint="eastAsia"/>
          <w:color w:val="000000"/>
          <w:kern w:val="0"/>
          <w:szCs w:val="32"/>
        </w:rPr>
        <w:t>（5）视频监控企业29家。2020年经采购招标，聘请第三方技术机构，建设全区高危企业安全视频监控系统，将全区三四级重大危险源、涉</w:t>
      </w:r>
      <w:proofErr w:type="gramStart"/>
      <w:r>
        <w:rPr>
          <w:rFonts w:ascii="仿宋" w:eastAsia="仿宋" w:hAnsi="仿宋" w:cs="仿宋" w:hint="eastAsia"/>
          <w:color w:val="000000"/>
          <w:kern w:val="0"/>
          <w:szCs w:val="32"/>
        </w:rPr>
        <w:t>氨涉氯</w:t>
      </w:r>
      <w:proofErr w:type="gramEnd"/>
      <w:r>
        <w:rPr>
          <w:rFonts w:ascii="仿宋" w:eastAsia="仿宋" w:hAnsi="仿宋" w:cs="仿宋" w:hint="eastAsia"/>
          <w:color w:val="000000"/>
          <w:kern w:val="0"/>
          <w:szCs w:val="32"/>
        </w:rPr>
        <w:t>、部分加油站和烟花爆竹批发企业共29家企业视频监控纳入其中。截止当年底，已完成验收工作。</w:t>
      </w:r>
    </w:p>
    <w:p w:rsidR="00176FA1" w:rsidRDefault="00640C1C">
      <w:pPr>
        <w:widowControl/>
        <w:ind w:firstLineChars="200" w:firstLine="632"/>
        <w:jc w:val="left"/>
        <w:rPr>
          <w:rFonts w:ascii="仿宋" w:eastAsia="仿宋" w:hAnsi="仿宋" w:cs="仿宋"/>
          <w:color w:val="000000"/>
          <w:kern w:val="0"/>
          <w:szCs w:val="32"/>
        </w:rPr>
      </w:pPr>
      <w:r>
        <w:rPr>
          <w:rFonts w:ascii="仿宋" w:eastAsia="仿宋" w:hAnsi="仿宋" w:cs="仿宋" w:hint="eastAsia"/>
          <w:color w:val="000000"/>
          <w:kern w:val="0"/>
          <w:szCs w:val="32"/>
        </w:rPr>
        <w:t>（6）开展主题宣传4次以上。利用5.12防灾减灾日、6.16安全生产宣传月咨询日、安全生产法宣传周活动的开展，开展送安全知识“五进”。发放宣传资料11万余份，宣传手册2万余份，发放宣传光盘2000张。与移动公司联合，发放安全宣传知识30万条。联合街道和社区在“纪念7.28唐山大地震44周年”“10.13”国际减灾日等重要时间节点，丰富载体开展形式，走进企业和社区开展防灾减灾宣传活动，不断提升群众识灾能力。</w:t>
      </w:r>
    </w:p>
    <w:p w:rsidR="00176FA1" w:rsidRDefault="00640C1C">
      <w:pPr>
        <w:widowControl/>
        <w:ind w:firstLineChars="200" w:firstLine="632"/>
        <w:jc w:val="left"/>
        <w:rPr>
          <w:rFonts w:ascii="仿宋" w:eastAsia="仿宋" w:hAnsi="仿宋" w:cs="仿宋"/>
          <w:color w:val="000000"/>
          <w:kern w:val="0"/>
          <w:szCs w:val="32"/>
        </w:rPr>
      </w:pPr>
      <w:r>
        <w:rPr>
          <w:rFonts w:ascii="仿宋" w:eastAsia="仿宋" w:hAnsi="仿宋" w:cs="仿宋" w:hint="eastAsia"/>
          <w:color w:val="000000"/>
          <w:kern w:val="0"/>
          <w:szCs w:val="32"/>
        </w:rPr>
        <w:t>（7）开展应急演练2次以上。6月30日，针对洪涝灾害，区应急管理局联合多部门在汉江原年丰码头举行了防汛应急演练，演练检验了快速排涝、应急供电、管涌、浸散抢险、水上搜救和人员转移共4个科目。9支救援队伍，10余个部门、单位、企业共320余人参加了演练，投入装备器材700余套。</w:t>
      </w:r>
    </w:p>
    <w:p w:rsidR="00176FA1" w:rsidRDefault="00640C1C">
      <w:pPr>
        <w:widowControl/>
        <w:ind w:firstLineChars="200" w:firstLine="632"/>
        <w:jc w:val="left"/>
        <w:rPr>
          <w:rFonts w:ascii="仿宋" w:eastAsia="仿宋" w:hAnsi="仿宋" w:cs="仿宋"/>
          <w:color w:val="000000"/>
          <w:kern w:val="0"/>
          <w:szCs w:val="32"/>
        </w:rPr>
      </w:pPr>
      <w:r>
        <w:rPr>
          <w:rFonts w:ascii="仿宋" w:eastAsia="仿宋" w:hAnsi="仿宋" w:cs="仿宋" w:hint="eastAsia"/>
          <w:color w:val="000000"/>
          <w:kern w:val="0"/>
          <w:szCs w:val="32"/>
        </w:rPr>
        <w:t>（8）电动消防车采购41辆。采购电动消防车41辆，全部分发到街道社区。</w:t>
      </w:r>
    </w:p>
    <w:p w:rsidR="00176FA1" w:rsidRDefault="00640C1C">
      <w:pPr>
        <w:widowControl/>
        <w:ind w:firstLineChars="200" w:firstLine="632"/>
        <w:jc w:val="left"/>
        <w:rPr>
          <w:rFonts w:ascii="仿宋" w:eastAsia="仿宋" w:hAnsi="仿宋" w:cs="仿宋"/>
          <w:color w:val="000000"/>
          <w:kern w:val="0"/>
          <w:szCs w:val="32"/>
        </w:rPr>
      </w:pPr>
      <w:r>
        <w:rPr>
          <w:rFonts w:ascii="仿宋" w:eastAsia="仿宋" w:hAnsi="仿宋" w:cs="仿宋" w:hint="eastAsia"/>
          <w:color w:val="000000"/>
          <w:kern w:val="0"/>
          <w:szCs w:val="32"/>
        </w:rPr>
        <w:lastRenderedPageBreak/>
        <w:t>（9）设备运行正常。2020年新建高危企业安全视频监控平台，所有设备运行正常。采购</w:t>
      </w:r>
      <w:r>
        <w:rPr>
          <w:rFonts w:ascii="仿宋" w:eastAsia="仿宋" w:hAnsi="仿宋" w:cs="仿宋"/>
          <w:color w:val="000000"/>
          <w:kern w:val="0"/>
          <w:szCs w:val="32"/>
        </w:rPr>
        <w:t>电动消防车41辆、</w:t>
      </w:r>
      <w:r>
        <w:rPr>
          <w:rFonts w:ascii="仿宋" w:eastAsia="仿宋" w:hAnsi="仿宋" w:cs="仿宋" w:hint="eastAsia"/>
          <w:color w:val="000000"/>
          <w:kern w:val="0"/>
          <w:szCs w:val="32"/>
        </w:rPr>
        <w:t>电脑45台，运行正常。</w:t>
      </w:r>
    </w:p>
    <w:p w:rsidR="00176FA1" w:rsidRDefault="00640C1C">
      <w:pPr>
        <w:widowControl/>
        <w:ind w:firstLineChars="200" w:firstLine="632"/>
        <w:jc w:val="left"/>
        <w:rPr>
          <w:rFonts w:ascii="仿宋_GB2312" w:eastAsia="仿宋_GB2312" w:hAnsi="仿宋_GB2312" w:cs="仿宋_GB2312"/>
          <w:color w:val="000000"/>
          <w:kern w:val="0"/>
          <w:szCs w:val="32"/>
        </w:rPr>
      </w:pPr>
      <w:r>
        <w:rPr>
          <w:rFonts w:ascii="仿宋" w:eastAsia="仿宋" w:hAnsi="仿宋" w:cs="仿宋" w:hint="eastAsia"/>
          <w:color w:val="000000"/>
          <w:kern w:val="0"/>
          <w:szCs w:val="32"/>
        </w:rPr>
        <w:t>（10）系统运行正常。全区共有26家企业已经全部完成省危险化学品安全生产风险监测预警注册工作，460家企业完成省工贸企业安全监管信息系统应用注册填报。结合部省市各级有关</w:t>
      </w:r>
      <w:r>
        <w:rPr>
          <w:rFonts w:ascii="仿宋_GB2312" w:eastAsia="仿宋_GB2312" w:hAnsi="仿宋_GB2312" w:cs="仿宋_GB2312" w:hint="eastAsia"/>
          <w:color w:val="000000"/>
          <w:kern w:val="0"/>
          <w:szCs w:val="32"/>
        </w:rPr>
        <w:t>视频培训会议，对我区涉及平台应用企业相关负责人进行动员培训，并在日常的执法检查过程中现场指导企业完善基本信息及编制风险管控及隐患排查清单，建立企业安全监管“大数据”，确保系统运行正常。</w:t>
      </w:r>
    </w:p>
    <w:p w:rsidR="00176FA1" w:rsidRDefault="00640C1C">
      <w:pPr>
        <w:widowControl/>
        <w:ind w:firstLineChars="200" w:firstLine="632"/>
        <w:jc w:val="left"/>
        <w:rPr>
          <w:rFonts w:ascii="仿宋_GB2312" w:eastAsia="仿宋_GB2312" w:hAnsi="仿宋_GB2312" w:cs="仿宋_GB2312"/>
          <w:color w:val="000000"/>
          <w:kern w:val="0"/>
          <w:szCs w:val="32"/>
        </w:rPr>
      </w:pPr>
      <w:r>
        <w:rPr>
          <w:rFonts w:ascii="仿宋_GB2312" w:eastAsia="仿宋_GB2312" w:hAnsi="仿宋_GB2312" w:cs="仿宋_GB2312" w:hint="eastAsia"/>
          <w:color w:val="000000"/>
          <w:kern w:val="0"/>
          <w:szCs w:val="32"/>
        </w:rPr>
        <w:t>（11）事故处理及时。2020年全区共发生生产安全工亡事故7起，死亡7人，按照生产安全事故调查处理的规定和时限要求，区应急管理局按时完成了全部7起事故的调查处理工作，按期结案率达100%。</w:t>
      </w:r>
    </w:p>
    <w:p w:rsidR="00176FA1" w:rsidRDefault="00640C1C">
      <w:pPr>
        <w:widowControl/>
        <w:ind w:firstLineChars="200" w:firstLine="632"/>
        <w:jc w:val="left"/>
        <w:rPr>
          <w:rFonts w:ascii="仿宋_GB2312" w:eastAsia="仿宋_GB2312" w:hAnsi="仿宋_GB2312" w:cs="仿宋_GB2312"/>
          <w:color w:val="000000"/>
          <w:kern w:val="0"/>
          <w:szCs w:val="32"/>
        </w:rPr>
      </w:pPr>
      <w:r>
        <w:rPr>
          <w:rFonts w:ascii="仿宋_GB2312" w:eastAsia="仿宋_GB2312" w:hAnsi="仿宋_GB2312" w:cs="仿宋_GB2312" w:hint="eastAsia"/>
          <w:color w:val="000000"/>
          <w:kern w:val="0"/>
          <w:szCs w:val="32"/>
        </w:rPr>
        <w:t>（12）隐患治理及时。2020年我区市级重大火灾隐患挂牌督办8家，区级重大火灾隐患挂牌督办11家，全部在时限内完成整改销案。</w:t>
      </w:r>
    </w:p>
    <w:p w:rsidR="00176FA1" w:rsidRDefault="00640C1C">
      <w:pPr>
        <w:widowControl/>
        <w:ind w:firstLineChars="200" w:firstLine="632"/>
        <w:jc w:val="left"/>
        <w:rPr>
          <w:rFonts w:ascii="仿宋_GB2312" w:eastAsia="仿宋_GB2312" w:hAnsi="仿宋_GB2312" w:cs="仿宋_GB2312"/>
          <w:color w:val="000000"/>
          <w:kern w:val="0"/>
          <w:szCs w:val="32"/>
        </w:rPr>
      </w:pPr>
      <w:r>
        <w:rPr>
          <w:rFonts w:ascii="仿宋_GB2312" w:eastAsia="仿宋_GB2312" w:hAnsi="仿宋_GB2312" w:cs="仿宋_GB2312" w:hint="eastAsia"/>
          <w:color w:val="000000"/>
          <w:kern w:val="0"/>
          <w:szCs w:val="32"/>
        </w:rPr>
        <w:t>（13）企业损失减少。2020年，全区共发生各类安全事故68起，亡14人，直接经济损失800余万元。与去年同期相比，三项指数均呈下降态势，即：事故起数、死亡人数和直接经济损失分别下降16%、17%和20%。</w:t>
      </w:r>
    </w:p>
    <w:p w:rsidR="00176FA1" w:rsidRDefault="00640C1C">
      <w:pPr>
        <w:widowControl/>
        <w:ind w:firstLineChars="200" w:firstLine="632"/>
        <w:jc w:val="left"/>
        <w:rPr>
          <w:rFonts w:ascii="仿宋_GB2312" w:eastAsia="仿宋_GB2312" w:hAnsi="仿宋_GB2312" w:cs="仿宋_GB2312"/>
          <w:color w:val="000000"/>
          <w:kern w:val="0"/>
          <w:szCs w:val="32"/>
        </w:rPr>
      </w:pPr>
      <w:r>
        <w:rPr>
          <w:rFonts w:ascii="仿宋_GB2312" w:eastAsia="仿宋_GB2312" w:hAnsi="仿宋_GB2312" w:cs="仿宋_GB2312" w:hint="eastAsia"/>
          <w:color w:val="000000"/>
          <w:kern w:val="0"/>
          <w:szCs w:val="32"/>
        </w:rPr>
        <w:lastRenderedPageBreak/>
        <w:t>（14）安全技能提升。分级分类组织各类培训14期，培训人员5000余人；组织全区2万余人参加了2020全省安全知识网络竞赛，形成“比、学、赶、超”学习局面；扎实开展群众性宣传活动，积极开展送安全知识“五进”活动，发放宣传资料11万余份，安全知识宣传手册2万余份，宣传光盘2000张。通过各种活动载体的宣传教育，全区受教育群众达10余万人。</w:t>
      </w:r>
    </w:p>
    <w:p w:rsidR="00176FA1" w:rsidRDefault="00640C1C">
      <w:pPr>
        <w:widowControl/>
        <w:ind w:firstLineChars="200" w:firstLine="632"/>
        <w:jc w:val="left"/>
        <w:rPr>
          <w:rFonts w:ascii="仿宋_GB2312" w:eastAsia="仿宋_GB2312" w:hAnsi="仿宋_GB2312" w:cs="仿宋_GB2312"/>
          <w:color w:val="000000"/>
          <w:kern w:val="0"/>
          <w:szCs w:val="32"/>
        </w:rPr>
      </w:pPr>
      <w:r>
        <w:rPr>
          <w:rFonts w:ascii="仿宋_GB2312" w:eastAsia="仿宋_GB2312" w:hAnsi="仿宋_GB2312" w:cs="仿宋_GB2312" w:hint="eastAsia"/>
          <w:color w:val="000000"/>
          <w:kern w:val="0"/>
          <w:szCs w:val="32"/>
        </w:rPr>
        <w:t>（15）应急救援能力提升。稳步推进应急管理信息化建设，新建高危企业安全视频监控平台、应急综合指挥调度平台两个平台，推广应急综合平台应用；编制和修订各类应急预案7部，开展应急演练2次；调整突发事件委员会成员，组建各类救援队伍19支，共计517人，其中228人的地震应急救援志愿者队伍，为武汉市首支地震应急救援志愿者队伍；举办《东西湖区公共事件应急管理专题研修班》，全区副处级以上干部52人参加，提升了全区应急管理水平；组织街道（社区）相关人员800多人开展防灾减灾业务培训，组织灾害信息员暨地震应急救援志愿者160多人开展专业培训，打通灾害预警信息传递“最后一公里”盲区。拓宽应急救援物资渠道，在与中百吴家山店、武商量贩店和中商平价店三家大型超市签订了应急救灾物资采购协议的基础上，与京东电商平台签订应急救灾物资采购协议，开辟线上应急物资快捷采购新渠道。</w:t>
      </w:r>
    </w:p>
    <w:p w:rsidR="00176FA1" w:rsidRDefault="00640C1C">
      <w:pPr>
        <w:widowControl/>
        <w:ind w:firstLineChars="200" w:firstLine="632"/>
        <w:jc w:val="left"/>
        <w:rPr>
          <w:rFonts w:ascii="仿宋_GB2312" w:eastAsia="仿宋_GB2312" w:hAnsi="仿宋_GB2312" w:cs="仿宋_GB2312"/>
          <w:color w:val="000000"/>
          <w:kern w:val="0"/>
          <w:szCs w:val="32"/>
        </w:rPr>
      </w:pPr>
      <w:r>
        <w:rPr>
          <w:rFonts w:ascii="仿宋_GB2312" w:eastAsia="仿宋_GB2312" w:hAnsi="仿宋_GB2312" w:cs="仿宋_GB2312" w:hint="eastAsia"/>
          <w:color w:val="000000"/>
          <w:kern w:val="0"/>
          <w:szCs w:val="32"/>
        </w:rPr>
        <w:t>（16）灾情速报能力提升。结合</w:t>
      </w:r>
      <w:bookmarkStart w:id="0" w:name="_GoBack"/>
      <w:bookmarkEnd w:id="0"/>
      <w:r>
        <w:rPr>
          <w:rFonts w:ascii="仿宋_GB2312" w:eastAsia="仿宋_GB2312" w:hAnsi="仿宋_GB2312" w:cs="仿宋_GB2312" w:hint="eastAsia"/>
          <w:color w:val="000000"/>
          <w:kern w:val="0"/>
          <w:szCs w:val="32"/>
        </w:rPr>
        <w:t>应急管理部组织的森林草原防火灾指挥员、灾害信息员视频培训，采取以会代训的方式，组</w:t>
      </w:r>
      <w:r>
        <w:rPr>
          <w:rFonts w:ascii="仿宋_GB2312" w:eastAsia="仿宋_GB2312" w:hAnsi="仿宋_GB2312" w:cs="仿宋_GB2312" w:hint="eastAsia"/>
          <w:color w:val="000000"/>
          <w:kern w:val="0"/>
          <w:szCs w:val="32"/>
        </w:rPr>
        <w:lastRenderedPageBreak/>
        <w:t>织800多人进行了相关业务培训。9月8日-10日，举办了为期三天的2020年灾害信息员暨地震应急救援志愿者培训，全区灾害信息员、地震应急志愿者队伍共计160余人参加了培训，为已建成的区、镇、社区(村居)三级信息员网络打通了灾害预警信息传递“最后一公里”盲区。</w:t>
      </w:r>
    </w:p>
    <w:p w:rsidR="00176FA1" w:rsidRDefault="00640C1C">
      <w:pPr>
        <w:widowControl/>
        <w:ind w:firstLineChars="200" w:firstLine="632"/>
        <w:jc w:val="left"/>
        <w:rPr>
          <w:rFonts w:ascii="仿宋_GB2312" w:eastAsia="仿宋_GB2312" w:hAnsi="仿宋_GB2312" w:cs="仿宋_GB2312"/>
          <w:color w:val="000000"/>
          <w:kern w:val="0"/>
          <w:szCs w:val="32"/>
        </w:rPr>
      </w:pPr>
      <w:r>
        <w:rPr>
          <w:rFonts w:ascii="仿宋_GB2312" w:eastAsia="仿宋_GB2312" w:hAnsi="仿宋_GB2312" w:cs="仿宋_GB2312" w:hint="eastAsia"/>
          <w:color w:val="000000"/>
          <w:kern w:val="0"/>
          <w:szCs w:val="32"/>
        </w:rPr>
        <w:t>（17）灾救知识普及率提升。打造国家、省、市三级综合减灾示范社区，投资40万元对东西湖区防震减灾科普展馆进行改造升级，建成了防震减灾主题公园，利用7.28唐山大地震、10.13国际减灾日在全区开展各项综合减灾宣传教育活动，全面提升区域防灾减灾水平。</w:t>
      </w:r>
    </w:p>
    <w:p w:rsidR="00176FA1" w:rsidRDefault="00640C1C">
      <w:pPr>
        <w:widowControl/>
        <w:ind w:firstLineChars="200" w:firstLine="632"/>
        <w:jc w:val="left"/>
        <w:rPr>
          <w:rFonts w:ascii="仿宋_GB2312" w:eastAsia="仿宋_GB2312" w:hAnsi="仿宋_GB2312" w:cs="仿宋_GB2312"/>
          <w:szCs w:val="32"/>
        </w:rPr>
      </w:pPr>
      <w:r>
        <w:rPr>
          <w:rFonts w:ascii="仿宋_GB2312" w:eastAsia="仿宋_GB2312" w:hAnsi="仿宋_GB2312" w:cs="仿宋_GB2312" w:hint="eastAsia"/>
          <w:color w:val="000000"/>
          <w:kern w:val="0"/>
          <w:szCs w:val="32"/>
        </w:rPr>
        <w:t>（18）安全意识增强。</w:t>
      </w:r>
      <w:r>
        <w:rPr>
          <w:rFonts w:ascii="仿宋_GB2312" w:eastAsia="仿宋_GB2312" w:hAnsi="仿宋_GB2312" w:cs="仿宋_GB2312" w:hint="eastAsia"/>
          <w:szCs w:val="32"/>
        </w:rPr>
        <w:t>利用5.12防灾减灾日、6.16安全生产宣传咨询日活动的开展，开展送安全知识“五进”。发放宣传资料11万余份，宣传手册2万余份，发放宣传光盘2000张。与移动公司联合，发放安全宣传知识30万条。通过各种活动载体的开展和宣传教育，全区受教育群众达20余万人。</w:t>
      </w:r>
    </w:p>
    <w:p w:rsidR="00176FA1" w:rsidRDefault="00640C1C">
      <w:pPr>
        <w:widowControl/>
        <w:ind w:firstLineChars="200" w:firstLine="632"/>
        <w:jc w:val="left"/>
        <w:rPr>
          <w:rFonts w:ascii="仿宋_GB2312" w:eastAsia="仿宋_GB2312" w:hAnsi="仿宋_GB2312" w:cs="仿宋_GB2312"/>
          <w:color w:val="000000"/>
          <w:kern w:val="0"/>
          <w:szCs w:val="32"/>
        </w:rPr>
      </w:pPr>
      <w:r>
        <w:rPr>
          <w:rFonts w:ascii="仿宋_GB2312" w:eastAsia="仿宋_GB2312" w:hAnsi="仿宋_GB2312" w:cs="仿宋_GB2312" w:hint="eastAsia"/>
          <w:color w:val="000000"/>
          <w:kern w:val="0"/>
          <w:szCs w:val="32"/>
        </w:rPr>
        <w:t>（19）事故发生率降低。2020年，全区共发生各类安全事故68起，亡14人，直接经济损失800余万元。与去年同期相比，三项指数均呈下降态势，即：事故起数、死亡人数和直接经济损失分别下降16%、17%和20%。</w:t>
      </w:r>
    </w:p>
    <w:p w:rsidR="00176FA1" w:rsidRDefault="00640C1C">
      <w:pPr>
        <w:widowControl/>
        <w:ind w:firstLineChars="200" w:firstLine="632"/>
        <w:jc w:val="left"/>
        <w:rPr>
          <w:rFonts w:ascii="仿宋_GB2312" w:eastAsia="仿宋_GB2312" w:hAnsi="仿宋_GB2312" w:cs="仿宋_GB2312"/>
          <w:color w:val="000000"/>
          <w:kern w:val="0"/>
          <w:szCs w:val="32"/>
        </w:rPr>
      </w:pPr>
      <w:r>
        <w:rPr>
          <w:rFonts w:ascii="仿宋_GB2312" w:eastAsia="仿宋_GB2312" w:hAnsi="仿宋_GB2312" w:cs="仿宋_GB2312" w:hint="eastAsia"/>
          <w:color w:val="000000"/>
          <w:kern w:val="0"/>
          <w:szCs w:val="32"/>
        </w:rPr>
        <w:t>（20）市民灾救意识提升。打造国家、省、市三级综合减灾示范社区，投资40万元对东西湖区防震减灾科普展馆进行改造升级，建成了防震减灾主题公园，利用7.28唐山大地震、10.13国</w:t>
      </w:r>
      <w:r>
        <w:rPr>
          <w:rFonts w:ascii="仿宋_GB2312" w:eastAsia="仿宋_GB2312" w:hAnsi="仿宋_GB2312" w:cs="仿宋_GB2312" w:hint="eastAsia"/>
          <w:color w:val="000000"/>
          <w:kern w:val="0"/>
          <w:szCs w:val="32"/>
        </w:rPr>
        <w:lastRenderedPageBreak/>
        <w:t>际减灾日在全区开展各项综合减灾宣传教育活动，全面提升区域防灾减灾水平。</w:t>
      </w:r>
    </w:p>
    <w:p w:rsidR="00176FA1" w:rsidRDefault="00640C1C">
      <w:pPr>
        <w:widowControl/>
        <w:ind w:firstLineChars="200" w:firstLine="632"/>
        <w:jc w:val="left"/>
        <w:rPr>
          <w:rFonts w:ascii="仿宋_GB2312" w:eastAsia="仿宋_GB2312" w:hAnsi="仿宋_GB2312" w:cs="仿宋_GB2312"/>
          <w:color w:val="000000"/>
          <w:kern w:val="0"/>
          <w:szCs w:val="32"/>
        </w:rPr>
      </w:pPr>
      <w:r>
        <w:rPr>
          <w:rFonts w:ascii="仿宋_GB2312" w:eastAsia="仿宋_GB2312" w:hAnsi="仿宋_GB2312" w:cs="仿宋_GB2312" w:hint="eastAsia"/>
          <w:color w:val="000000"/>
          <w:kern w:val="0"/>
          <w:szCs w:val="32"/>
        </w:rPr>
        <w:t>（21）安全形势保持平稳。2020年，全区共发生各类安全事故68起，亡14人，直接经济损失800余万元。与去年同期相比，三项指数均呈下降态势，即：事故起数、死亡人数和直接经济损失分别下降16%、17%和20%。</w:t>
      </w:r>
    </w:p>
    <w:p w:rsidR="00176FA1" w:rsidRDefault="00640C1C">
      <w:pPr>
        <w:widowControl/>
        <w:ind w:firstLineChars="200" w:firstLine="632"/>
        <w:jc w:val="left"/>
        <w:rPr>
          <w:rFonts w:ascii="仿宋_GB2312" w:eastAsia="仿宋_GB2312" w:hAnsi="仿宋_GB2312" w:cs="仿宋_GB2312"/>
          <w:color w:val="000000"/>
          <w:kern w:val="0"/>
          <w:szCs w:val="32"/>
        </w:rPr>
      </w:pPr>
      <w:r>
        <w:rPr>
          <w:rFonts w:ascii="仿宋_GB2312" w:eastAsia="仿宋_GB2312" w:hAnsi="仿宋_GB2312" w:cs="仿宋_GB2312" w:hint="eastAsia"/>
          <w:color w:val="000000"/>
          <w:kern w:val="0"/>
          <w:szCs w:val="32"/>
        </w:rPr>
        <w:t>（22）全力做好疫情防控物资保障。在区疫情防控指挥部的领导下，建立了应急值守、信息报送制度和“一日一研判、一日一报告、一日一调度、一日一抽查、一事一处理”等应急物资保障工作制度。积极探索第三方参与应急物资管理模式，聘请了武汉佳恒华中快运有限公司参与对应急物资的管理工作，确保了物资调配规范高效。共收到各类口罩546.48万个，防护服（隔离服）25万件，手套194.79万双，护目镜 2.2万个，体温枪（计）4.4万只，酒精15.2吨，消毒液298.8吨，矿泉水267.98吨；共卸运农副产品581.62吨；发放各类口罩 526.48万只，防护服（隔离服）18.42万件，手套138.98万双，体温枪（计）4.4万只，消杀类257吨,矿泉水248.08吨。疫情期间，协助征用酒店、宾馆作为援助医疗队住宿场所和疫情防控隔离场所，共征用酒店、宾馆19家、房间1386间、床位1989个。对全区15家医疗队及后勤保障人员入住酒店、25家集中医学观察点、3家省监狱管理局征用东西湖区内酒店、15家养老机构等重点场所进行安全检查,做到全覆盖、无死角，确保疫情期间人民群众生命财产安全。</w:t>
      </w:r>
    </w:p>
    <w:p w:rsidR="00176FA1" w:rsidRDefault="00640C1C">
      <w:pPr>
        <w:widowControl/>
        <w:ind w:firstLineChars="200" w:firstLine="632"/>
        <w:jc w:val="left"/>
        <w:rPr>
          <w:rFonts w:ascii="仿宋" w:eastAsia="仿宋" w:hAnsi="仿宋" w:cs="仿宋"/>
          <w:color w:val="000000"/>
          <w:kern w:val="0"/>
          <w:szCs w:val="32"/>
        </w:rPr>
      </w:pPr>
      <w:r>
        <w:rPr>
          <w:rFonts w:ascii="仿宋" w:eastAsia="仿宋" w:hAnsi="仿宋" w:cs="仿宋" w:hint="eastAsia"/>
          <w:color w:val="000000"/>
          <w:kern w:val="0"/>
          <w:szCs w:val="32"/>
        </w:rPr>
        <w:lastRenderedPageBreak/>
        <w:t>3.未完成的绩效目标。</w:t>
      </w:r>
    </w:p>
    <w:p w:rsidR="00176FA1" w:rsidRDefault="00640C1C">
      <w:pPr>
        <w:widowControl/>
        <w:ind w:firstLineChars="200" w:firstLine="632"/>
        <w:jc w:val="left"/>
        <w:rPr>
          <w:rFonts w:ascii="仿宋" w:eastAsia="仿宋" w:hAnsi="仿宋" w:cs="仿宋"/>
          <w:color w:val="000000"/>
          <w:kern w:val="0"/>
          <w:szCs w:val="32"/>
        </w:rPr>
      </w:pPr>
      <w:r>
        <w:rPr>
          <w:rFonts w:ascii="仿宋" w:eastAsia="仿宋" w:hAnsi="仿宋" w:cs="仿宋" w:hint="eastAsia"/>
          <w:color w:val="000000"/>
          <w:kern w:val="0"/>
          <w:szCs w:val="32"/>
        </w:rPr>
        <w:t>2020年预算项目绩效目标全部完成，但有部分项目预算执行率较低。如重大隐患以奖代补经费，2020年完成市级重大火灾隐患挂牌督办8家，因上级补贴标准文件未及时出台，当年无支出。地方自然灾害生活补助经费，因当年未发生较大自然灾害，当年无支出。安全视频监控系统维保因安全视频监控系统推迟到2020年启动，造成当年不需要维保。隐患排查企业项目系跨年支出项目，当年仅支付进度款30%，造成预算执行率偏低。</w:t>
      </w:r>
    </w:p>
    <w:p w:rsidR="00176FA1" w:rsidRDefault="00640C1C">
      <w:pPr>
        <w:widowControl/>
        <w:ind w:firstLineChars="200" w:firstLine="632"/>
        <w:jc w:val="left"/>
        <w:rPr>
          <w:rFonts w:ascii="仿宋" w:eastAsia="仿宋" w:hAnsi="仿宋" w:cs="仿宋"/>
          <w:color w:val="000000"/>
          <w:kern w:val="0"/>
          <w:szCs w:val="32"/>
        </w:rPr>
      </w:pPr>
      <w:r>
        <w:rPr>
          <w:rFonts w:ascii="仿宋" w:eastAsia="仿宋" w:hAnsi="仿宋" w:cs="仿宋" w:hint="eastAsia"/>
          <w:color w:val="000000"/>
          <w:kern w:val="0"/>
          <w:szCs w:val="32"/>
        </w:rPr>
        <w:t>（三）存在的问题和原因</w:t>
      </w:r>
    </w:p>
    <w:p w:rsidR="00176FA1" w:rsidRDefault="00640C1C">
      <w:pPr>
        <w:widowControl/>
        <w:ind w:firstLineChars="200" w:firstLine="632"/>
        <w:jc w:val="left"/>
        <w:rPr>
          <w:rFonts w:ascii="仿宋" w:eastAsia="仿宋" w:hAnsi="仿宋" w:cs="仿宋"/>
          <w:color w:val="000000"/>
          <w:kern w:val="0"/>
          <w:szCs w:val="32"/>
        </w:rPr>
      </w:pPr>
      <w:r>
        <w:rPr>
          <w:rFonts w:ascii="仿宋" w:eastAsia="仿宋" w:hAnsi="仿宋" w:cs="仿宋" w:hint="eastAsia"/>
          <w:color w:val="000000"/>
          <w:kern w:val="0"/>
          <w:szCs w:val="32"/>
        </w:rPr>
        <w:t>1、项目预算执行率需进一步提高。2020年部门整体支出绩效执行率82.62%，低于财政要求95%。</w:t>
      </w:r>
    </w:p>
    <w:p w:rsidR="00176FA1" w:rsidRDefault="00640C1C">
      <w:pPr>
        <w:widowControl/>
        <w:ind w:firstLineChars="200" w:firstLine="632"/>
        <w:jc w:val="left"/>
        <w:rPr>
          <w:rFonts w:ascii="仿宋" w:eastAsia="仿宋" w:hAnsi="仿宋" w:cs="仿宋"/>
          <w:color w:val="000000"/>
          <w:kern w:val="0"/>
          <w:szCs w:val="32"/>
        </w:rPr>
      </w:pPr>
      <w:r>
        <w:rPr>
          <w:rFonts w:ascii="仿宋" w:eastAsia="仿宋" w:hAnsi="仿宋" w:cs="仿宋" w:hint="eastAsia"/>
          <w:color w:val="000000"/>
          <w:kern w:val="0"/>
          <w:szCs w:val="32"/>
        </w:rPr>
        <w:t>2、政府采购执行率较低。2020年政府采购预算数1236.72万元，实际政府采购金额782.11万元，政府采购执行率为63.24%。另有294.72万元已采购但未完成支付，占政府采购预算23.83%。</w:t>
      </w:r>
    </w:p>
    <w:p w:rsidR="00176FA1" w:rsidRDefault="00640C1C">
      <w:pPr>
        <w:widowControl/>
        <w:ind w:firstLineChars="200" w:firstLine="632"/>
        <w:jc w:val="left"/>
        <w:rPr>
          <w:rFonts w:ascii="仿宋" w:eastAsia="仿宋" w:hAnsi="仿宋" w:cs="仿宋"/>
          <w:color w:val="000000"/>
          <w:kern w:val="0"/>
          <w:szCs w:val="32"/>
        </w:rPr>
      </w:pPr>
      <w:r>
        <w:rPr>
          <w:rFonts w:ascii="仿宋" w:eastAsia="仿宋" w:hAnsi="仿宋" w:cs="仿宋" w:hint="eastAsia"/>
          <w:color w:val="000000"/>
          <w:kern w:val="0"/>
          <w:szCs w:val="32"/>
        </w:rPr>
        <w:t>3、内部绩效评价指标体系需进一步完善。财政绩效评价指标涉及全局多个部门，内部量化指标和评价指标不够细化，目标设定过于简单，考核约束力不强，不能完全满足现有工作需求。</w:t>
      </w:r>
    </w:p>
    <w:p w:rsidR="00176FA1" w:rsidRDefault="00640C1C">
      <w:pPr>
        <w:widowControl/>
        <w:ind w:firstLineChars="200" w:firstLine="632"/>
        <w:jc w:val="left"/>
        <w:rPr>
          <w:rFonts w:ascii="仿宋" w:eastAsia="仿宋" w:hAnsi="仿宋" w:cs="仿宋"/>
          <w:color w:val="000000"/>
          <w:kern w:val="0"/>
          <w:szCs w:val="32"/>
        </w:rPr>
      </w:pPr>
      <w:r>
        <w:rPr>
          <w:rFonts w:ascii="仿宋" w:eastAsia="仿宋" w:hAnsi="仿宋" w:cs="仿宋" w:hint="eastAsia"/>
          <w:color w:val="000000"/>
          <w:kern w:val="0"/>
          <w:szCs w:val="32"/>
        </w:rPr>
        <w:t>（四）下一步拟改进措施</w:t>
      </w:r>
    </w:p>
    <w:p w:rsidR="00176FA1" w:rsidRDefault="00640C1C">
      <w:pPr>
        <w:widowControl/>
        <w:ind w:firstLineChars="200" w:firstLine="632"/>
        <w:jc w:val="left"/>
        <w:rPr>
          <w:rFonts w:ascii="仿宋" w:eastAsia="仿宋" w:hAnsi="仿宋" w:cs="仿宋"/>
          <w:color w:val="000000"/>
          <w:kern w:val="0"/>
          <w:szCs w:val="32"/>
        </w:rPr>
      </w:pPr>
      <w:r>
        <w:rPr>
          <w:rFonts w:ascii="仿宋" w:eastAsia="仿宋" w:hAnsi="仿宋" w:cs="仿宋" w:hint="eastAsia"/>
          <w:color w:val="000000"/>
          <w:kern w:val="0"/>
          <w:szCs w:val="32"/>
        </w:rPr>
        <w:t>1.提高全局绩效评价的主观认识和重视度。继续建立健全各项管理制度，增强全局人员自上而下的绩效管理责任意识，将绩效管理的全过程细化到各部门和各项具体工作中。</w:t>
      </w:r>
    </w:p>
    <w:p w:rsidR="00176FA1" w:rsidRDefault="00640C1C">
      <w:pPr>
        <w:widowControl/>
        <w:ind w:firstLineChars="200" w:firstLine="632"/>
        <w:jc w:val="left"/>
        <w:rPr>
          <w:rFonts w:ascii="仿宋" w:eastAsia="仿宋" w:hAnsi="仿宋" w:cs="仿宋"/>
          <w:color w:val="000000"/>
          <w:kern w:val="0"/>
          <w:szCs w:val="32"/>
        </w:rPr>
      </w:pPr>
      <w:r>
        <w:rPr>
          <w:rFonts w:ascii="仿宋" w:eastAsia="仿宋" w:hAnsi="仿宋" w:cs="仿宋" w:hint="eastAsia"/>
          <w:color w:val="000000"/>
          <w:kern w:val="0"/>
          <w:szCs w:val="32"/>
        </w:rPr>
        <w:lastRenderedPageBreak/>
        <w:t>2.构建科学合理的绩效评价体系。做到目标多元化，范围扩大化，指标具体化，有效运用绩效评价结果来加强预算管理，提高资金使用效率，及时发现和解决问题，促进财务管理科学化，更好地为单位各项决策提供有效依据。</w:t>
      </w:r>
    </w:p>
    <w:p w:rsidR="00176FA1" w:rsidRDefault="00640C1C">
      <w:pPr>
        <w:widowControl/>
        <w:ind w:firstLineChars="200" w:firstLine="632"/>
        <w:jc w:val="left"/>
        <w:rPr>
          <w:rFonts w:ascii="仿宋" w:eastAsia="仿宋" w:hAnsi="仿宋" w:cs="仿宋"/>
          <w:color w:val="000000"/>
          <w:kern w:val="0"/>
          <w:szCs w:val="32"/>
        </w:rPr>
      </w:pPr>
      <w:r>
        <w:rPr>
          <w:rFonts w:ascii="仿宋" w:eastAsia="仿宋" w:hAnsi="仿宋" w:cs="仿宋" w:hint="eastAsia"/>
          <w:color w:val="000000"/>
          <w:kern w:val="0"/>
          <w:szCs w:val="32"/>
        </w:rPr>
        <w:t>3.加强绩效评价实施主体的培训。通过各种学习方式加大绩效评价人员的培训力度，掌握最新政策，巩固相关业务知识，为更好地制定和实施绩效评价夯实基础。</w:t>
      </w:r>
    </w:p>
    <w:p w:rsidR="00176FA1" w:rsidRDefault="00640C1C">
      <w:pPr>
        <w:widowControl/>
        <w:ind w:firstLineChars="200" w:firstLine="632"/>
        <w:jc w:val="left"/>
        <w:rPr>
          <w:rFonts w:ascii="仿宋" w:eastAsia="仿宋" w:hAnsi="仿宋" w:cs="仿宋"/>
          <w:color w:val="000000"/>
          <w:kern w:val="0"/>
          <w:szCs w:val="32"/>
        </w:rPr>
      </w:pPr>
      <w:r>
        <w:rPr>
          <w:rFonts w:ascii="仿宋" w:eastAsia="仿宋" w:hAnsi="仿宋" w:cs="仿宋" w:hint="eastAsia"/>
          <w:color w:val="000000"/>
          <w:kern w:val="0"/>
          <w:szCs w:val="32"/>
        </w:rPr>
        <w:t>4.绩效评价拟与预算安排相结合</w:t>
      </w:r>
    </w:p>
    <w:p w:rsidR="00176FA1" w:rsidRDefault="00640C1C">
      <w:pPr>
        <w:widowControl/>
        <w:ind w:firstLineChars="200" w:firstLine="632"/>
        <w:jc w:val="left"/>
        <w:rPr>
          <w:rFonts w:ascii="仿宋" w:eastAsia="仿宋" w:hAnsi="仿宋" w:cs="仿宋"/>
          <w:color w:val="000000"/>
          <w:kern w:val="0"/>
          <w:szCs w:val="32"/>
        </w:rPr>
      </w:pPr>
      <w:r>
        <w:rPr>
          <w:rFonts w:ascii="仿宋" w:eastAsia="仿宋" w:hAnsi="仿宋" w:cs="仿宋" w:hint="eastAsia"/>
          <w:color w:val="000000"/>
          <w:kern w:val="0"/>
          <w:szCs w:val="32"/>
        </w:rPr>
        <w:t>将2020年度绩效自评结果作为2022年度预算编制和财政资金安排的重要依据，对预算执行率较低、绩效不明显的项目合并或减少预算。</w:t>
      </w:r>
    </w:p>
    <w:p w:rsidR="00176FA1" w:rsidRDefault="00640C1C">
      <w:pPr>
        <w:widowControl/>
        <w:ind w:firstLineChars="200" w:firstLine="632"/>
        <w:jc w:val="left"/>
        <w:rPr>
          <w:rFonts w:ascii="仿宋" w:eastAsia="仿宋" w:hAnsi="仿宋" w:cs="仿宋"/>
          <w:color w:val="000000"/>
          <w:kern w:val="0"/>
          <w:szCs w:val="32"/>
        </w:rPr>
      </w:pPr>
      <w:r>
        <w:rPr>
          <w:rFonts w:ascii="仿宋" w:eastAsia="仿宋" w:hAnsi="仿宋" w:cs="仿宋" w:hint="eastAsia"/>
          <w:color w:val="000000"/>
          <w:kern w:val="0"/>
          <w:szCs w:val="32"/>
        </w:rPr>
        <w:t>附件：××年度××部门整体部门自评表（附后，格式参见附2）</w:t>
      </w:r>
    </w:p>
    <w:p w:rsidR="00176FA1" w:rsidRDefault="00640C1C">
      <w:pPr>
        <w:widowControl/>
        <w:ind w:firstLineChars="200" w:firstLine="632"/>
        <w:jc w:val="left"/>
        <w:rPr>
          <w:rFonts w:ascii="仿宋" w:eastAsia="仿宋" w:hAnsi="仿宋" w:cs="仿宋"/>
          <w:color w:val="000000"/>
          <w:kern w:val="0"/>
          <w:szCs w:val="32"/>
        </w:rPr>
      </w:pPr>
      <w:r>
        <w:rPr>
          <w:rFonts w:ascii="黑体" w:eastAsia="黑体" w:hAnsi="黑体" w:cs="黑体" w:hint="eastAsia"/>
          <w:color w:val="000000"/>
          <w:kern w:val="0"/>
          <w:szCs w:val="32"/>
        </w:rPr>
        <w:t>二、佐证材料</w:t>
      </w:r>
    </w:p>
    <w:p w:rsidR="00176FA1" w:rsidRDefault="00640C1C">
      <w:pPr>
        <w:widowControl/>
        <w:ind w:firstLineChars="200" w:firstLine="632"/>
        <w:jc w:val="left"/>
        <w:rPr>
          <w:rFonts w:ascii="楷体" w:eastAsia="楷体" w:hAnsi="楷体" w:cs="楷体"/>
          <w:color w:val="000000"/>
          <w:kern w:val="0"/>
          <w:szCs w:val="32"/>
        </w:rPr>
      </w:pPr>
      <w:r>
        <w:rPr>
          <w:rFonts w:ascii="楷体" w:eastAsia="楷体" w:hAnsi="楷体" w:cs="楷体" w:hint="eastAsia"/>
          <w:color w:val="000000"/>
          <w:kern w:val="0"/>
          <w:szCs w:val="32"/>
        </w:rPr>
        <w:t>（一）基本情况</w:t>
      </w:r>
    </w:p>
    <w:p w:rsidR="00176FA1" w:rsidRDefault="00640C1C">
      <w:pPr>
        <w:widowControl/>
        <w:ind w:firstLineChars="200" w:firstLine="632"/>
        <w:jc w:val="left"/>
        <w:rPr>
          <w:rFonts w:ascii="仿宋" w:eastAsia="仿宋" w:hAnsi="仿宋" w:cs="仿宋"/>
          <w:color w:val="000000"/>
          <w:kern w:val="0"/>
          <w:szCs w:val="32"/>
        </w:rPr>
      </w:pPr>
      <w:r>
        <w:rPr>
          <w:rFonts w:ascii="仿宋" w:eastAsia="仿宋" w:hAnsi="仿宋" w:cs="仿宋" w:hint="eastAsia"/>
          <w:color w:val="000000"/>
          <w:kern w:val="0"/>
          <w:szCs w:val="32"/>
        </w:rPr>
        <w:t>1.收入支出预算安排情况</w:t>
      </w:r>
    </w:p>
    <w:p w:rsidR="00176FA1" w:rsidRDefault="00640C1C">
      <w:pPr>
        <w:widowControl/>
        <w:ind w:firstLineChars="200" w:firstLine="632"/>
        <w:jc w:val="left"/>
        <w:rPr>
          <w:rFonts w:ascii="仿宋" w:eastAsia="仿宋" w:hAnsi="仿宋" w:cs="仿宋"/>
          <w:color w:val="000000"/>
          <w:kern w:val="0"/>
          <w:szCs w:val="32"/>
        </w:rPr>
      </w:pPr>
      <w:r>
        <w:rPr>
          <w:rFonts w:ascii="仿宋" w:eastAsia="仿宋" w:hAnsi="仿宋" w:cs="仿宋" w:hint="eastAsia"/>
          <w:color w:val="000000"/>
          <w:kern w:val="0"/>
          <w:szCs w:val="32"/>
        </w:rPr>
        <w:t>根据区财政局《关于东西湖区2020年部门预算的批复》（东财〔2020〕1号）下达我局2020年整体部门支出预算2679.72万元，其中：预算内收入2679.72万元。</w:t>
      </w:r>
    </w:p>
    <w:p w:rsidR="00176FA1" w:rsidRDefault="00640C1C">
      <w:pPr>
        <w:widowControl/>
        <w:ind w:firstLineChars="200" w:firstLine="632"/>
        <w:jc w:val="left"/>
        <w:rPr>
          <w:rFonts w:ascii="仿宋" w:eastAsia="仿宋" w:hAnsi="仿宋" w:cs="仿宋"/>
          <w:color w:val="000000"/>
          <w:kern w:val="0"/>
          <w:szCs w:val="32"/>
        </w:rPr>
      </w:pPr>
      <w:r>
        <w:rPr>
          <w:rFonts w:ascii="仿宋" w:eastAsia="仿宋" w:hAnsi="仿宋" w:cs="仿宋" w:hint="eastAsia"/>
          <w:color w:val="000000"/>
          <w:kern w:val="0"/>
          <w:szCs w:val="32"/>
        </w:rPr>
        <w:t>2.收入支出预算执行情况</w:t>
      </w:r>
    </w:p>
    <w:p w:rsidR="00176FA1" w:rsidRDefault="00640C1C">
      <w:pPr>
        <w:widowControl/>
        <w:ind w:firstLineChars="200" w:firstLine="632"/>
        <w:jc w:val="left"/>
        <w:rPr>
          <w:rFonts w:ascii="仿宋" w:eastAsia="仿宋" w:hAnsi="仿宋" w:cs="仿宋"/>
          <w:color w:val="000000"/>
          <w:kern w:val="0"/>
          <w:szCs w:val="32"/>
        </w:rPr>
      </w:pPr>
      <w:r>
        <w:rPr>
          <w:rFonts w:ascii="仿宋" w:eastAsia="仿宋" w:hAnsi="仿宋" w:cs="仿宋" w:hint="eastAsia"/>
          <w:color w:val="000000"/>
          <w:kern w:val="0"/>
          <w:szCs w:val="32"/>
        </w:rPr>
        <w:lastRenderedPageBreak/>
        <w:t>2020年收入决算数为4801.11万元，其中：财政拨款收入4659.56万元，其他收入141.55万元。较年初预算数增加2121.39万元。</w:t>
      </w:r>
    </w:p>
    <w:p w:rsidR="00176FA1" w:rsidRDefault="00640C1C">
      <w:pPr>
        <w:widowControl/>
        <w:ind w:firstLineChars="200" w:firstLine="632"/>
        <w:jc w:val="left"/>
        <w:rPr>
          <w:rFonts w:ascii="仿宋" w:eastAsia="仿宋" w:hAnsi="仿宋" w:cs="仿宋"/>
          <w:color w:val="000000"/>
          <w:kern w:val="0"/>
          <w:szCs w:val="32"/>
        </w:rPr>
      </w:pPr>
      <w:r>
        <w:rPr>
          <w:rFonts w:ascii="仿宋" w:eastAsia="仿宋" w:hAnsi="仿宋" w:cs="仿宋" w:hint="eastAsia"/>
          <w:color w:val="000000"/>
          <w:kern w:val="0"/>
          <w:szCs w:val="32"/>
        </w:rPr>
        <w:t>2020年支出决算数为4786.11万元，其中：基本支出1060.51万元，项目支出3725.60万元。较年初预算数增加2106.39万元。</w:t>
      </w:r>
    </w:p>
    <w:p w:rsidR="00176FA1" w:rsidRDefault="00640C1C">
      <w:pPr>
        <w:widowControl/>
        <w:ind w:firstLineChars="200" w:firstLine="632"/>
        <w:jc w:val="left"/>
        <w:rPr>
          <w:rFonts w:ascii="仿宋" w:eastAsia="仿宋" w:hAnsi="仿宋" w:cs="仿宋"/>
          <w:color w:val="000000"/>
          <w:kern w:val="0"/>
          <w:szCs w:val="32"/>
        </w:rPr>
      </w:pPr>
      <w:r>
        <w:rPr>
          <w:rFonts w:ascii="仿宋" w:eastAsia="仿宋" w:hAnsi="仿宋" w:cs="仿宋" w:hint="eastAsia"/>
          <w:color w:val="000000"/>
          <w:kern w:val="0"/>
          <w:szCs w:val="32"/>
        </w:rPr>
        <w:t>年初预算与决算存在差异的主要原因：2020年因疫情影响追加疫情防控资金2127.82万元。</w:t>
      </w:r>
    </w:p>
    <w:p w:rsidR="00176FA1" w:rsidRDefault="00640C1C">
      <w:pPr>
        <w:widowControl/>
        <w:ind w:firstLineChars="200" w:firstLine="632"/>
        <w:jc w:val="left"/>
        <w:rPr>
          <w:rFonts w:ascii="仿宋" w:eastAsia="仿宋" w:hAnsi="仿宋" w:cs="仿宋"/>
          <w:color w:val="000000"/>
          <w:kern w:val="0"/>
          <w:szCs w:val="32"/>
        </w:rPr>
      </w:pPr>
      <w:r>
        <w:rPr>
          <w:rFonts w:ascii="仿宋" w:eastAsia="仿宋" w:hAnsi="仿宋" w:cs="仿宋" w:hint="eastAsia"/>
          <w:color w:val="000000"/>
          <w:kern w:val="0"/>
          <w:szCs w:val="32"/>
        </w:rPr>
        <w:t>3.2020年重点工作概述</w:t>
      </w:r>
    </w:p>
    <w:p w:rsidR="00176FA1" w:rsidRDefault="00640C1C">
      <w:pPr>
        <w:widowControl/>
        <w:ind w:firstLineChars="200" w:firstLine="632"/>
        <w:jc w:val="left"/>
        <w:rPr>
          <w:rFonts w:ascii="仿宋" w:eastAsia="仿宋" w:hAnsi="仿宋" w:cs="仿宋"/>
          <w:color w:val="000000"/>
          <w:kern w:val="0"/>
          <w:szCs w:val="32"/>
        </w:rPr>
      </w:pPr>
      <w:r>
        <w:rPr>
          <w:rFonts w:ascii="仿宋" w:eastAsia="仿宋" w:hAnsi="仿宋" w:cs="仿宋" w:hint="eastAsia"/>
          <w:color w:val="000000"/>
          <w:kern w:val="0"/>
          <w:szCs w:val="32"/>
        </w:rPr>
        <w:t>（1）全力做好疫情防控，积极推进企业复工复产督导服务。在区疫情防控指挥部的领导下，建立了应急值守、信息报送制度和“一日一研判、一日一报告、一日一调度、一日一抽查、一事一处理”等应急物资保障工作制度。积极探索第三方参与应急物资管理模式，聘请了武汉佳恒华中快运有限公司参与对应急物资的管理工作，确保了物资调配规范高效。共收到各类口罩546.48万个，防护服（隔离服）25万件，手套194.79万双，护目镜 2.2万个，体温枪（计）4.4万只，酒精15.2吨，消毒液298.8吨，矿泉水267.98吨；共卸运农副产品581.62吨；发放各类口罩 526.48万只，防护服（隔离服）18.42万件，手套138.98万双，体温枪（计）4.4万只，消杀类257吨,矿泉水248.08吨。疫情期间，协助征用酒店、宾馆作为援助医疗队住宿场所和疫情防控隔离场所，共征用酒店、宾馆19家、房间1386间、床位1989个。对全区15家医疗队及后勤保障人员入住酒店、25家集中医</w:t>
      </w:r>
      <w:r>
        <w:rPr>
          <w:rFonts w:ascii="仿宋" w:eastAsia="仿宋" w:hAnsi="仿宋" w:cs="仿宋" w:hint="eastAsia"/>
          <w:color w:val="000000"/>
          <w:kern w:val="0"/>
          <w:szCs w:val="32"/>
        </w:rPr>
        <w:lastRenderedPageBreak/>
        <w:t>学观察点、3家省监狱管理局征用东西湖区内酒店、15家养老机构等重点场所进行安全检查,做到全覆盖、无死角，确保疫情期间人民群众生命财产安全。</w:t>
      </w:r>
    </w:p>
    <w:p w:rsidR="00176FA1" w:rsidRDefault="00640C1C">
      <w:pPr>
        <w:widowControl/>
        <w:ind w:firstLineChars="200" w:firstLine="632"/>
        <w:jc w:val="left"/>
        <w:rPr>
          <w:rFonts w:ascii="仿宋" w:eastAsia="仿宋" w:hAnsi="仿宋" w:cs="仿宋"/>
          <w:color w:val="000000"/>
          <w:kern w:val="0"/>
          <w:szCs w:val="32"/>
        </w:rPr>
      </w:pPr>
      <w:r>
        <w:rPr>
          <w:rFonts w:ascii="仿宋" w:eastAsia="仿宋" w:hAnsi="仿宋" w:cs="仿宋" w:hint="eastAsia"/>
          <w:color w:val="000000"/>
          <w:kern w:val="0"/>
          <w:szCs w:val="32"/>
        </w:rPr>
        <w:t>为助力企业复工复产，成立6个工作检查专班，对复工复产企业和复课学校进行检查，印制发放《企业复工复产安全手册》2万余份。全区复产复工企业总计排查企业22724家次，出动检查人员37136人次，排查一般隐患29333起、整改28550起，整改投入584.27万元。</w:t>
      </w:r>
    </w:p>
    <w:p w:rsidR="00176FA1" w:rsidRDefault="00640C1C">
      <w:pPr>
        <w:widowControl/>
        <w:ind w:firstLineChars="200" w:firstLine="632"/>
        <w:jc w:val="left"/>
        <w:rPr>
          <w:rFonts w:ascii="仿宋" w:eastAsia="仿宋" w:hAnsi="仿宋" w:cs="仿宋"/>
          <w:color w:val="000000"/>
          <w:kern w:val="0"/>
          <w:szCs w:val="32"/>
        </w:rPr>
      </w:pPr>
      <w:r>
        <w:rPr>
          <w:rFonts w:ascii="仿宋" w:eastAsia="仿宋" w:hAnsi="仿宋" w:cs="仿宋" w:hint="eastAsia"/>
          <w:color w:val="000000"/>
          <w:kern w:val="0"/>
          <w:szCs w:val="32"/>
        </w:rPr>
        <w:t>（2）加强源头治理，狠抓隐患排查。一是开展专项治理。今年以来，区安委会办公室牵头开展了打通居民消防“生命通道”集中专项行动、重点场所安全防范专项整治、疫情防控期间安全专项整治、复工复产企业安全防范、100天临战安全大检查等各类专项整治工作；二是用好专家力量。重点行业领域监管部门及各街道聘请第三</w:t>
      </w:r>
      <w:proofErr w:type="gramStart"/>
      <w:r>
        <w:rPr>
          <w:rFonts w:ascii="仿宋" w:eastAsia="仿宋" w:hAnsi="仿宋" w:cs="仿宋" w:hint="eastAsia"/>
          <w:color w:val="000000"/>
          <w:kern w:val="0"/>
          <w:szCs w:val="32"/>
        </w:rPr>
        <w:t>方专业</w:t>
      </w:r>
      <w:proofErr w:type="gramEnd"/>
      <w:r>
        <w:rPr>
          <w:rFonts w:ascii="仿宋" w:eastAsia="仿宋" w:hAnsi="仿宋" w:cs="仿宋" w:hint="eastAsia"/>
          <w:color w:val="000000"/>
          <w:kern w:val="0"/>
          <w:szCs w:val="32"/>
        </w:rPr>
        <w:t>力量对仓储物流运输、液氨制冷、消防、烟花爆竹、</w:t>
      </w:r>
      <w:proofErr w:type="gramStart"/>
      <w:r>
        <w:rPr>
          <w:rFonts w:ascii="仿宋" w:eastAsia="仿宋" w:hAnsi="仿宋" w:cs="仿宋" w:hint="eastAsia"/>
          <w:color w:val="000000"/>
          <w:kern w:val="0"/>
          <w:szCs w:val="32"/>
        </w:rPr>
        <w:t>醇基燃料</w:t>
      </w:r>
      <w:proofErr w:type="gramEnd"/>
      <w:r>
        <w:rPr>
          <w:rFonts w:ascii="仿宋" w:eastAsia="仿宋" w:hAnsi="仿宋" w:cs="仿宋" w:hint="eastAsia"/>
          <w:color w:val="000000"/>
          <w:kern w:val="0"/>
          <w:szCs w:val="32"/>
        </w:rPr>
        <w:t>、特种设备、文化旅游、城镇燃气等重点企业进行安全“体检”，共计投入420万元，以1000家企业为重点全面开展双重隐患排查治理活动；三是推动各行业主管部门开展本行业安全隐患排查整治工作，特种设备领域检查企业435家次，检查特种设备</w:t>
      </w:r>
      <w:proofErr w:type="gramStart"/>
      <w:r>
        <w:rPr>
          <w:rFonts w:ascii="仿宋" w:eastAsia="仿宋" w:hAnsi="仿宋" w:cs="仿宋" w:hint="eastAsia"/>
          <w:color w:val="000000"/>
          <w:kern w:val="0"/>
          <w:szCs w:val="32"/>
        </w:rPr>
        <w:t>3996余台</w:t>
      </w:r>
      <w:proofErr w:type="gramEnd"/>
      <w:r>
        <w:rPr>
          <w:rFonts w:ascii="仿宋" w:eastAsia="仿宋" w:hAnsi="仿宋" w:cs="仿宋" w:hint="eastAsia"/>
          <w:color w:val="000000"/>
          <w:kern w:val="0"/>
          <w:szCs w:val="32"/>
        </w:rPr>
        <w:t>（次），处理特种设备投诉1227起；建筑施工领域开展各类安全检查1856次，下达安全隐患限期整改通知书134份，下达停工整改通知书19份；农业安全领域排查涉农经营单位1858家次，整改一般安全隐患6起，整改投入70万元；</w:t>
      </w:r>
      <w:r>
        <w:rPr>
          <w:rFonts w:ascii="仿宋" w:eastAsia="仿宋" w:hAnsi="仿宋" w:cs="仿宋" w:hint="eastAsia"/>
          <w:color w:val="000000"/>
          <w:kern w:val="0"/>
          <w:szCs w:val="32"/>
        </w:rPr>
        <w:lastRenderedPageBreak/>
        <w:t>消防安全领域排查企业1609家次，发现一般安全隐患1922起，公开挂牌督办隐患19起；危险化学品领域将8家重大危险源企业纳入82家医药化工企业复核范围，共排查整改各类安全隐患43处，督促12家涉案制冷企业重新开展重大危险源辨识和安全评价；城镇燃气领域检查商业用气场所445家次，检查燃气供应场站242家次，开展“打非治违”46起，收缴煤气钢瓶591只。</w:t>
      </w:r>
    </w:p>
    <w:p w:rsidR="00176FA1" w:rsidRDefault="00640C1C">
      <w:pPr>
        <w:widowControl/>
        <w:ind w:firstLineChars="200" w:firstLine="632"/>
        <w:jc w:val="left"/>
        <w:rPr>
          <w:rFonts w:ascii="仿宋" w:eastAsia="仿宋" w:hAnsi="仿宋" w:cs="仿宋"/>
          <w:color w:val="000000"/>
          <w:kern w:val="0"/>
          <w:szCs w:val="32"/>
        </w:rPr>
      </w:pPr>
      <w:r>
        <w:rPr>
          <w:rFonts w:ascii="仿宋" w:eastAsia="仿宋" w:hAnsi="仿宋" w:cs="仿宋" w:hint="eastAsia"/>
          <w:color w:val="000000"/>
          <w:kern w:val="0"/>
          <w:szCs w:val="32"/>
        </w:rPr>
        <w:t>（3）围绕重要时节，扎实开展风险管控工作。春节、两会、灾害性天气等重点时节，加强指导重点行业和重点部门风险管控工作，及时下发《关于做好当前暨春节期间安全风险防范化解工作的通知》；汛期以来，坚持“防大汛、抗大洪、抢大险、救大灾”指导思想不动摇，加强街道、部门协作联动，注重预警信息发布的及时性，确保险情、灾害</w:t>
      </w:r>
      <w:proofErr w:type="gramStart"/>
      <w:r>
        <w:rPr>
          <w:rFonts w:ascii="仿宋" w:eastAsia="仿宋" w:hAnsi="仿宋" w:cs="仿宋" w:hint="eastAsia"/>
          <w:color w:val="000000"/>
          <w:kern w:val="0"/>
          <w:szCs w:val="32"/>
        </w:rPr>
        <w:t>信息第</w:t>
      </w:r>
      <w:proofErr w:type="gramEnd"/>
      <w:r>
        <w:rPr>
          <w:rFonts w:ascii="仿宋" w:eastAsia="仿宋" w:hAnsi="仿宋" w:cs="仿宋" w:hint="eastAsia"/>
          <w:color w:val="000000"/>
          <w:kern w:val="0"/>
          <w:szCs w:val="32"/>
        </w:rPr>
        <w:t>一时间通知到有关部门、企业，指导企业和社会公众做好防范应对。1.组建应急救援队伍：防汛期间共组建25支3000余人的应急抢险队伍，分别成立了街道应急抢险队、区专业应急抢险队、军队应急抢险队5个应急抢险梯队，根据险情等级分级应对，确保能快速除险；2.落实防汛备料：协调各单位、各救援队伍准备</w:t>
      </w:r>
      <w:proofErr w:type="gramStart"/>
      <w:r>
        <w:rPr>
          <w:rFonts w:ascii="仿宋" w:eastAsia="仿宋" w:hAnsi="仿宋" w:cs="仿宋" w:hint="eastAsia"/>
          <w:color w:val="000000"/>
          <w:kern w:val="0"/>
          <w:szCs w:val="32"/>
        </w:rPr>
        <w:t>拖式抽水泵</w:t>
      </w:r>
      <w:proofErr w:type="gramEnd"/>
      <w:r>
        <w:rPr>
          <w:rFonts w:ascii="仿宋" w:eastAsia="仿宋" w:hAnsi="仿宋" w:cs="仿宋" w:hint="eastAsia"/>
          <w:color w:val="000000"/>
          <w:kern w:val="0"/>
          <w:szCs w:val="32"/>
        </w:rPr>
        <w:t>等排渍防涝应急装备86台套，挖掘机等防汛抢险应急装备、设施等物资120余个品种7万余台套，在重点险段、重点部位常备沙石料65727方；3.开展应急演练：按照“Ⅱ级响应、Ⅰ级战备”的要求，在汉江干堤、东西湖大堤、汉北河大堤、东风垸堤等险段开展系列防汛应急抢险拉练，做到一日</w:t>
      </w:r>
      <w:proofErr w:type="gramStart"/>
      <w:r>
        <w:rPr>
          <w:rFonts w:ascii="仿宋" w:eastAsia="仿宋" w:hAnsi="仿宋" w:cs="仿宋" w:hint="eastAsia"/>
          <w:color w:val="000000"/>
          <w:kern w:val="0"/>
          <w:szCs w:val="32"/>
        </w:rPr>
        <w:t>一</w:t>
      </w:r>
      <w:proofErr w:type="gramEnd"/>
      <w:r>
        <w:rPr>
          <w:rFonts w:ascii="仿宋" w:eastAsia="仿宋" w:hAnsi="仿宋" w:cs="仿宋" w:hint="eastAsia"/>
          <w:color w:val="000000"/>
          <w:kern w:val="0"/>
          <w:szCs w:val="32"/>
        </w:rPr>
        <w:t>拉练、一日</w:t>
      </w:r>
      <w:proofErr w:type="gramStart"/>
      <w:r>
        <w:rPr>
          <w:rFonts w:ascii="仿宋" w:eastAsia="仿宋" w:hAnsi="仿宋" w:cs="仿宋" w:hint="eastAsia"/>
          <w:color w:val="000000"/>
          <w:kern w:val="0"/>
          <w:szCs w:val="32"/>
        </w:rPr>
        <w:t>一</w:t>
      </w:r>
      <w:proofErr w:type="gramEnd"/>
      <w:r>
        <w:rPr>
          <w:rFonts w:ascii="仿宋" w:eastAsia="仿宋" w:hAnsi="仿宋" w:cs="仿宋" w:hint="eastAsia"/>
          <w:color w:val="000000"/>
          <w:kern w:val="0"/>
          <w:szCs w:val="32"/>
        </w:rPr>
        <w:t>演习；4.深化巡堤抢险：</w:t>
      </w:r>
      <w:r>
        <w:rPr>
          <w:rFonts w:ascii="仿宋" w:eastAsia="仿宋" w:hAnsi="仿宋" w:cs="仿宋" w:hint="eastAsia"/>
          <w:color w:val="000000"/>
          <w:kern w:val="0"/>
          <w:szCs w:val="32"/>
        </w:rPr>
        <w:lastRenderedPageBreak/>
        <w:t>24小时不间断、拉网式巡堤查险，确保巡查不漏盲点、不留隐患。防汛期间，在东西湖区105.8公里的东西湖围堤、汉江干堤和东风垸堤面上，共计处理堤防渗水、散浸、管涌、裂缝、涵闸漏水、管道破裂等各类堤防险情40处，其中上报市防指的重大险情共计18处，18处险情均在出险初期得到妥善处置，有效控制了险情的进一步扩大，确保了大堤的安全。</w:t>
      </w:r>
    </w:p>
    <w:p w:rsidR="00176FA1" w:rsidRDefault="00640C1C">
      <w:pPr>
        <w:widowControl/>
        <w:ind w:firstLineChars="200" w:firstLine="632"/>
        <w:jc w:val="left"/>
        <w:rPr>
          <w:rFonts w:ascii="仿宋" w:eastAsia="仿宋" w:hAnsi="仿宋" w:cs="仿宋"/>
          <w:color w:val="000000"/>
          <w:kern w:val="0"/>
          <w:szCs w:val="32"/>
        </w:rPr>
      </w:pPr>
      <w:r>
        <w:rPr>
          <w:rFonts w:ascii="仿宋" w:eastAsia="仿宋" w:hAnsi="仿宋" w:cs="仿宋" w:hint="eastAsia"/>
          <w:color w:val="000000"/>
          <w:kern w:val="0"/>
          <w:szCs w:val="32"/>
        </w:rPr>
        <w:t>（4）做实教育培训，筑牢安全基础。坚持全员培训、全员考试的标准，扩大教育培训覆盖面，不断提升培训效果。按照党政领导、监管人员、企业管理负责人、特种作业人员、一线员工等不同层面，投入140余万元，先后组织各类培训14期，培训人员5000余人；为强化培训效果，组织全区2万余人参加了2020全省安全知识网络竞赛，形成“比、学、赶、超”学习局面；扎实开展群众性宣传活动，利用5.12防灾减灾日、6.16安全生产宣传咨询日、安全生产月活动，开展送安全知识“进企业、进家庭、进机关、进学校、进社区”，发放宣传资料11万余份，发放“消除事故隐患、牢筑安全防线”安全知识宣传手册2万余份，发放宣传光盘2000张。通过各种活动载体的开展和宣传教育，全区受教育群众达10余万人。</w:t>
      </w:r>
    </w:p>
    <w:p w:rsidR="00176FA1" w:rsidRDefault="00640C1C">
      <w:pPr>
        <w:widowControl/>
        <w:ind w:firstLineChars="200" w:firstLine="632"/>
        <w:jc w:val="left"/>
        <w:rPr>
          <w:rFonts w:ascii="仿宋" w:eastAsia="仿宋" w:hAnsi="仿宋" w:cs="仿宋"/>
          <w:color w:val="000000"/>
          <w:kern w:val="0"/>
          <w:szCs w:val="32"/>
        </w:rPr>
      </w:pPr>
      <w:r>
        <w:rPr>
          <w:rFonts w:ascii="仿宋" w:eastAsia="仿宋" w:hAnsi="仿宋" w:cs="仿宋" w:hint="eastAsia"/>
          <w:color w:val="000000"/>
          <w:kern w:val="0"/>
          <w:szCs w:val="32"/>
        </w:rPr>
        <w:t>（5）加快应急基础建设，强化防灾减灾能力。一是推进应急队伍建设，根据机构设置、人员变动情况和工作需要，对区人民政府突发事件应急委员会和各突发事件专项应急委员会（指挥部）组成人员进行调整。组建各类救援队伍19支，共计517人，</w:t>
      </w:r>
      <w:r>
        <w:rPr>
          <w:rFonts w:ascii="仿宋" w:eastAsia="仿宋" w:hAnsi="仿宋" w:cs="仿宋" w:hint="eastAsia"/>
          <w:color w:val="000000"/>
          <w:kern w:val="0"/>
          <w:szCs w:val="32"/>
        </w:rPr>
        <w:lastRenderedPageBreak/>
        <w:t>其中228人的地震应急救援志愿者队伍，为武汉市首支地震应急救援志愿者队伍；二是稳步推进应急信息化建设，建立应急系统视频会议室，接通应急指挥专网，新建应急指挥调度会商平台，其他配套工作逐步落实。三是强化防灾减灾能力建设。结合防汛抗旱工作的开展，组织开展全区防涝排渍综合演练，通过演练，进一步提高了全区应对灾害能力。拓展物资请</w:t>
      </w:r>
      <w:proofErr w:type="gramStart"/>
      <w:r>
        <w:rPr>
          <w:rFonts w:ascii="仿宋" w:eastAsia="仿宋" w:hAnsi="仿宋" w:cs="仿宋" w:hint="eastAsia"/>
          <w:color w:val="000000"/>
          <w:kern w:val="0"/>
          <w:szCs w:val="32"/>
        </w:rPr>
        <w:t>领联系</w:t>
      </w:r>
      <w:proofErr w:type="gramEnd"/>
      <w:r>
        <w:rPr>
          <w:rFonts w:ascii="仿宋" w:eastAsia="仿宋" w:hAnsi="仿宋" w:cs="仿宋" w:hint="eastAsia"/>
          <w:color w:val="000000"/>
          <w:kern w:val="0"/>
          <w:szCs w:val="32"/>
        </w:rPr>
        <w:t>渠道，分别与区内三家大型超市签订应急救灾物资采购协议，构建以大型商超为依托的社会化保障体系。投资100万元打造国家、省、市三级综合减灾示范社区，建成东西湖区防震减灾科普展馆教育基地。四是加强应急预案体系建设。对四个应急预案进行修订，对三个应急预案进行编制，目前均已完成公示下发。督促各部门、街道、社区、企业完善和落实应急预案、现场处置方案，做好政企预案衔接，全区共制定专项应急预案30个，部门应急预案18个，街道应急预案25个，社区应急预案164个，265家规模以上企业和高危企业完成应急预案网上备案。</w:t>
      </w:r>
    </w:p>
    <w:p w:rsidR="00176FA1" w:rsidRDefault="00640C1C">
      <w:pPr>
        <w:widowControl/>
        <w:ind w:firstLineChars="200" w:firstLine="632"/>
        <w:jc w:val="left"/>
        <w:rPr>
          <w:rFonts w:ascii="仿宋" w:eastAsia="仿宋" w:hAnsi="仿宋" w:cs="仿宋"/>
          <w:color w:val="000000"/>
          <w:kern w:val="0"/>
          <w:szCs w:val="32"/>
        </w:rPr>
      </w:pPr>
      <w:r>
        <w:rPr>
          <w:rFonts w:ascii="仿宋" w:eastAsia="仿宋" w:hAnsi="仿宋" w:cs="仿宋" w:hint="eastAsia"/>
          <w:color w:val="000000"/>
          <w:kern w:val="0"/>
          <w:szCs w:val="32"/>
        </w:rPr>
        <w:t>（6）创新监管模式，走科技兴安之路。建设高危企业安全视频监控平台，对全区29家高危企业（涉及危险化学品、</w:t>
      </w:r>
      <w:proofErr w:type="gramStart"/>
      <w:r>
        <w:rPr>
          <w:rFonts w:ascii="仿宋" w:eastAsia="仿宋" w:hAnsi="仿宋" w:cs="仿宋" w:hint="eastAsia"/>
          <w:color w:val="000000"/>
          <w:kern w:val="0"/>
          <w:szCs w:val="32"/>
        </w:rPr>
        <w:t>涉氯涉氨</w:t>
      </w:r>
      <w:proofErr w:type="gramEnd"/>
      <w:r>
        <w:rPr>
          <w:rFonts w:ascii="仿宋" w:eastAsia="仿宋" w:hAnsi="仿宋" w:cs="仿宋" w:hint="eastAsia"/>
          <w:color w:val="000000"/>
          <w:kern w:val="0"/>
          <w:szCs w:val="32"/>
        </w:rPr>
        <w:t>、重大危险源、加油站和烟花爆竹批发）重点部位的监控视频、动态参数、基础数据等信息进行采集整合，第一批纳入建设工作的企业监控视频信息已经全部完成接入，能够实时投屏查看，三四级重大危险源（危险化学品生产企业）安全生产感知系统已联</w:t>
      </w:r>
      <w:r>
        <w:rPr>
          <w:rFonts w:ascii="仿宋" w:eastAsia="仿宋" w:hAnsi="仿宋" w:cs="仿宋" w:hint="eastAsia"/>
          <w:color w:val="000000"/>
          <w:kern w:val="0"/>
          <w:szCs w:val="32"/>
        </w:rPr>
        <w:lastRenderedPageBreak/>
        <w:t>网接入省厅平台；第二批19家企业和12个街道办事处视频监控工作正在建设中。</w:t>
      </w:r>
    </w:p>
    <w:p w:rsidR="00176FA1" w:rsidRDefault="00640C1C">
      <w:pPr>
        <w:widowControl/>
        <w:ind w:firstLineChars="200" w:firstLine="632"/>
        <w:jc w:val="left"/>
        <w:rPr>
          <w:rFonts w:ascii="仿宋" w:eastAsia="仿宋" w:hAnsi="仿宋" w:cs="仿宋"/>
          <w:color w:val="000000"/>
          <w:kern w:val="0"/>
          <w:szCs w:val="32"/>
        </w:rPr>
      </w:pPr>
      <w:r>
        <w:rPr>
          <w:rFonts w:ascii="仿宋" w:eastAsia="仿宋" w:hAnsi="仿宋" w:cs="仿宋" w:hint="eastAsia"/>
          <w:color w:val="000000"/>
          <w:kern w:val="0"/>
          <w:szCs w:val="32"/>
        </w:rPr>
        <w:t>4.部门整体绩效目标的设立情况</w:t>
      </w:r>
    </w:p>
    <w:p w:rsidR="00176FA1" w:rsidRDefault="00640C1C">
      <w:pPr>
        <w:widowControl/>
        <w:ind w:firstLineChars="200" w:firstLine="632"/>
        <w:jc w:val="left"/>
        <w:rPr>
          <w:rFonts w:ascii="仿宋" w:eastAsia="仿宋" w:hAnsi="仿宋" w:cs="仿宋"/>
          <w:color w:val="000000"/>
          <w:kern w:val="0"/>
          <w:szCs w:val="32"/>
        </w:rPr>
      </w:pPr>
      <w:r>
        <w:rPr>
          <w:rFonts w:ascii="仿宋" w:eastAsia="仿宋" w:hAnsi="仿宋" w:cs="仿宋" w:hint="eastAsia"/>
          <w:color w:val="000000"/>
          <w:kern w:val="0"/>
          <w:szCs w:val="32"/>
        </w:rPr>
        <w:t>根据区应急管理局主要工作职责，2020年部门履职绩效目标主要包括：</w:t>
      </w:r>
    </w:p>
    <w:p w:rsidR="00176FA1" w:rsidRDefault="00176FA1">
      <w:pPr>
        <w:widowControl/>
        <w:ind w:firstLineChars="200" w:firstLine="632"/>
        <w:jc w:val="left"/>
        <w:rPr>
          <w:rFonts w:ascii="仿宋" w:eastAsia="仿宋" w:hAnsi="仿宋" w:cs="仿宋"/>
          <w:color w:val="000000"/>
          <w:kern w:val="0"/>
          <w:szCs w:val="32"/>
        </w:rPr>
      </w:pPr>
    </w:p>
    <w:p w:rsidR="00176FA1" w:rsidRDefault="00640C1C">
      <w:pPr>
        <w:widowControl/>
        <w:ind w:firstLineChars="200" w:firstLine="632"/>
        <w:jc w:val="left"/>
        <w:rPr>
          <w:rFonts w:ascii="楷体" w:eastAsia="楷体" w:hAnsi="楷体" w:cs="楷体"/>
          <w:color w:val="000000"/>
          <w:kern w:val="0"/>
          <w:szCs w:val="32"/>
        </w:rPr>
      </w:pPr>
      <w:r>
        <w:rPr>
          <w:rFonts w:ascii="楷体" w:eastAsia="楷体" w:hAnsi="楷体" w:cs="楷体" w:hint="eastAsia"/>
          <w:color w:val="000000"/>
          <w:kern w:val="0"/>
          <w:szCs w:val="32"/>
        </w:rPr>
        <w:t>（二）部门自评工作开展情况</w:t>
      </w:r>
    </w:p>
    <w:p w:rsidR="00176FA1" w:rsidRDefault="00640C1C" w:rsidP="00283531">
      <w:pPr>
        <w:widowControl/>
        <w:ind w:firstLineChars="200" w:firstLine="634"/>
        <w:jc w:val="left"/>
        <w:rPr>
          <w:rFonts w:ascii="仿宋" w:eastAsia="仿宋" w:hAnsi="仿宋" w:cs="仿宋"/>
          <w:b/>
          <w:bCs/>
          <w:color w:val="000000"/>
          <w:kern w:val="0"/>
          <w:szCs w:val="32"/>
        </w:rPr>
      </w:pPr>
      <w:r>
        <w:rPr>
          <w:rFonts w:ascii="仿宋" w:eastAsia="仿宋" w:hAnsi="仿宋" w:cs="仿宋" w:hint="eastAsia"/>
          <w:b/>
          <w:bCs/>
          <w:color w:val="000000"/>
          <w:kern w:val="0"/>
          <w:szCs w:val="32"/>
        </w:rPr>
        <w:t>1、绩效自评的目的</w:t>
      </w:r>
    </w:p>
    <w:p w:rsidR="00176FA1" w:rsidRDefault="00640C1C">
      <w:pPr>
        <w:widowControl/>
        <w:ind w:firstLineChars="200" w:firstLine="632"/>
        <w:jc w:val="left"/>
        <w:rPr>
          <w:rFonts w:ascii="仿宋" w:eastAsia="仿宋" w:hAnsi="仿宋" w:cs="仿宋"/>
          <w:color w:val="000000"/>
          <w:kern w:val="0"/>
          <w:szCs w:val="32"/>
        </w:rPr>
      </w:pPr>
      <w:r>
        <w:rPr>
          <w:rFonts w:ascii="仿宋" w:eastAsia="仿宋" w:hAnsi="仿宋" w:cs="仿宋" w:hint="eastAsia"/>
          <w:color w:val="000000"/>
          <w:kern w:val="0"/>
          <w:szCs w:val="32"/>
        </w:rPr>
        <w:t>进一步提升绩效管理水平，强化支出责任，提高财政资金使用效益。通过项目立项情况、资金使用情况、项目实施管理情况、项目绩效表现情况自我评价，了解资金使用是否达到了预期目标、资金管理是否规范、资金使用是否有效，检验资金支出效率和结果，分析存在问题及原因，及时总结经验，改进管理措施，不断增强和落实绩效管理责任，完善工作机制，有效提高资金管理水平和使用效益。</w:t>
      </w:r>
    </w:p>
    <w:p w:rsidR="00176FA1" w:rsidRDefault="00640C1C" w:rsidP="00283531">
      <w:pPr>
        <w:widowControl/>
        <w:ind w:firstLineChars="200" w:firstLine="634"/>
        <w:jc w:val="left"/>
        <w:rPr>
          <w:rFonts w:ascii="仿宋" w:eastAsia="仿宋" w:hAnsi="仿宋" w:cs="仿宋"/>
          <w:b/>
          <w:bCs/>
          <w:color w:val="000000"/>
          <w:kern w:val="0"/>
          <w:szCs w:val="32"/>
        </w:rPr>
      </w:pPr>
      <w:r>
        <w:rPr>
          <w:rFonts w:ascii="仿宋" w:eastAsia="仿宋" w:hAnsi="仿宋" w:cs="仿宋" w:hint="eastAsia"/>
          <w:b/>
          <w:bCs/>
          <w:color w:val="000000"/>
          <w:kern w:val="0"/>
          <w:szCs w:val="32"/>
        </w:rPr>
        <w:t>2、绩效评价范围</w:t>
      </w:r>
    </w:p>
    <w:p w:rsidR="00176FA1" w:rsidRDefault="00640C1C">
      <w:pPr>
        <w:widowControl/>
        <w:ind w:firstLineChars="200" w:firstLine="632"/>
        <w:jc w:val="left"/>
        <w:rPr>
          <w:rFonts w:ascii="仿宋" w:eastAsia="仿宋" w:hAnsi="仿宋" w:cs="仿宋"/>
          <w:color w:val="000000"/>
          <w:kern w:val="0"/>
          <w:szCs w:val="32"/>
        </w:rPr>
      </w:pPr>
      <w:r>
        <w:rPr>
          <w:rFonts w:ascii="仿宋" w:eastAsia="仿宋" w:hAnsi="仿宋" w:cs="仿宋" w:hint="eastAsia"/>
          <w:color w:val="000000"/>
          <w:kern w:val="0"/>
          <w:szCs w:val="32"/>
        </w:rPr>
        <w:t>区应急管理局2020年纳入政府预算管理的所有项目支出和部门整体支出。</w:t>
      </w:r>
    </w:p>
    <w:p w:rsidR="00176FA1" w:rsidRDefault="00640C1C" w:rsidP="00283531">
      <w:pPr>
        <w:widowControl/>
        <w:ind w:firstLineChars="200" w:firstLine="634"/>
        <w:jc w:val="left"/>
        <w:rPr>
          <w:rFonts w:ascii="仿宋" w:eastAsia="仿宋" w:hAnsi="仿宋" w:cs="仿宋"/>
          <w:b/>
          <w:bCs/>
          <w:color w:val="000000"/>
          <w:kern w:val="0"/>
          <w:szCs w:val="32"/>
        </w:rPr>
      </w:pPr>
      <w:r>
        <w:rPr>
          <w:rFonts w:ascii="仿宋" w:eastAsia="仿宋" w:hAnsi="仿宋" w:cs="仿宋" w:hint="eastAsia"/>
          <w:b/>
          <w:bCs/>
          <w:color w:val="000000"/>
          <w:kern w:val="0"/>
          <w:szCs w:val="32"/>
        </w:rPr>
        <w:t>3、绩效评价程序</w:t>
      </w:r>
    </w:p>
    <w:p w:rsidR="00176FA1" w:rsidRDefault="00640C1C">
      <w:pPr>
        <w:widowControl/>
        <w:ind w:firstLine="551"/>
        <w:jc w:val="left"/>
        <w:rPr>
          <w:rFonts w:ascii="仿宋" w:eastAsia="仿宋" w:hAnsi="仿宋" w:cs="仿宋"/>
          <w:color w:val="000000"/>
          <w:kern w:val="0"/>
          <w:szCs w:val="32"/>
        </w:rPr>
      </w:pPr>
      <w:r>
        <w:rPr>
          <w:rFonts w:ascii="仿宋" w:eastAsia="仿宋" w:hAnsi="仿宋" w:cs="仿宋" w:hint="eastAsia"/>
          <w:color w:val="000000"/>
          <w:kern w:val="0"/>
          <w:szCs w:val="32"/>
        </w:rPr>
        <w:t>根据《区财政局关于开展2020年度预算绩效评价及结果应用工作的通知》文件要求，区应急管理局预算绩效评价采用部门自</w:t>
      </w:r>
      <w:r>
        <w:rPr>
          <w:rFonts w:ascii="仿宋" w:eastAsia="仿宋" w:hAnsi="仿宋" w:cs="仿宋" w:hint="eastAsia"/>
          <w:color w:val="000000"/>
          <w:kern w:val="0"/>
          <w:szCs w:val="32"/>
        </w:rPr>
        <w:lastRenderedPageBreak/>
        <w:t>评的方式，按照制定工作方案、组织实施自评、撰写自评结果、自评结果应用的程序进行。</w:t>
      </w:r>
    </w:p>
    <w:p w:rsidR="00176FA1" w:rsidRDefault="00640C1C" w:rsidP="00283531">
      <w:pPr>
        <w:widowControl/>
        <w:ind w:firstLineChars="200" w:firstLine="634"/>
        <w:jc w:val="left"/>
        <w:rPr>
          <w:rFonts w:ascii="仿宋" w:eastAsia="仿宋" w:hAnsi="仿宋" w:cs="仿宋"/>
          <w:b/>
          <w:bCs/>
          <w:color w:val="000000"/>
          <w:kern w:val="0"/>
          <w:szCs w:val="32"/>
        </w:rPr>
      </w:pPr>
      <w:r>
        <w:rPr>
          <w:rFonts w:ascii="仿宋" w:eastAsia="仿宋" w:hAnsi="仿宋" w:cs="仿宋" w:hint="eastAsia"/>
          <w:b/>
          <w:bCs/>
          <w:color w:val="000000"/>
          <w:kern w:val="0"/>
          <w:szCs w:val="32"/>
        </w:rPr>
        <w:t>4、绩效评价指标体系</w:t>
      </w:r>
    </w:p>
    <w:p w:rsidR="00176FA1" w:rsidRDefault="00640C1C">
      <w:pPr>
        <w:widowControl/>
        <w:ind w:firstLineChars="200" w:firstLine="632"/>
        <w:jc w:val="left"/>
        <w:rPr>
          <w:rFonts w:ascii="仿宋" w:eastAsia="仿宋" w:hAnsi="仿宋" w:cs="仿宋"/>
          <w:color w:val="000000"/>
          <w:kern w:val="0"/>
          <w:szCs w:val="32"/>
        </w:rPr>
      </w:pPr>
      <w:r>
        <w:rPr>
          <w:rFonts w:ascii="仿宋" w:eastAsia="仿宋" w:hAnsi="仿宋" w:cs="仿宋" w:hint="eastAsia"/>
          <w:color w:val="000000"/>
          <w:kern w:val="0"/>
          <w:szCs w:val="32"/>
        </w:rPr>
        <w:t>本次评价采用百分制，各级指标依据其指标权重确定分值，评价人员根据评价情况对各级指标进行评分。预算执行情况20分、产出指标40分、效益</w:t>
      </w:r>
      <w:proofErr w:type="gramStart"/>
      <w:r>
        <w:rPr>
          <w:rFonts w:ascii="仿宋" w:eastAsia="仿宋" w:hAnsi="仿宋" w:cs="仿宋" w:hint="eastAsia"/>
          <w:color w:val="000000"/>
          <w:kern w:val="0"/>
          <w:szCs w:val="32"/>
        </w:rPr>
        <w:t>指标指标</w:t>
      </w:r>
      <w:proofErr w:type="gramEnd"/>
      <w:r>
        <w:rPr>
          <w:rFonts w:ascii="仿宋" w:eastAsia="仿宋" w:hAnsi="仿宋" w:cs="仿宋" w:hint="eastAsia"/>
          <w:color w:val="000000"/>
          <w:kern w:val="0"/>
          <w:szCs w:val="32"/>
        </w:rPr>
        <w:t>40分，满意度指标不计分。根据最终得分情况将评价结果分为四个等级：优（得分≥90分）；良（80分≤得分＜90分）；中（60≤得分＜80分）；差（得分＜60分）。</w:t>
      </w:r>
    </w:p>
    <w:p w:rsidR="00176FA1" w:rsidRDefault="00640C1C" w:rsidP="00283531">
      <w:pPr>
        <w:widowControl/>
        <w:ind w:firstLineChars="200" w:firstLine="634"/>
        <w:jc w:val="left"/>
        <w:rPr>
          <w:rFonts w:ascii="仿宋" w:eastAsia="仿宋" w:hAnsi="仿宋" w:cs="仿宋"/>
          <w:b/>
          <w:bCs/>
          <w:color w:val="000000"/>
          <w:kern w:val="0"/>
          <w:szCs w:val="32"/>
        </w:rPr>
      </w:pPr>
      <w:r>
        <w:rPr>
          <w:rFonts w:ascii="仿宋" w:eastAsia="仿宋" w:hAnsi="仿宋" w:cs="仿宋" w:hint="eastAsia"/>
          <w:b/>
          <w:bCs/>
          <w:color w:val="000000"/>
          <w:kern w:val="0"/>
          <w:szCs w:val="32"/>
        </w:rPr>
        <w:t>5、绩效自评原则</w:t>
      </w:r>
    </w:p>
    <w:p w:rsidR="00176FA1" w:rsidRDefault="00640C1C">
      <w:pPr>
        <w:widowControl/>
        <w:ind w:firstLineChars="200" w:firstLine="632"/>
        <w:jc w:val="left"/>
        <w:rPr>
          <w:rFonts w:ascii="仿宋" w:eastAsia="仿宋" w:hAnsi="仿宋" w:cs="仿宋"/>
          <w:color w:val="000000"/>
          <w:kern w:val="0"/>
          <w:szCs w:val="32"/>
        </w:rPr>
      </w:pPr>
      <w:r>
        <w:rPr>
          <w:rFonts w:ascii="仿宋" w:eastAsia="仿宋" w:hAnsi="仿宋" w:cs="仿宋" w:hint="eastAsia"/>
          <w:color w:val="000000"/>
          <w:kern w:val="0"/>
          <w:szCs w:val="32"/>
        </w:rPr>
        <w:t>本次评价遵循科学规范、公正公开、分级分类和绩效相关原则。</w:t>
      </w:r>
    </w:p>
    <w:p w:rsidR="00176FA1" w:rsidRDefault="00640C1C">
      <w:pPr>
        <w:widowControl/>
        <w:ind w:firstLineChars="200" w:firstLine="632"/>
        <w:jc w:val="left"/>
        <w:rPr>
          <w:rFonts w:ascii="仿宋" w:eastAsia="仿宋" w:hAnsi="仿宋" w:cs="仿宋"/>
          <w:color w:val="000000"/>
          <w:kern w:val="0"/>
          <w:szCs w:val="32"/>
        </w:rPr>
      </w:pPr>
      <w:r>
        <w:rPr>
          <w:rFonts w:ascii="仿宋" w:eastAsia="仿宋" w:hAnsi="仿宋" w:cs="仿宋" w:hint="eastAsia"/>
          <w:color w:val="000000"/>
          <w:kern w:val="0"/>
          <w:szCs w:val="32"/>
        </w:rPr>
        <w:t>（1）科学规范原则。绩效评价应当注重财政支出的经济性、效率性和有效性，严格执行规定的程序，采用定量与定性分析相结合的方法。</w:t>
      </w:r>
    </w:p>
    <w:p w:rsidR="00176FA1" w:rsidRDefault="00640C1C">
      <w:pPr>
        <w:widowControl/>
        <w:ind w:firstLineChars="200" w:firstLine="632"/>
        <w:jc w:val="left"/>
        <w:rPr>
          <w:rFonts w:ascii="仿宋" w:eastAsia="仿宋" w:hAnsi="仿宋" w:cs="仿宋"/>
          <w:color w:val="000000"/>
          <w:kern w:val="0"/>
          <w:szCs w:val="32"/>
        </w:rPr>
      </w:pPr>
      <w:r>
        <w:rPr>
          <w:rFonts w:ascii="仿宋" w:eastAsia="仿宋" w:hAnsi="仿宋" w:cs="仿宋" w:hint="eastAsia"/>
          <w:color w:val="000000"/>
          <w:kern w:val="0"/>
          <w:szCs w:val="32"/>
        </w:rPr>
        <w:t>（2）公正公开原则。绩效评价应当客观、公正，标准统一、资料可靠，依法公开并接受监督。</w:t>
      </w:r>
    </w:p>
    <w:p w:rsidR="00176FA1" w:rsidRDefault="00640C1C">
      <w:pPr>
        <w:widowControl/>
        <w:ind w:firstLineChars="200" w:firstLine="632"/>
        <w:jc w:val="left"/>
        <w:rPr>
          <w:rFonts w:ascii="仿宋" w:eastAsia="仿宋" w:hAnsi="仿宋" w:cs="仿宋"/>
          <w:color w:val="000000"/>
          <w:kern w:val="0"/>
          <w:szCs w:val="32"/>
        </w:rPr>
      </w:pPr>
      <w:r>
        <w:rPr>
          <w:rFonts w:ascii="仿宋" w:eastAsia="仿宋" w:hAnsi="仿宋" w:cs="仿宋" w:hint="eastAsia"/>
          <w:color w:val="000000"/>
          <w:kern w:val="0"/>
          <w:szCs w:val="32"/>
        </w:rPr>
        <w:t>（3）分级分类原则。绩效评价由各级财政部门、部门（单位）根据评价对象的特点分类组织实施。</w:t>
      </w:r>
    </w:p>
    <w:p w:rsidR="00176FA1" w:rsidRDefault="00640C1C">
      <w:pPr>
        <w:widowControl/>
        <w:ind w:firstLineChars="200" w:firstLine="632"/>
        <w:jc w:val="left"/>
        <w:rPr>
          <w:rFonts w:ascii="仿宋" w:eastAsia="仿宋" w:hAnsi="仿宋" w:cs="仿宋"/>
          <w:color w:val="000000"/>
          <w:kern w:val="0"/>
          <w:szCs w:val="32"/>
        </w:rPr>
      </w:pPr>
      <w:r>
        <w:rPr>
          <w:rFonts w:ascii="仿宋" w:eastAsia="仿宋" w:hAnsi="仿宋" w:cs="仿宋" w:hint="eastAsia"/>
          <w:color w:val="000000"/>
          <w:kern w:val="0"/>
          <w:szCs w:val="32"/>
        </w:rPr>
        <w:t>（4）绩效相关原则。绩效评价应当针对具体支出及其产出绩效进行，评价结果应清晰反映支出和产出绩效之间的紧密对应关系。</w:t>
      </w:r>
    </w:p>
    <w:p w:rsidR="00176FA1" w:rsidRDefault="00640C1C" w:rsidP="00283531">
      <w:pPr>
        <w:widowControl/>
        <w:ind w:firstLineChars="200" w:firstLine="634"/>
        <w:jc w:val="left"/>
        <w:rPr>
          <w:rFonts w:ascii="仿宋" w:eastAsia="仿宋" w:hAnsi="仿宋" w:cs="仿宋"/>
          <w:b/>
          <w:bCs/>
          <w:color w:val="000000"/>
          <w:kern w:val="0"/>
          <w:szCs w:val="32"/>
        </w:rPr>
      </w:pPr>
      <w:r>
        <w:rPr>
          <w:rFonts w:ascii="仿宋" w:eastAsia="仿宋" w:hAnsi="仿宋" w:cs="仿宋" w:hint="eastAsia"/>
          <w:b/>
          <w:bCs/>
          <w:color w:val="000000"/>
          <w:kern w:val="0"/>
          <w:szCs w:val="32"/>
        </w:rPr>
        <w:lastRenderedPageBreak/>
        <w:t>6、绩效自评方法</w:t>
      </w:r>
    </w:p>
    <w:p w:rsidR="00176FA1" w:rsidRDefault="00640C1C">
      <w:pPr>
        <w:widowControl/>
        <w:ind w:firstLineChars="200" w:firstLine="632"/>
        <w:jc w:val="left"/>
        <w:rPr>
          <w:rFonts w:ascii="仿宋" w:eastAsia="仿宋" w:hAnsi="仿宋" w:cs="仿宋"/>
          <w:color w:val="000000"/>
          <w:kern w:val="0"/>
          <w:szCs w:val="32"/>
        </w:rPr>
      </w:pPr>
      <w:r>
        <w:rPr>
          <w:rFonts w:ascii="仿宋" w:eastAsia="仿宋" w:hAnsi="仿宋" w:cs="仿宋"/>
          <w:color w:val="000000"/>
          <w:kern w:val="0"/>
          <w:szCs w:val="32"/>
        </w:rPr>
        <w:t>本次绩效自评主要通过审阅资料、实地考察法、比较分析法等方法进行评价。</w:t>
      </w:r>
    </w:p>
    <w:p w:rsidR="00176FA1" w:rsidRDefault="00640C1C">
      <w:pPr>
        <w:widowControl/>
        <w:ind w:firstLineChars="200" w:firstLine="632"/>
        <w:jc w:val="left"/>
        <w:rPr>
          <w:rFonts w:ascii="仿宋" w:eastAsia="仿宋" w:hAnsi="仿宋" w:cs="仿宋"/>
          <w:color w:val="000000"/>
          <w:kern w:val="0"/>
          <w:szCs w:val="32"/>
        </w:rPr>
      </w:pPr>
      <w:r>
        <w:rPr>
          <w:rFonts w:ascii="仿宋" w:eastAsia="仿宋" w:hAnsi="仿宋" w:cs="仿宋"/>
          <w:color w:val="000000"/>
          <w:kern w:val="0"/>
          <w:szCs w:val="32"/>
        </w:rPr>
        <w:t>（1）审阅资料法。</w:t>
      </w:r>
      <w:proofErr w:type="gramStart"/>
      <w:r>
        <w:rPr>
          <w:rFonts w:ascii="仿宋" w:eastAsia="仿宋" w:hAnsi="仿宋" w:cs="仿宋"/>
          <w:color w:val="000000"/>
          <w:kern w:val="0"/>
          <w:szCs w:val="32"/>
        </w:rPr>
        <w:t>审阅</w:t>
      </w:r>
      <w:r>
        <w:rPr>
          <w:rFonts w:ascii="仿宋" w:eastAsia="仿宋" w:hAnsi="仿宋" w:cs="仿宋" w:hint="eastAsia"/>
          <w:color w:val="000000"/>
          <w:kern w:val="0"/>
          <w:szCs w:val="32"/>
        </w:rPr>
        <w:t>区</w:t>
      </w:r>
      <w:proofErr w:type="gramEnd"/>
      <w:r>
        <w:rPr>
          <w:rFonts w:ascii="仿宋" w:eastAsia="仿宋" w:hAnsi="仿宋" w:cs="仿宋" w:hint="eastAsia"/>
          <w:color w:val="000000"/>
          <w:kern w:val="0"/>
          <w:szCs w:val="32"/>
        </w:rPr>
        <w:t>应急管理局</w:t>
      </w:r>
      <w:r>
        <w:rPr>
          <w:rFonts w:ascii="仿宋" w:eastAsia="仿宋" w:hAnsi="仿宋" w:cs="仿宋"/>
          <w:color w:val="000000"/>
          <w:kern w:val="0"/>
          <w:szCs w:val="32"/>
        </w:rPr>
        <w:t>的“三定方案”、预算申报、执行、部门履职目标的完成情况等相关资料和数据，对</w:t>
      </w:r>
      <w:r>
        <w:rPr>
          <w:rFonts w:ascii="仿宋" w:eastAsia="仿宋" w:hAnsi="仿宋" w:cs="仿宋" w:hint="eastAsia"/>
          <w:color w:val="000000"/>
          <w:kern w:val="0"/>
          <w:szCs w:val="32"/>
        </w:rPr>
        <w:t>区应急管理局</w:t>
      </w:r>
      <w:r>
        <w:rPr>
          <w:rFonts w:ascii="仿宋" w:eastAsia="仿宋" w:hAnsi="仿宋" w:cs="仿宋"/>
          <w:color w:val="000000"/>
          <w:kern w:val="0"/>
          <w:szCs w:val="32"/>
        </w:rPr>
        <w:t>职能职责、管理范围、重点任务工作和部门组织管理情况等基础情况进一步了解，并对相关资料进行分析，为报告的撰写奠定基础。</w:t>
      </w:r>
    </w:p>
    <w:p w:rsidR="00176FA1" w:rsidRDefault="00640C1C">
      <w:pPr>
        <w:widowControl/>
        <w:ind w:firstLineChars="200" w:firstLine="632"/>
        <w:jc w:val="left"/>
        <w:rPr>
          <w:rFonts w:ascii="仿宋" w:eastAsia="仿宋" w:hAnsi="仿宋" w:cs="仿宋"/>
          <w:color w:val="000000"/>
          <w:kern w:val="0"/>
          <w:szCs w:val="32"/>
        </w:rPr>
      </w:pPr>
      <w:r>
        <w:rPr>
          <w:rFonts w:ascii="仿宋" w:eastAsia="仿宋" w:hAnsi="仿宋" w:cs="仿宋"/>
          <w:color w:val="000000"/>
          <w:kern w:val="0"/>
          <w:szCs w:val="32"/>
        </w:rPr>
        <w:t>（2）实地考察法。对选取的项目进行实地考察，了解项目支出明细、项目相关管理制度、项目完成情况、项目达到的目标和效果。</w:t>
      </w:r>
    </w:p>
    <w:p w:rsidR="00176FA1" w:rsidRDefault="00640C1C">
      <w:pPr>
        <w:widowControl/>
        <w:ind w:firstLineChars="200" w:firstLine="632"/>
        <w:jc w:val="left"/>
        <w:rPr>
          <w:rFonts w:ascii="仿宋" w:eastAsia="仿宋" w:hAnsi="仿宋" w:cs="仿宋"/>
          <w:color w:val="000000"/>
          <w:kern w:val="0"/>
          <w:szCs w:val="32"/>
        </w:rPr>
      </w:pPr>
      <w:r>
        <w:rPr>
          <w:rFonts w:ascii="仿宋" w:eastAsia="仿宋" w:hAnsi="仿宋" w:cs="仿宋"/>
          <w:color w:val="000000"/>
          <w:kern w:val="0"/>
          <w:szCs w:val="32"/>
        </w:rPr>
        <w:t>（3）比较分析法。依据下达的预算，对照项目实际完成内容，评价实际实施内容与批复预算的完成情况；依据相关政策文件，评价项目是否按照项目管理办法等文件执行；依据项目资金计划文件和凭证，评价项目资金下拨、到位及使用情况；将项目绩效目标与实施结果对比分析，判断项目目标的实现情况；将项目预期效益与实施效果数据对比分析，评价项目预期效益实现程度。</w:t>
      </w:r>
    </w:p>
    <w:p w:rsidR="00176FA1" w:rsidRDefault="00640C1C">
      <w:pPr>
        <w:widowControl/>
        <w:ind w:firstLineChars="200" w:firstLine="632"/>
        <w:jc w:val="left"/>
        <w:rPr>
          <w:rFonts w:ascii="仿宋" w:eastAsia="仿宋" w:hAnsi="仿宋" w:cs="仿宋"/>
          <w:color w:val="000000"/>
          <w:kern w:val="0"/>
          <w:szCs w:val="32"/>
        </w:rPr>
      </w:pPr>
      <w:r>
        <w:rPr>
          <w:rFonts w:ascii="仿宋" w:eastAsia="仿宋" w:hAnsi="仿宋" w:cs="仿宋"/>
          <w:color w:val="000000"/>
          <w:kern w:val="0"/>
          <w:szCs w:val="32"/>
        </w:rPr>
        <w:t>（4）案卷研究分析法</w:t>
      </w:r>
      <w:r>
        <w:rPr>
          <w:rFonts w:ascii="仿宋" w:eastAsia="仿宋" w:hAnsi="仿宋" w:cs="仿宋" w:hint="eastAsia"/>
          <w:color w:val="000000"/>
          <w:kern w:val="0"/>
          <w:szCs w:val="32"/>
        </w:rPr>
        <w:t>。</w:t>
      </w:r>
      <w:r>
        <w:rPr>
          <w:rFonts w:ascii="仿宋" w:eastAsia="仿宋" w:hAnsi="仿宋" w:cs="仿宋"/>
          <w:color w:val="000000"/>
          <w:kern w:val="0"/>
          <w:szCs w:val="32"/>
        </w:rPr>
        <w:t>主要获取与评价项目相关的自评报告及佐证资料、项目过程资料、资金使用账表、会计凭证、验收总结等材料进行研究评价。</w:t>
      </w:r>
    </w:p>
    <w:p w:rsidR="00176FA1" w:rsidRDefault="00640C1C">
      <w:pPr>
        <w:widowControl/>
        <w:ind w:firstLineChars="200" w:firstLine="632"/>
        <w:jc w:val="left"/>
        <w:rPr>
          <w:rFonts w:ascii="仿宋" w:eastAsia="仿宋" w:hAnsi="仿宋" w:cs="仿宋"/>
          <w:color w:val="000000"/>
          <w:kern w:val="0"/>
          <w:szCs w:val="32"/>
        </w:rPr>
      </w:pPr>
      <w:r>
        <w:rPr>
          <w:rFonts w:ascii="仿宋" w:eastAsia="仿宋" w:hAnsi="仿宋" w:cs="仿宋"/>
          <w:color w:val="000000"/>
          <w:kern w:val="0"/>
          <w:szCs w:val="32"/>
        </w:rPr>
        <w:lastRenderedPageBreak/>
        <w:t>（5）问卷调查法</w:t>
      </w:r>
      <w:r>
        <w:rPr>
          <w:rFonts w:ascii="仿宋" w:eastAsia="仿宋" w:hAnsi="仿宋" w:cs="仿宋" w:hint="eastAsia"/>
          <w:color w:val="000000"/>
          <w:kern w:val="0"/>
          <w:szCs w:val="32"/>
        </w:rPr>
        <w:t>。</w:t>
      </w:r>
      <w:r>
        <w:rPr>
          <w:rFonts w:ascii="仿宋" w:eastAsia="仿宋" w:hAnsi="仿宋" w:cs="仿宋"/>
          <w:color w:val="000000"/>
          <w:kern w:val="0"/>
          <w:szCs w:val="32"/>
        </w:rPr>
        <w:t>依据部门职能职责，并结合年度重点工作，着重考虑项目受益对象和受影响的群体，较为合理的确认受影响各方的重要性，确定其所占的比例及问卷数量，有针对性地设置调查问卷问题，尽量全面体现项目实施的全过程。发放调查问卷过程中，根据群体的不同，采用随机或全覆盖的方式发放，调查人员做好相应记录、汇总，根据调查问卷结果客观反映项目实施效果。</w:t>
      </w:r>
    </w:p>
    <w:p w:rsidR="00176FA1" w:rsidRDefault="00640C1C" w:rsidP="00283531">
      <w:pPr>
        <w:widowControl/>
        <w:ind w:firstLineChars="200" w:firstLine="634"/>
        <w:jc w:val="left"/>
        <w:rPr>
          <w:rFonts w:ascii="仿宋" w:eastAsia="仿宋" w:hAnsi="仿宋" w:cs="仿宋"/>
          <w:b/>
          <w:bCs/>
          <w:color w:val="000000"/>
          <w:kern w:val="0"/>
          <w:szCs w:val="32"/>
        </w:rPr>
      </w:pPr>
      <w:r>
        <w:rPr>
          <w:rFonts w:ascii="仿宋" w:eastAsia="仿宋" w:hAnsi="仿宋" w:cs="仿宋" w:hint="eastAsia"/>
          <w:b/>
          <w:bCs/>
          <w:color w:val="000000"/>
          <w:kern w:val="0"/>
          <w:szCs w:val="32"/>
        </w:rPr>
        <w:t>7、绩效自评工作过程</w:t>
      </w:r>
    </w:p>
    <w:p w:rsidR="00176FA1" w:rsidRDefault="00640C1C">
      <w:pPr>
        <w:widowControl/>
        <w:ind w:firstLineChars="200" w:firstLine="632"/>
        <w:jc w:val="left"/>
        <w:rPr>
          <w:rFonts w:ascii="仿宋" w:eastAsia="仿宋" w:hAnsi="仿宋" w:cs="仿宋"/>
          <w:color w:val="000000"/>
          <w:kern w:val="0"/>
          <w:szCs w:val="32"/>
        </w:rPr>
      </w:pPr>
      <w:r>
        <w:rPr>
          <w:rFonts w:ascii="仿宋" w:eastAsia="仿宋" w:hAnsi="仿宋" w:cs="仿宋" w:hint="eastAsia"/>
          <w:color w:val="000000"/>
          <w:kern w:val="0"/>
          <w:szCs w:val="32"/>
        </w:rPr>
        <w:t>（1）前期准备。根据预算法相关规定，在编制预算时，建立事前绩效目标编制工作，</w:t>
      </w:r>
      <w:proofErr w:type="gramStart"/>
      <w:r>
        <w:rPr>
          <w:rFonts w:ascii="仿宋" w:eastAsia="仿宋" w:hAnsi="仿宋" w:cs="仿宋" w:hint="eastAsia"/>
          <w:color w:val="000000"/>
          <w:kern w:val="0"/>
          <w:szCs w:val="32"/>
        </w:rPr>
        <w:t>构建事</w:t>
      </w:r>
      <w:proofErr w:type="gramEnd"/>
      <w:r>
        <w:rPr>
          <w:rFonts w:ascii="仿宋" w:eastAsia="仿宋" w:hAnsi="仿宋" w:cs="仿宋" w:hint="eastAsia"/>
          <w:color w:val="000000"/>
          <w:kern w:val="0"/>
          <w:szCs w:val="32"/>
        </w:rPr>
        <w:t>中绩效跟踪和绩效评价机制。为切实做好2020年度预算绩效考核工作，</w:t>
      </w:r>
      <w:proofErr w:type="gramStart"/>
      <w:r>
        <w:rPr>
          <w:rFonts w:ascii="仿宋" w:eastAsia="仿宋" w:hAnsi="仿宋" w:cs="仿宋" w:hint="eastAsia"/>
          <w:color w:val="000000"/>
          <w:kern w:val="0"/>
          <w:szCs w:val="32"/>
        </w:rPr>
        <w:t>保证区</w:t>
      </w:r>
      <w:proofErr w:type="gramEnd"/>
      <w:r>
        <w:rPr>
          <w:rFonts w:ascii="仿宋" w:eastAsia="仿宋" w:hAnsi="仿宋" w:cs="仿宋" w:hint="eastAsia"/>
          <w:color w:val="000000"/>
          <w:kern w:val="0"/>
          <w:szCs w:val="32"/>
        </w:rPr>
        <w:t>应急管理局预算支出绩效自评工作高效有序进行，确保绩效目标如期实现，区应急管理局根据确定的部门整体支出绩效目标和项目支出绩效目标，明确评价组织实施方式，确定评价目的、内容、任务、依据、评价时间及要求等方面的情况。</w:t>
      </w:r>
    </w:p>
    <w:p w:rsidR="00176FA1" w:rsidRDefault="00640C1C">
      <w:pPr>
        <w:widowControl/>
        <w:ind w:firstLineChars="200" w:firstLine="632"/>
        <w:jc w:val="left"/>
        <w:rPr>
          <w:rFonts w:ascii="仿宋" w:eastAsia="仿宋" w:hAnsi="仿宋" w:cs="仿宋"/>
          <w:color w:val="000000"/>
          <w:kern w:val="0"/>
          <w:szCs w:val="32"/>
        </w:rPr>
      </w:pPr>
      <w:r>
        <w:rPr>
          <w:rFonts w:ascii="仿宋" w:eastAsia="仿宋" w:hAnsi="仿宋" w:cs="仿宋" w:hint="eastAsia"/>
          <w:color w:val="000000"/>
          <w:kern w:val="0"/>
          <w:szCs w:val="32"/>
        </w:rPr>
        <w:t>（2）组织实施。根据《区财政局关于开展2020年度预算绩效评价及结果应用工作的通知》（</w:t>
      </w:r>
      <w:proofErr w:type="gramStart"/>
      <w:r>
        <w:rPr>
          <w:rFonts w:ascii="仿宋" w:eastAsia="仿宋" w:hAnsi="仿宋" w:cs="仿宋" w:hint="eastAsia"/>
          <w:color w:val="000000"/>
          <w:kern w:val="0"/>
          <w:szCs w:val="32"/>
        </w:rPr>
        <w:t>东财〔2020〕</w:t>
      </w:r>
      <w:proofErr w:type="gramEnd"/>
      <w:r>
        <w:rPr>
          <w:rFonts w:ascii="仿宋" w:eastAsia="仿宋" w:hAnsi="仿宋" w:cs="仿宋" w:hint="eastAsia"/>
          <w:color w:val="000000"/>
          <w:kern w:val="0"/>
          <w:szCs w:val="32"/>
        </w:rPr>
        <w:t>42号）要求，局党委高度重视，在局预算绩效自评工作领导小组领导下，积极组织各相关科室开展2020年预算绩效自评相关工作。整体绩效自评工作由办公室负责，各相关科室提供佐证材料；项目绩效自评由各相关项目科室负责，财务人员协助，并由办公室负责汇总。</w:t>
      </w:r>
    </w:p>
    <w:sectPr w:rsidR="00176FA1">
      <w:footerReference w:type="default" r:id="rId8"/>
      <w:pgSz w:w="11906" w:h="16838"/>
      <w:pgMar w:top="2098" w:right="1474" w:bottom="1984" w:left="1587" w:header="851" w:footer="992" w:gutter="0"/>
      <w:pgNumType w:fmt="numberInDash"/>
      <w:cols w:space="0"/>
      <w:docGrid w:type="linesAndChars" w:linePitch="579" w:charSpace="-8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74F7" w:rsidRDefault="000A74F7">
      <w:r>
        <w:separator/>
      </w:r>
    </w:p>
  </w:endnote>
  <w:endnote w:type="continuationSeparator" w:id="0">
    <w:p w:rsidR="000A74F7" w:rsidRDefault="000A7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FA1" w:rsidRDefault="00640C1C">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76FA1" w:rsidRDefault="00640C1C">
                          <w:pPr>
                            <w:pStyle w:val="a3"/>
                            <w:rPr>
                              <w:sz w:val="28"/>
                              <w:szCs w:val="32"/>
                            </w:rPr>
                          </w:pPr>
                          <w:r>
                            <w:rPr>
                              <w:rFonts w:hint="eastAsia"/>
                              <w:sz w:val="28"/>
                              <w:szCs w:val="32"/>
                            </w:rPr>
                            <w:fldChar w:fldCharType="begin"/>
                          </w:r>
                          <w:r>
                            <w:rPr>
                              <w:rFonts w:hint="eastAsia"/>
                              <w:sz w:val="28"/>
                              <w:szCs w:val="32"/>
                            </w:rPr>
                            <w:instrText xml:space="preserve"> PAGE  \* MERGEFORMAT </w:instrText>
                          </w:r>
                          <w:r>
                            <w:rPr>
                              <w:rFonts w:hint="eastAsia"/>
                              <w:sz w:val="28"/>
                              <w:szCs w:val="32"/>
                            </w:rPr>
                            <w:fldChar w:fldCharType="separate"/>
                          </w:r>
                          <w:r w:rsidR="0041333F">
                            <w:rPr>
                              <w:noProof/>
                              <w:sz w:val="28"/>
                              <w:szCs w:val="32"/>
                            </w:rPr>
                            <w:t>- 7 -</w:t>
                          </w:r>
                          <w:r>
                            <w:rPr>
                              <w:rFonts w:hint="eastAsia"/>
                              <w:sz w:val="28"/>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176FA1" w:rsidRDefault="00640C1C">
                    <w:pPr>
                      <w:pStyle w:val="a3"/>
                      <w:rPr>
                        <w:sz w:val="28"/>
                        <w:szCs w:val="32"/>
                      </w:rPr>
                    </w:pPr>
                    <w:r>
                      <w:rPr>
                        <w:rFonts w:hint="eastAsia"/>
                        <w:sz w:val="28"/>
                        <w:szCs w:val="32"/>
                      </w:rPr>
                      <w:fldChar w:fldCharType="begin"/>
                    </w:r>
                    <w:r>
                      <w:rPr>
                        <w:rFonts w:hint="eastAsia"/>
                        <w:sz w:val="28"/>
                        <w:szCs w:val="32"/>
                      </w:rPr>
                      <w:instrText xml:space="preserve"> PAGE  \* MERGEFORMAT </w:instrText>
                    </w:r>
                    <w:r>
                      <w:rPr>
                        <w:rFonts w:hint="eastAsia"/>
                        <w:sz w:val="28"/>
                        <w:szCs w:val="32"/>
                      </w:rPr>
                      <w:fldChar w:fldCharType="separate"/>
                    </w:r>
                    <w:r w:rsidR="0041333F">
                      <w:rPr>
                        <w:noProof/>
                        <w:sz w:val="28"/>
                        <w:szCs w:val="32"/>
                      </w:rPr>
                      <w:t>- 7 -</w:t>
                    </w:r>
                    <w:r>
                      <w:rPr>
                        <w:rFonts w:hint="eastAsia"/>
                        <w:sz w:val="28"/>
                        <w:szCs w:val="32"/>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74F7" w:rsidRDefault="000A74F7">
      <w:r>
        <w:separator/>
      </w:r>
    </w:p>
  </w:footnote>
  <w:footnote w:type="continuationSeparator" w:id="0">
    <w:p w:rsidR="000A74F7" w:rsidRDefault="000A74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HorizontalSpacing w:val="158"/>
  <w:drawingGridVerticalSpacing w:val="290"/>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077622"/>
    <w:rsid w:val="000A74F7"/>
    <w:rsid w:val="00176FA1"/>
    <w:rsid w:val="00283531"/>
    <w:rsid w:val="0041333F"/>
    <w:rsid w:val="00640C1C"/>
    <w:rsid w:val="00732264"/>
    <w:rsid w:val="007C3691"/>
    <w:rsid w:val="008B1A8B"/>
    <w:rsid w:val="00A5372E"/>
    <w:rsid w:val="0DDB1A0F"/>
    <w:rsid w:val="101D1AD5"/>
    <w:rsid w:val="29077622"/>
    <w:rsid w:val="311A4062"/>
    <w:rsid w:val="32384BB0"/>
    <w:rsid w:val="3AE154B4"/>
    <w:rsid w:val="45A05ED6"/>
    <w:rsid w:val="51150B6C"/>
    <w:rsid w:val="59117C55"/>
    <w:rsid w:val="61AB2A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Calibri" w:hAnsi="Calibri"/>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Calibri" w:hAnsi="Calibri"/>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265</TotalTime>
  <Pages>18</Pages>
  <Words>1438</Words>
  <Characters>8200</Characters>
  <Application>Microsoft Office Word</Application>
  <DocSecurity>0</DocSecurity>
  <Lines>68</Lines>
  <Paragraphs>19</Paragraphs>
  <ScaleCrop>false</ScaleCrop>
  <Company>Lenovo</Company>
  <LinksUpToDate>false</LinksUpToDate>
  <CharactersWithSpaces>9619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5</cp:revision>
  <cp:lastPrinted>2021-11-03T06:48:00Z</cp:lastPrinted>
  <dcterms:created xsi:type="dcterms:W3CDTF">2021-06-19T14:06:00Z</dcterms:created>
  <dcterms:modified xsi:type="dcterms:W3CDTF">2025-12-14T03:54:00Z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E296AB5709F84DC0BD11338A23DFED3D</vt:lpwstr>
  </property>
</Properties>
</file>