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9418A" w14:textId="77777777" w:rsidR="003841FD" w:rsidRDefault="007057E6">
      <w:pPr>
        <w:spacing w:line="580" w:lineRule="exac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p>
    <w:p w14:paraId="58582570" w14:textId="77777777" w:rsidR="003841FD" w:rsidRDefault="007057E6">
      <w:pPr>
        <w:widowControl/>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年东西湖区</w:t>
      </w:r>
      <w:r>
        <w:rPr>
          <w:rFonts w:ascii="方正小标宋简体" w:eastAsia="方正小标宋简体" w:hAnsi="方正小标宋简体" w:cs="方正小标宋简体" w:hint="eastAsia"/>
          <w:sz w:val="44"/>
          <w:szCs w:val="44"/>
        </w:rPr>
        <w:t>取土检测</w:t>
      </w:r>
      <w:r>
        <w:rPr>
          <w:rFonts w:ascii="方正小标宋简体" w:eastAsia="方正小标宋简体" w:hAnsi="方正小标宋简体" w:cs="方正小标宋简体" w:hint="eastAsia"/>
          <w:sz w:val="44"/>
          <w:szCs w:val="44"/>
        </w:rPr>
        <w:t>工作方案</w:t>
      </w:r>
    </w:p>
    <w:p w14:paraId="7E19EF3B" w14:textId="77777777" w:rsidR="003841FD" w:rsidRDefault="007057E6">
      <w:pPr>
        <w:spacing w:line="579"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（征求意见稿）</w:t>
      </w:r>
    </w:p>
    <w:p w14:paraId="57945E65" w14:textId="77777777" w:rsidR="003841FD" w:rsidRDefault="007057E6">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为深入贯彻落实</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中央一号文件、中央生态环境保护督察要求及《农业农村部关于加快农业发展全面绿色转型促进乡村生态振兴的指导意见》等精神，抓实抓细耕地保护与质量提升工作，精准掌握全区土壤肥力动态，科学指导土壤改良与施肥作业，推动农业主导产业提质增效与绿色可持续发展，结合我区实际，制定本方案。</w:t>
      </w:r>
    </w:p>
    <w:p w14:paraId="48361148" w14:textId="77777777" w:rsidR="003841FD" w:rsidRDefault="007057E6">
      <w:pPr>
        <w:spacing w:line="579"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一、总体目标</w:t>
      </w:r>
    </w:p>
    <w:p w14:paraId="2C1C0ED9" w14:textId="77777777" w:rsidR="003841FD" w:rsidRDefault="007057E6">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紧扣中央、省、市关于耕地保护的部署要求，以提升耕地质量、夯实粮食安全根基为主线，推进测土配方施肥与耕地质量提升工作。通过精准掌握全区土壤肥力与健康状况，构建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以测定肥、以改提质、以管增效</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的耕地保护新格局，为全区农业主导产业提质增效和绿色可持续发展提供坚实的数据支撑和技术保障。</w:t>
      </w:r>
    </w:p>
    <w:p w14:paraId="7DC46664" w14:textId="77777777" w:rsidR="003841FD" w:rsidRDefault="007057E6">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二、主要任务</w:t>
      </w:r>
    </w:p>
    <w:p w14:paraId="5F25BDE2" w14:textId="77777777" w:rsidR="003841FD" w:rsidRDefault="007057E6">
      <w:pPr>
        <w:spacing w:line="58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（一）定点取样监测。</w:t>
      </w: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突出重点，持续监测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原则，聚焦各街种植主导产业，</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年在东山街、辛安渡街、新沟镇街、走马岭街、柏泉街开展定点服务。每个遴选科技示范户</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户、普通种植户</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户，全区共计</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户，于春茬结束后和秋收</w:t>
      </w:r>
      <w:r>
        <w:rPr>
          <w:rFonts w:ascii="Times New Roman" w:eastAsia="仿宋_GB2312" w:hAnsi="Times New Roman" w:cs="Times New Roman"/>
          <w:sz w:val="32"/>
          <w:szCs w:val="32"/>
        </w:rPr>
        <w:t>后分别取</w:t>
      </w:r>
      <w:r>
        <w:rPr>
          <w:rFonts w:ascii="Times New Roman" w:eastAsia="仿宋_GB2312" w:hAnsi="Times New Roman" w:cs="Times New Roman"/>
          <w:sz w:val="32"/>
          <w:szCs w:val="32"/>
        </w:rPr>
        <w:lastRenderedPageBreak/>
        <w:t>土检测，完成检测样本</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份，检测耕层土壤中</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、有机质、碱解氮、有效磷、速效钾、中微量元素等含量。同时，针对各街道排查发现土壤质量异常、存在安全风险隐患的耕层土壤，及时取样开展全面检测。</w:t>
      </w:r>
    </w:p>
    <w:p w14:paraId="4294F803" w14:textId="77777777" w:rsidR="003841FD" w:rsidRDefault="007057E6">
      <w:pPr>
        <w:spacing w:line="58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（二）科学施肥指导。</w:t>
      </w:r>
      <w:r>
        <w:rPr>
          <w:rFonts w:ascii="Times New Roman" w:eastAsia="仿宋_GB2312" w:hAnsi="Times New Roman" w:cs="Times New Roman"/>
          <w:sz w:val="32"/>
          <w:szCs w:val="32"/>
        </w:rPr>
        <w:t>对试点种植户开展生产及施肥跟踪调查，建立施肥与农事操作台账，对比分析不同主体的施肥习惯、成本构成及产量效益差异，评价施肥行为对耕地质量的影响，形成设施蔬菜科学施肥技术改良建议报告。结合检测结果和分析报告，针对性组织入户指导、技术培训、田间课堂等，将科学施肥、土壤改良技术直接送到田间地头，提升农户</w:t>
      </w:r>
      <w:r>
        <w:rPr>
          <w:rFonts w:ascii="Times New Roman" w:eastAsia="仿宋_GB2312" w:hAnsi="Times New Roman" w:cs="Times New Roman"/>
          <w:sz w:val="32"/>
          <w:szCs w:val="32"/>
        </w:rPr>
        <w:t>科学施肥意识和施肥技术水平。</w:t>
      </w:r>
    </w:p>
    <w:p w14:paraId="6FE62366" w14:textId="77777777" w:rsidR="003841FD" w:rsidRDefault="007057E6">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三、具体流程</w:t>
      </w:r>
    </w:p>
    <w:p w14:paraId="219E92B5" w14:textId="77777777" w:rsidR="003841FD" w:rsidRDefault="007057E6">
      <w:pPr>
        <w:ind w:firstLineChars="200" w:firstLine="640"/>
        <w:jc w:val="left"/>
        <w:rPr>
          <w:rFonts w:ascii="Times New Roman" w:eastAsia="仿宋_GB2312" w:hAnsi="Times New Roman" w:cs="Times New Roman"/>
          <w:sz w:val="32"/>
          <w:szCs w:val="32"/>
        </w:rPr>
      </w:pPr>
      <w:r>
        <w:rPr>
          <w:rFonts w:ascii="Times New Roman" w:eastAsia="方正楷体_GB2312" w:hAnsi="Times New Roman" w:cs="Times New Roman"/>
          <w:sz w:val="32"/>
          <w:szCs w:val="32"/>
        </w:rPr>
        <w:t>（一）采购管理。</w:t>
      </w:r>
      <w:r>
        <w:rPr>
          <w:rFonts w:ascii="Times New Roman" w:eastAsia="仿宋_GB2312" w:hAnsi="Times New Roman" w:cs="Times New Roman"/>
          <w:sz w:val="32"/>
          <w:szCs w:val="32"/>
        </w:rPr>
        <w:t>按照《关于印发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武汉市东西湖区农业农村局采购管理制度（试行）</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的通知》（东农文〔</w:t>
      </w:r>
      <w:r>
        <w:rPr>
          <w:rFonts w:ascii="Times New Roman" w:eastAsia="仿宋_GB2312" w:hAnsi="Times New Roman" w:cs="Times New Roman"/>
          <w:sz w:val="32"/>
          <w:szCs w:val="32"/>
        </w:rPr>
        <w:t>225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号）文件要求，选择具备</w:t>
      </w:r>
      <w:r>
        <w:rPr>
          <w:rFonts w:ascii="Times New Roman" w:eastAsia="仿宋_GB2312" w:hAnsi="Times New Roman" w:cs="Times New Roman"/>
          <w:sz w:val="32"/>
          <w:szCs w:val="32"/>
        </w:rPr>
        <w:t>CMA</w:t>
      </w:r>
      <w:r>
        <w:rPr>
          <w:rFonts w:ascii="Times New Roman" w:eastAsia="仿宋_GB2312" w:hAnsi="Times New Roman" w:cs="Times New Roman"/>
          <w:sz w:val="32"/>
          <w:szCs w:val="32"/>
        </w:rPr>
        <w:t>认证的第三方检测机构，采用向不少于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家符合条件机构进行询价的方式确定检测服务单位，与检测服务单位签订服务合同。</w:t>
      </w:r>
    </w:p>
    <w:p w14:paraId="390698B0" w14:textId="77777777" w:rsidR="003841FD" w:rsidRDefault="007057E6">
      <w:pPr>
        <w:spacing w:line="58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（二）采样与检测。</w:t>
      </w:r>
      <w:r>
        <w:rPr>
          <w:rFonts w:ascii="Times New Roman" w:eastAsia="仿宋_GB2312" w:hAnsi="Times New Roman" w:cs="Times New Roman"/>
          <w:sz w:val="32"/>
          <w:szCs w:val="32"/>
        </w:rPr>
        <w:t>区农技推广中心和相关街道工作人员按照土壤样本采集规范进行取样，并统一编号。检测服务单位收到土壤样本后，及时规范处理，并开展项目检测。</w:t>
      </w:r>
    </w:p>
    <w:p w14:paraId="0968CE0A" w14:textId="77777777" w:rsidR="003841FD" w:rsidRDefault="007057E6">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采样标准化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检测精准化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分析科学化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应用场景化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的技术路径，通</w:t>
      </w:r>
      <w:r>
        <w:rPr>
          <w:rFonts w:ascii="Times New Roman" w:eastAsia="仿宋_GB2312" w:hAnsi="Times New Roman" w:cs="Times New Roman"/>
          <w:sz w:val="32"/>
          <w:szCs w:val="32"/>
        </w:rPr>
        <w:t>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空间布点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样品采集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实验室检测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数据分析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成果转化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五步闭环流程，实现土壤信息从获取到应用的全链条管理。</w:t>
      </w:r>
    </w:p>
    <w:p w14:paraId="6B83DDAF" w14:textId="77777777" w:rsidR="003841FD" w:rsidRDefault="007057E6">
      <w:pPr>
        <w:spacing w:line="58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（三）结果反馈与验收。</w:t>
      </w:r>
      <w:r>
        <w:rPr>
          <w:rFonts w:ascii="Times New Roman" w:eastAsia="仿宋_GB2312" w:hAnsi="Times New Roman" w:cs="Times New Roman"/>
          <w:sz w:val="32"/>
          <w:szCs w:val="32"/>
        </w:rPr>
        <w:t>检测完成后，检测服务单位出具正式检测报告和相关工作台账，经验收合格后按照合同约定支付费用。</w:t>
      </w:r>
    </w:p>
    <w:p w14:paraId="3A485D89" w14:textId="77777777" w:rsidR="003841FD" w:rsidRDefault="007057E6">
      <w:pPr>
        <w:spacing w:line="580"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（四）成果应用。</w:t>
      </w:r>
      <w:r>
        <w:rPr>
          <w:rFonts w:ascii="Times New Roman" w:eastAsia="仿宋_GB2312" w:hAnsi="Times New Roman" w:cs="Times New Roman"/>
          <w:sz w:val="32"/>
          <w:szCs w:val="32"/>
        </w:rPr>
        <w:t>土壤检测结果及时反馈给街道和农户，用于指导科学施肥和土壤改良。科学施肥技术改良建议报告形成后，组织技术培训，宣传科学施肥技术。</w:t>
      </w:r>
    </w:p>
    <w:p w14:paraId="1DADBE52" w14:textId="77777777" w:rsidR="003841FD" w:rsidRDefault="007057E6">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四、资金安排</w:t>
      </w:r>
    </w:p>
    <w:p w14:paraId="4840B3AC" w14:textId="77777777" w:rsidR="003841FD" w:rsidRDefault="007057E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年区级预算资金</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万元。用于测定</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份土样的</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、有机质、碱解氮、有效磷、速效钾、中微量元素，以及各街道排查发现需要检测的异</w:t>
      </w:r>
      <w:r>
        <w:rPr>
          <w:rFonts w:ascii="Times New Roman" w:eastAsia="仿宋_GB2312" w:hAnsi="Times New Roman" w:cs="Times New Roman"/>
          <w:sz w:val="32"/>
          <w:szCs w:val="32"/>
        </w:rPr>
        <w:t>常土壤，检测项目样品数以实际需求为准，服务全部完成、验收合格后据实结算。</w:t>
      </w:r>
    </w:p>
    <w:p w14:paraId="4A8F3F62" w14:textId="77777777" w:rsidR="003841FD" w:rsidRDefault="007057E6">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五、工作保障</w:t>
      </w:r>
    </w:p>
    <w:p w14:paraId="34D23FAE" w14:textId="77777777" w:rsidR="003841FD" w:rsidRDefault="007057E6">
      <w:pPr>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（一）明确职责分工。</w:t>
      </w:r>
      <w:r>
        <w:rPr>
          <w:rFonts w:ascii="Times New Roman" w:eastAsia="仿宋_GB2312" w:hAnsi="Times New Roman" w:cs="Times New Roman"/>
          <w:sz w:val="32"/>
          <w:szCs w:val="32"/>
        </w:rPr>
        <w:t>成立由区农业技术推广中心及各涉农街道农业部门组成的联合工作专班。区农业技术推广中心负责取土检测服务的采购，指导街道完成取土，组织后期数据整理与分析，出具科学施肥技术改良建议报告，加强成果运用和科学施肥技术培训。各涉农街道农业部门负责种植户遴选、点位布设、现场取样，负责辖区内耕地质量日常监测，发现异常耕地土壤，</w:t>
      </w:r>
      <w:r>
        <w:rPr>
          <w:rFonts w:ascii="Times New Roman" w:eastAsia="仿宋_GB2312" w:hAnsi="Times New Roman" w:cs="Times New Roman"/>
          <w:sz w:val="32"/>
          <w:szCs w:val="32"/>
        </w:rPr>
        <w:lastRenderedPageBreak/>
        <w:t>及时取样送检，开展测土配方施肥宣传、田间指导、技术培训等工作。</w:t>
      </w:r>
    </w:p>
    <w:p w14:paraId="15CF952B" w14:textId="77777777" w:rsidR="003841FD" w:rsidRDefault="007057E6">
      <w:pPr>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（二）严格质量控制。</w:t>
      </w:r>
      <w:r>
        <w:rPr>
          <w:rFonts w:ascii="Times New Roman" w:eastAsia="仿宋_GB2312" w:hAnsi="Times New Roman" w:cs="Times New Roman"/>
          <w:sz w:val="32"/>
          <w:szCs w:val="32"/>
        </w:rPr>
        <w:t>规范采样、</w:t>
      </w:r>
      <w:r>
        <w:rPr>
          <w:rFonts w:ascii="Times New Roman" w:eastAsia="仿宋_GB2312" w:hAnsi="Times New Roman" w:cs="Times New Roman"/>
          <w:sz w:val="32"/>
          <w:szCs w:val="32"/>
        </w:rPr>
        <w:t>检测、数据录入整理等各环节操作，确保检测数据真实、准确、可追溯。</w:t>
      </w:r>
    </w:p>
    <w:p w14:paraId="7E67054A" w14:textId="77777777" w:rsidR="003841FD" w:rsidRDefault="007057E6">
      <w:pPr>
        <w:spacing w:line="579" w:lineRule="exact"/>
        <w:ind w:firstLineChars="200" w:firstLine="640"/>
        <w:rPr>
          <w:rFonts w:ascii="Times New Roman" w:eastAsia="仿宋_GB2312" w:hAnsi="Times New Roman" w:cs="Times New Roman"/>
          <w:sz w:val="32"/>
          <w:szCs w:val="32"/>
        </w:rPr>
      </w:pPr>
      <w:r>
        <w:rPr>
          <w:rFonts w:ascii="Times New Roman" w:eastAsia="方正楷体_GB2312" w:hAnsi="Times New Roman" w:cs="Times New Roman"/>
          <w:sz w:val="32"/>
          <w:szCs w:val="32"/>
        </w:rPr>
        <w:t>（三）加强宣传引导。</w:t>
      </w:r>
      <w:r>
        <w:rPr>
          <w:rFonts w:ascii="Times New Roman" w:eastAsia="仿宋_GB2312" w:hAnsi="Times New Roman" w:cs="Times New Roman"/>
          <w:sz w:val="32"/>
          <w:szCs w:val="32"/>
        </w:rPr>
        <w:t>多形式宣传测土配方施肥、耕地保护的重要意义和实用技术，提高农户参与度和科学施肥意识，挖掘宣传科技示范</w:t>
      </w:r>
      <w:proofErr w:type="gramStart"/>
      <w:r>
        <w:rPr>
          <w:rFonts w:ascii="Times New Roman" w:eastAsia="仿宋_GB2312" w:hAnsi="Times New Roman" w:cs="Times New Roman"/>
          <w:sz w:val="32"/>
          <w:szCs w:val="32"/>
        </w:rPr>
        <w:t>户典型</w:t>
      </w:r>
      <w:proofErr w:type="gramEnd"/>
      <w:r>
        <w:rPr>
          <w:rFonts w:ascii="Times New Roman" w:eastAsia="仿宋_GB2312" w:hAnsi="Times New Roman" w:cs="Times New Roman"/>
          <w:sz w:val="32"/>
          <w:szCs w:val="32"/>
        </w:rPr>
        <w:t>案例，营造保护耕地土壤良好氛围。</w:t>
      </w:r>
    </w:p>
    <w:p w14:paraId="2B035DF5" w14:textId="77777777" w:rsidR="003841FD" w:rsidRDefault="003841FD">
      <w:pPr>
        <w:spacing w:line="579" w:lineRule="exact"/>
        <w:ind w:firstLineChars="200" w:firstLine="640"/>
        <w:rPr>
          <w:rFonts w:ascii="Times New Roman" w:eastAsia="仿宋_GB2312" w:hAnsi="Times New Roman" w:cs="Times New Roman"/>
          <w:sz w:val="32"/>
          <w:szCs w:val="32"/>
        </w:rPr>
      </w:pPr>
    </w:p>
    <w:sectPr w:rsidR="003841FD">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embedRegular r:id="rId1" w:subsetted="1" w:fontKey="{38E9E043-E3CF-4340-B252-76F586459491}"/>
  </w:font>
  <w:font w:name="方正小标宋简体">
    <w:panose1 w:val="03000509000000000000"/>
    <w:charset w:val="86"/>
    <w:family w:val="script"/>
    <w:pitch w:val="fixed"/>
    <w:sig w:usb0="00000001" w:usb1="080E0000" w:usb2="00000010" w:usb3="00000000" w:csb0="00040000" w:csb1="00000000"/>
    <w:embedRegular r:id="rId2" w:subsetted="1" w:fontKey="{35407F43-EEA3-4028-89B0-250C66057C0B}"/>
  </w:font>
  <w:font w:name="黑体">
    <w:altName w:val="SimHei"/>
    <w:panose1 w:val="02010609060101010101"/>
    <w:charset w:val="86"/>
    <w:family w:val="modern"/>
    <w:pitch w:val="fixed"/>
    <w:sig w:usb0="800002BF" w:usb1="38CF7CFA" w:usb2="00000016" w:usb3="00000000" w:csb0="00040001" w:csb1="00000000"/>
    <w:embedRegular r:id="rId3" w:subsetted="1" w:fontKey="{0BE1C569-B073-41E1-8BF0-43B8DD7AADF1}"/>
  </w:font>
  <w:font w:name="方正楷体_GB2312">
    <w:charset w:val="86"/>
    <w:family w:val="auto"/>
    <w:pitch w:val="default"/>
    <w:sig w:usb0="A00002BF" w:usb1="184F6CFA" w:usb2="00000012" w:usb3="00000000" w:csb0="00040001" w:csb1="00000000"/>
    <w:embedRegular r:id="rId4" w:subsetted="1" w:fontKey="{8537E9F5-FF78-453D-8338-48E32BE23CD8}"/>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FD"/>
    <w:rsid w:val="003841FD"/>
    <w:rsid w:val="004F53DD"/>
    <w:rsid w:val="007057E6"/>
    <w:rsid w:val="1FA75A7B"/>
    <w:rsid w:val="324A7C5D"/>
    <w:rsid w:val="3E303F61"/>
    <w:rsid w:val="41D7603C"/>
    <w:rsid w:val="5B353C2F"/>
    <w:rsid w:val="5C8F0A52"/>
    <w:rsid w:val="65D7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Words>
  <Characters>1344</Characters>
  <Application>Microsoft Office Word</Application>
  <DocSecurity>0</DocSecurity>
  <Lines>11</Lines>
  <Paragraphs>3</Paragraphs>
  <ScaleCrop>false</ScaleCrop>
  <Company>Lenovo</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2026-05-19T08:50:00Z</dcterms:created>
  <dcterms:modified xsi:type="dcterms:W3CDTF">2026-05-19T08:50:00Z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eyJoZGlkIjoiYmY1NWVkNDE0ZDljYTJiOGE3MmY0ZjUxODM4Yzg1MTEiLCJ1c2VySWQiOiIxNzY4MzczODgyIn0=</vt:lpwstr>
  </property>
  <property fmtid="{D5CDD505-2E9C-101B-9397-08002B2CF9AE}" pid="4" name="ICV">
    <vt:lpwstr>BA5A338FCC0940819E09B74D9CC534BD_13</vt:lpwstr>
  </property>
</Properties>
</file>