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D8F3B2">
      <w:pPr>
        <w:pStyle w:val="4"/>
        <w:bidi w:val="0"/>
        <w:rPr>
          <w:rFonts w:hint="eastAsia"/>
        </w:rPr>
      </w:pPr>
      <w:r>
        <w:rPr>
          <w:rFonts w:hint="eastAsia"/>
          <w:lang w:eastAsia="zh-CN"/>
        </w:rPr>
        <w:t>东西湖区</w:t>
      </w:r>
      <w:bookmarkStart w:id="0" w:name="OLE_LINK4"/>
      <w:r>
        <w:rPr>
          <w:rFonts w:hint="eastAsia"/>
        </w:rPr>
        <w:t>20</w:t>
      </w:r>
      <w:r>
        <w:rPr>
          <w:rFonts w:hint="eastAsia"/>
          <w:lang w:val="en-US" w:eastAsia="zh-CN"/>
        </w:rPr>
        <w:t>26-2028</w:t>
      </w:r>
      <w:r>
        <w:rPr>
          <w:rFonts w:hint="eastAsia"/>
        </w:rPr>
        <w:t>年度农产品仓储保鲜</w:t>
      </w:r>
    </w:p>
    <w:p w14:paraId="08BB28F4">
      <w:pPr>
        <w:pStyle w:val="4"/>
        <w:bidi w:val="0"/>
        <w:rPr>
          <w:rFonts w:hint="eastAsia"/>
        </w:rPr>
      </w:pPr>
      <w:r>
        <w:rPr>
          <w:rFonts w:hint="eastAsia"/>
        </w:rPr>
        <w:t>冷链物流设施建设实施方案</w:t>
      </w:r>
      <w:bookmarkEnd w:id="0"/>
    </w:p>
    <w:p w14:paraId="70CD4535">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50" w:lineRule="exact"/>
        <w:ind w:firstLine="640" w:firstLineChars="200"/>
        <w:jc w:val="both"/>
        <w:textAlignment w:val="auto"/>
        <w:rPr>
          <w:rFonts w:hint="default" w:ascii="Times New Roman" w:hAnsi="Times New Roman" w:eastAsia="仿宋_GB2312" w:cs="Times New Roman"/>
          <w:sz w:val="32"/>
          <w:szCs w:val="32"/>
        </w:rPr>
      </w:pPr>
    </w:p>
    <w:p w14:paraId="19DDD052">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9"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市农业农村局 市财政局关于印发2026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2028年市级财政支持农业农村发展政策意见的通知》（武农〔2025〕29号）、市农业农村局</w:t>
      </w:r>
      <w:r>
        <w:rPr>
          <w:rFonts w:hint="default" w:ascii="Times New Roman" w:hAnsi="Times New Roman" w:eastAsia="仿宋_GB2312" w:cs="Times New Roman"/>
          <w:sz w:val="32"/>
          <w:szCs w:val="32"/>
          <w:lang w:eastAsia="zh-CN"/>
        </w:rPr>
        <w:t>关于</w:t>
      </w:r>
      <w:bookmarkStart w:id="3" w:name="_GoBack"/>
      <w:bookmarkEnd w:id="3"/>
      <w:r>
        <w:rPr>
          <w:rFonts w:hint="default" w:ascii="Times New Roman" w:hAnsi="Times New Roman" w:eastAsia="仿宋_GB2312" w:cs="Times New Roman"/>
          <w:sz w:val="32"/>
          <w:szCs w:val="32"/>
          <w:lang w:eastAsia="zh-CN"/>
        </w:rPr>
        <w:t>印发《</w:t>
      </w:r>
      <w:r>
        <w:rPr>
          <w:rFonts w:hint="default" w:ascii="Times New Roman" w:hAnsi="Times New Roman" w:eastAsia="仿宋_GB2312" w:cs="Times New Roman"/>
          <w:sz w:val="32"/>
          <w:szCs w:val="32"/>
          <w:lang w:val="en-US" w:eastAsia="zh-CN"/>
        </w:rPr>
        <w:t>2026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2028年度农产品仓储保鲜冷链物流设施建设实施方案</w:t>
      </w:r>
      <w:r>
        <w:rPr>
          <w:rFonts w:hint="default" w:ascii="Times New Roman" w:hAnsi="Times New Roman" w:eastAsia="仿宋_GB2312" w:cs="Times New Roman"/>
          <w:sz w:val="32"/>
          <w:szCs w:val="32"/>
          <w:lang w:eastAsia="zh-CN"/>
        </w:rPr>
        <w:t>》的通知要</w:t>
      </w:r>
      <w:r>
        <w:rPr>
          <w:rFonts w:hint="default" w:ascii="Times New Roman" w:hAnsi="Times New Roman" w:eastAsia="仿宋_GB2312" w:cs="Times New Roman"/>
          <w:sz w:val="32"/>
          <w:szCs w:val="32"/>
        </w:rPr>
        <w:t>求，现制定</w:t>
      </w:r>
      <w:r>
        <w:rPr>
          <w:rFonts w:hint="default" w:ascii="Times New Roman" w:hAnsi="Times New Roman" w:eastAsia="仿宋_GB2312" w:cs="Times New Roman"/>
          <w:sz w:val="32"/>
          <w:szCs w:val="32"/>
          <w:lang w:eastAsia="zh-CN"/>
        </w:rPr>
        <w:t>我区2026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2028</w:t>
      </w:r>
      <w:r>
        <w:rPr>
          <w:rFonts w:hint="default" w:ascii="Times New Roman" w:hAnsi="Times New Roman" w:eastAsia="仿宋_GB2312" w:cs="Times New Roman"/>
          <w:sz w:val="32"/>
          <w:szCs w:val="32"/>
          <w:lang w:eastAsia="zh-CN"/>
        </w:rPr>
        <w:t>年度</w:t>
      </w:r>
      <w:r>
        <w:rPr>
          <w:rFonts w:hint="default" w:ascii="Times New Roman" w:hAnsi="Times New Roman" w:eastAsia="仿宋_GB2312" w:cs="Times New Roman"/>
          <w:sz w:val="32"/>
          <w:szCs w:val="32"/>
        </w:rPr>
        <w:t>农产品仓储保鲜冷链物流设施建设实施方案如下。</w:t>
      </w:r>
    </w:p>
    <w:p w14:paraId="7D3A7048">
      <w:pPr>
        <w:keepNext w:val="0"/>
        <w:keepLines w:val="0"/>
        <w:pageBreakBefore w:val="0"/>
        <w:widowControl w:val="0"/>
        <w:numPr>
          <w:ilvl w:val="0"/>
          <w:numId w:val="0"/>
        </w:numPr>
        <w:kinsoku/>
        <w:wordWrap/>
        <w:overflowPunct/>
        <w:topLinePunct w:val="0"/>
        <w:autoSpaceDE/>
        <w:autoSpaceDN/>
        <w:bidi w:val="0"/>
        <w:adjustRightInd/>
        <w:spacing w:line="579" w:lineRule="exact"/>
        <w:ind w:firstLine="640" w:firstLineChars="200"/>
        <w:textAlignment w:val="auto"/>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eastAsia="zh-CN"/>
        </w:rPr>
        <w:t>一、</w:t>
      </w:r>
      <w:r>
        <w:rPr>
          <w:rFonts w:hint="default" w:ascii="Times New Roman" w:hAnsi="Times New Roman" w:eastAsia="黑体" w:cs="Times New Roman"/>
          <w:sz w:val="32"/>
          <w:szCs w:val="32"/>
          <w:lang w:eastAsia="zh-CN"/>
        </w:rPr>
        <w:t>基本原则</w:t>
      </w:r>
    </w:p>
    <w:p w14:paraId="4AD82FBE">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楷体_GB2312" w:cs="Times New Roman"/>
          <w:sz w:val="32"/>
          <w:szCs w:val="32"/>
        </w:rPr>
        <w:t>（一）政府引导，市场运作。</w:t>
      </w:r>
      <w:r>
        <w:rPr>
          <w:rFonts w:hint="default" w:ascii="Times New Roman" w:hAnsi="Times New Roman" w:eastAsia="仿宋_GB2312" w:cs="Times New Roman"/>
          <w:kern w:val="2"/>
          <w:sz w:val="32"/>
          <w:szCs w:val="32"/>
          <w:lang w:val="en-US" w:eastAsia="zh-CN" w:bidi="ar-SA"/>
        </w:rPr>
        <w:t>发挥政府引导作用，加强政策扶持，激发市场主体活力，引导社会资本参与农产品仓储保鲜冷链物流设施建设，加快补齐产地冷藏保鲜设施短板，增强农产品产地仓储保鲜、商品化处理能力。</w:t>
      </w:r>
    </w:p>
    <w:p w14:paraId="266E180B">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楷体_GB2312" w:cs="Times New Roman"/>
          <w:sz w:val="32"/>
          <w:szCs w:val="32"/>
        </w:rPr>
        <w:t>（二）科学规划，合理布局。</w:t>
      </w:r>
      <w:r>
        <w:rPr>
          <w:rFonts w:hint="default" w:ascii="Times New Roman" w:hAnsi="Times New Roman" w:eastAsia="仿宋_GB2312" w:cs="Times New Roman"/>
          <w:kern w:val="2"/>
          <w:sz w:val="32"/>
          <w:szCs w:val="32"/>
          <w:lang w:val="en-US" w:eastAsia="zh-CN" w:bidi="ar-SA"/>
        </w:rPr>
        <w:t>结合我</w:t>
      </w:r>
      <w:r>
        <w:rPr>
          <w:rFonts w:hint="eastAsia" w:ascii="Times New Roman" w:hAnsi="Times New Roman" w:eastAsia="仿宋_GB2312" w:cs="Times New Roman"/>
          <w:kern w:val="2"/>
          <w:sz w:val="32"/>
          <w:szCs w:val="32"/>
          <w:lang w:val="en-US" w:eastAsia="zh-CN" w:bidi="ar-SA"/>
        </w:rPr>
        <w:t>区</w:t>
      </w:r>
      <w:r>
        <w:rPr>
          <w:rFonts w:hint="default" w:ascii="Times New Roman" w:hAnsi="Times New Roman" w:eastAsia="仿宋_GB2312" w:cs="Times New Roman"/>
          <w:kern w:val="2"/>
          <w:sz w:val="32"/>
          <w:szCs w:val="32"/>
          <w:lang w:val="en-US" w:eastAsia="zh-CN" w:bidi="ar-SA"/>
        </w:rPr>
        <w:t>农业产业发展布局和农产品流通特点，科学规划农产品仓储保鲜冷链物流设施布局。</w:t>
      </w:r>
    </w:p>
    <w:p w14:paraId="57E2C73D">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eastAsia" w:ascii="Times New Roman" w:hAnsi="Times New Roman" w:eastAsia="仿宋_GB2312" w:cs="Times New Roman"/>
          <w:kern w:val="2"/>
          <w:sz w:val="32"/>
          <w:szCs w:val="32"/>
          <w:lang w:val="en-US" w:eastAsia="zh-CN" w:bidi="ar-SA"/>
        </w:rPr>
      </w:pPr>
      <w:r>
        <w:rPr>
          <w:rFonts w:hint="default" w:ascii="Times New Roman" w:hAnsi="Times New Roman" w:eastAsia="楷体_GB2312" w:cs="Times New Roman"/>
          <w:sz w:val="32"/>
          <w:szCs w:val="32"/>
        </w:rPr>
        <w:t>（三）突出重点，</w:t>
      </w:r>
      <w:r>
        <w:rPr>
          <w:rFonts w:hint="default" w:ascii="Times New Roman" w:hAnsi="Times New Roman" w:eastAsia="楷体_GB2312" w:cs="Times New Roman"/>
          <w:sz w:val="32"/>
          <w:szCs w:val="32"/>
          <w:lang w:eastAsia="zh-CN"/>
        </w:rPr>
        <w:t>联农带农</w:t>
      </w:r>
      <w:r>
        <w:rPr>
          <w:rFonts w:hint="default" w:ascii="Times New Roman" w:hAnsi="Times New Roman" w:eastAsia="楷体_GB2312" w:cs="Times New Roman"/>
          <w:sz w:val="32"/>
          <w:szCs w:val="32"/>
        </w:rPr>
        <w:t>。</w:t>
      </w:r>
      <w:r>
        <w:rPr>
          <w:rFonts w:hint="eastAsia" w:ascii="Times New Roman" w:hAnsi="Times New Roman" w:eastAsia="仿宋_GB2312" w:cs="Times New Roman"/>
          <w:kern w:val="2"/>
          <w:sz w:val="32"/>
          <w:szCs w:val="32"/>
          <w:lang w:val="en-US" w:eastAsia="zh-CN" w:bidi="ar-SA"/>
        </w:rPr>
        <w:t>建设范围覆盖全区涉农街道办事处（农场），重点扶持蔬菜、畜禽、水产、水果等鲜活农产品生产主体及联农带农作用强的“菜篮子”产品配送企业。</w:t>
      </w:r>
    </w:p>
    <w:p w14:paraId="49ADDA40">
      <w:pPr>
        <w:pStyle w:val="5"/>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default" w:ascii="Times New Roman" w:hAnsi="Times New Roman" w:eastAsia="楷体_GB2312" w:cs="Times New Roman"/>
          <w:sz w:val="32"/>
          <w:szCs w:val="32"/>
        </w:rPr>
        <w:t>（</w:t>
      </w:r>
      <w:r>
        <w:rPr>
          <w:rFonts w:hint="default" w:ascii="Times New Roman" w:hAnsi="Times New Roman" w:eastAsia="楷体_GB2312" w:cs="Times New Roman"/>
          <w:sz w:val="32"/>
          <w:szCs w:val="32"/>
          <w:lang w:eastAsia="zh-CN"/>
        </w:rPr>
        <w:t>四</w:t>
      </w:r>
      <w:r>
        <w:rPr>
          <w:rFonts w:hint="default" w:ascii="Times New Roman" w:hAnsi="Times New Roman" w:eastAsia="楷体_GB2312" w:cs="Times New Roman"/>
          <w:sz w:val="32"/>
          <w:szCs w:val="32"/>
        </w:rPr>
        <w:t>）</w:t>
      </w:r>
      <w:r>
        <w:rPr>
          <w:rFonts w:hint="eastAsia" w:ascii="楷体_GB2312" w:hAnsi="楷体_GB2312" w:eastAsia="楷体_GB2312" w:cs="楷体_GB2312"/>
          <w:sz w:val="32"/>
          <w:szCs w:val="32"/>
        </w:rPr>
        <w:t>自主申报，规范建设。</w:t>
      </w:r>
      <w:r>
        <w:rPr>
          <w:rFonts w:hint="eastAsia" w:ascii="Times New Roman" w:hAnsi="Times New Roman" w:eastAsia="仿宋_GB2312" w:cs="Times New Roman"/>
          <w:kern w:val="2"/>
          <w:sz w:val="32"/>
          <w:szCs w:val="32"/>
          <w:lang w:val="en-US" w:eastAsia="zh-CN" w:bidi="ar-SA"/>
        </w:rPr>
        <w:t xml:space="preserve">各建设主体根据实际需求提交建设申请，经所在街道办事处审核和区农业农村部门审批同意后，规范组织开展仓储保鲜冷链设施建设。 </w:t>
      </w:r>
    </w:p>
    <w:p w14:paraId="53B84A54">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rPr>
        <w:t>）</w:t>
      </w:r>
      <w:r>
        <w:rPr>
          <w:rFonts w:hint="default" w:ascii="Times New Roman" w:hAnsi="Times New Roman" w:eastAsia="楷体_GB2312" w:cs="Times New Roman"/>
          <w:sz w:val="32"/>
          <w:szCs w:val="32"/>
        </w:rPr>
        <w:t>先建后补，以奖代补。</w:t>
      </w:r>
      <w:r>
        <w:rPr>
          <w:rFonts w:hint="eastAsia" w:ascii="Times New Roman" w:hAnsi="Times New Roman" w:eastAsia="仿宋_GB2312" w:cs="Times New Roman"/>
          <w:kern w:val="2"/>
          <w:sz w:val="32"/>
          <w:szCs w:val="32"/>
          <w:lang w:val="en-US" w:eastAsia="zh-CN" w:bidi="ar-SA"/>
        </w:rPr>
        <w:t>由建设主体按建设标准新改扩建，在规定的期限内完成项目建设并验收合格后，次年按相应标准给予奖补。</w:t>
      </w:r>
    </w:p>
    <w:p w14:paraId="12937694">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eastAsia="zh-CN"/>
        </w:rPr>
        <w:t>二、</w:t>
      </w:r>
      <w:r>
        <w:rPr>
          <w:rFonts w:hint="eastAsia" w:ascii="黑体" w:hAnsi="黑体" w:eastAsia="黑体" w:cs="黑体"/>
          <w:sz w:val="32"/>
          <w:szCs w:val="32"/>
          <w:lang w:val="en-US" w:eastAsia="zh-CN"/>
        </w:rPr>
        <w:t>实施要求</w:t>
      </w:r>
    </w:p>
    <w:p w14:paraId="4B6B82FB">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9" w:lineRule="exact"/>
        <w:ind w:firstLine="640" w:firstLineChars="200"/>
        <w:jc w:val="both"/>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奖补对象、建设内容、奖补标准均严格按照</w:t>
      </w:r>
      <w:bookmarkStart w:id="1" w:name="OLE_LINK2"/>
      <w:r>
        <w:rPr>
          <w:rFonts w:hint="eastAsia" w:ascii="Times New Roman" w:hAnsi="Times New Roman" w:eastAsia="仿宋_GB2312" w:cs="Times New Roman"/>
          <w:sz w:val="32"/>
          <w:szCs w:val="32"/>
          <w:lang w:eastAsia="zh-CN"/>
        </w:rPr>
        <w:t>武汉市农业农村局《</w:t>
      </w:r>
      <w:r>
        <w:rPr>
          <w:rFonts w:hint="eastAsia" w:ascii="Times New Roman" w:hAnsi="Times New Roman" w:eastAsia="仿宋_GB2312" w:cs="Times New Roman"/>
          <w:sz w:val="32"/>
          <w:szCs w:val="32"/>
          <w:lang w:val="en-US" w:eastAsia="zh-CN"/>
        </w:rPr>
        <w:t>2026-2028</w:t>
      </w:r>
      <w:r>
        <w:rPr>
          <w:rFonts w:hint="eastAsia" w:ascii="Times New Roman" w:hAnsi="Times New Roman" w:eastAsia="仿宋_GB2312" w:cs="Times New Roman"/>
          <w:sz w:val="32"/>
          <w:szCs w:val="32"/>
          <w:lang w:eastAsia="zh-CN"/>
        </w:rPr>
        <w:t>年度农产品仓储保鲜冷链物流设施建设实施方案》</w:t>
      </w:r>
      <w:bookmarkEnd w:id="1"/>
      <w:r>
        <w:rPr>
          <w:rFonts w:hint="eastAsia" w:ascii="Times New Roman" w:hAnsi="Times New Roman" w:eastAsia="仿宋_GB2312" w:cs="Times New Roman"/>
          <w:sz w:val="32"/>
          <w:szCs w:val="32"/>
          <w:lang w:eastAsia="zh-CN"/>
        </w:rPr>
        <w:t>执行。</w:t>
      </w:r>
    </w:p>
    <w:p w14:paraId="7BCFA4BE">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三、实施程序</w:t>
      </w:r>
    </w:p>
    <w:p w14:paraId="409BCC0D">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楷体" w:hAnsi="楷体" w:eastAsia="楷体" w:cs="楷体"/>
          <w:sz w:val="32"/>
          <w:szCs w:val="32"/>
          <w:lang w:eastAsia="zh-CN"/>
        </w:rPr>
        <w:t>（一）项目申报。</w:t>
      </w:r>
      <w:r>
        <w:rPr>
          <w:rFonts w:hint="eastAsia" w:ascii="Times New Roman" w:hAnsi="Times New Roman" w:eastAsia="仿宋_GB2312" w:cs="Times New Roman"/>
          <w:kern w:val="2"/>
          <w:sz w:val="32"/>
          <w:szCs w:val="32"/>
          <w:lang w:val="en-US" w:eastAsia="zh-CN" w:bidi="ar-SA"/>
        </w:rPr>
        <w:t>各街道办事处组织辖区符合条件的新型农业经营主体按照区级制定的实施方案自愿申报项目并对申报项目进行初审，确保推荐申报的项目符合支持的方向、条件和要求。</w:t>
      </w:r>
    </w:p>
    <w:p w14:paraId="038842E8">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楷体" w:hAnsi="楷体" w:eastAsia="楷体" w:cs="楷体"/>
          <w:sz w:val="32"/>
          <w:szCs w:val="32"/>
          <w:lang w:eastAsia="zh-CN"/>
        </w:rPr>
        <w:t>（二）区级评审。</w:t>
      </w:r>
      <w:r>
        <w:rPr>
          <w:rFonts w:hint="eastAsia" w:ascii="Times New Roman" w:hAnsi="Times New Roman" w:eastAsia="仿宋_GB2312" w:cs="Times New Roman"/>
          <w:kern w:val="2"/>
          <w:sz w:val="32"/>
          <w:szCs w:val="32"/>
          <w:lang w:val="en-US" w:eastAsia="zh-CN" w:bidi="ar-SA"/>
        </w:rPr>
        <w:t>各街道办事处对申报项目初审通过后报区农业农村局，区农业农村局组织专家对申报项目进行评审，拟定通过立项的新型农业经营主体。</w:t>
      </w:r>
    </w:p>
    <w:p w14:paraId="54BA01B1">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楷体" w:hAnsi="楷体" w:eastAsia="楷体" w:cs="楷体"/>
          <w:sz w:val="32"/>
          <w:szCs w:val="32"/>
          <w:lang w:eastAsia="zh-CN"/>
        </w:rPr>
        <w:t>（三）立项公示。</w:t>
      </w:r>
      <w:r>
        <w:rPr>
          <w:rFonts w:hint="eastAsia" w:ascii="Times New Roman" w:hAnsi="Times New Roman" w:eastAsia="仿宋_GB2312" w:cs="Times New Roman"/>
          <w:kern w:val="2"/>
          <w:sz w:val="32"/>
          <w:szCs w:val="32"/>
          <w:lang w:val="en-US" w:eastAsia="zh-CN" w:bidi="ar-SA"/>
        </w:rPr>
        <w:t>在区政府网站公示拟立项的项目及农业经营主体信息，公示期5个工作日。</w:t>
      </w:r>
    </w:p>
    <w:p w14:paraId="3B8B9A14">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楷体" w:hAnsi="楷体" w:eastAsia="楷体" w:cs="楷体"/>
          <w:sz w:val="32"/>
          <w:szCs w:val="32"/>
          <w:lang w:eastAsia="zh-CN"/>
        </w:rPr>
        <w:t>（四）建设实施。</w:t>
      </w:r>
      <w:r>
        <w:rPr>
          <w:rFonts w:hint="eastAsia" w:ascii="Times New Roman" w:hAnsi="Times New Roman" w:eastAsia="仿宋_GB2312" w:cs="Times New Roman"/>
          <w:kern w:val="2"/>
          <w:sz w:val="32"/>
          <w:szCs w:val="32"/>
          <w:lang w:val="en-US" w:eastAsia="zh-CN" w:bidi="ar-SA"/>
        </w:rPr>
        <w:t>通过立项的农业经营主体严格按照区级实施方案要求和项目实施程序，选择具有冷链建设专业资质的施工单位开展项目建设，采购符合标准的设施设备，承担相应的责任义务，设施建设、设备购置等事项必须全程留痕，建立台账资料。</w:t>
      </w:r>
    </w:p>
    <w:p w14:paraId="6269C0EC">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楷体" w:hAnsi="楷体" w:eastAsia="楷体" w:cs="楷体"/>
          <w:sz w:val="32"/>
          <w:szCs w:val="32"/>
          <w:lang w:eastAsia="zh-CN"/>
        </w:rPr>
        <w:t>（五）项目验收及资金兑付。</w:t>
      </w:r>
      <w:r>
        <w:rPr>
          <w:rFonts w:hint="eastAsia" w:ascii="Times New Roman" w:hAnsi="Times New Roman" w:eastAsia="仿宋_GB2312" w:cs="Times New Roman"/>
          <w:kern w:val="2"/>
          <w:sz w:val="32"/>
          <w:szCs w:val="32"/>
          <w:lang w:val="en-US" w:eastAsia="zh-CN" w:bidi="ar-SA"/>
        </w:rPr>
        <w:t>建设主体完成项目建设后及时向街道办事处提出验收申请，街道办事处验收合格后报请区农业农村局，区农业农村局聘请第三方进行监督审计，出具工程和财务审计报告，委托有资质的第三方机构参与项目验收，出具项目验收报告。验收合格后，区农业农村局对项目拟奖补资金进行核定后向社会公示，公示结束后出具区级验收通报，项目验收工作应于2026年8月31日前完成，未按时完成项目验收的建设单位需有正当理由报管理属地说明原因，经管理属地认同后报区农业农村局备案后列为下一年度项目，无正当理由的不予项目补贴。对已完成项目验收的项目按有关规定及时兑付奖补资金。区农业农村局将加强对项目现场指导，组织开展项目绩效评价。</w:t>
      </w:r>
    </w:p>
    <w:p w14:paraId="52672BEC">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四、有关要求</w:t>
      </w:r>
    </w:p>
    <w:p w14:paraId="178A9B04">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79" w:lineRule="exact"/>
        <w:ind w:firstLine="640" w:firstLineChars="200"/>
        <w:jc w:val="both"/>
        <w:textAlignment w:val="auto"/>
        <w:rPr>
          <w:rFonts w:hint="eastAsia" w:ascii="Times New Roman" w:hAnsi="Times New Roman" w:eastAsia="仿宋_GB2312" w:cs="Times New Roman"/>
          <w:sz w:val="32"/>
          <w:szCs w:val="32"/>
          <w:lang w:eastAsia="zh-CN"/>
        </w:rPr>
      </w:pPr>
      <w:r>
        <w:rPr>
          <w:rFonts w:hint="eastAsia" w:ascii="楷体" w:hAnsi="楷体" w:eastAsia="楷体" w:cs="楷体"/>
          <w:sz w:val="32"/>
          <w:szCs w:val="32"/>
          <w:lang w:eastAsia="zh-CN"/>
        </w:rPr>
        <w:t>（一）申报时间及报送资料。</w:t>
      </w:r>
      <w:r>
        <w:rPr>
          <w:rFonts w:hint="eastAsia" w:ascii="Times New Roman" w:hAnsi="Times New Roman" w:eastAsia="仿宋_GB2312" w:cs="Times New Roman"/>
          <w:sz w:val="32"/>
          <w:szCs w:val="32"/>
          <w:lang w:val="en-US" w:eastAsia="zh-CN"/>
        </w:rPr>
        <w:t>各街道办事处于2026年5月29日前报送申报主体材料。报送资料包括《2026—2028年农产品仓储保鲜冷链物流设施建设项目申报审核意见表》（附件1）、项目实施方案、《项目承诺书》（附件2）、《营业执照》复印件、企业法人身份证复印件、2024、2025年度企业财务报表、土地租赁协议、项目建设</w:t>
      </w:r>
      <w:r>
        <w:rPr>
          <w:rFonts w:hint="eastAsia" w:ascii="Times New Roman" w:hAnsi="Times New Roman" w:eastAsia="仿宋_GB2312" w:cs="Times New Roman"/>
          <w:sz w:val="32"/>
          <w:szCs w:val="32"/>
          <w:lang w:eastAsia="zh-CN"/>
        </w:rPr>
        <w:t>合法用地证明等相关材料。</w:t>
      </w:r>
    </w:p>
    <w:p w14:paraId="4AE8BA81">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楷体" w:hAnsi="楷体" w:eastAsia="楷体" w:cs="楷体"/>
          <w:sz w:val="32"/>
          <w:szCs w:val="32"/>
          <w:lang w:eastAsia="zh-CN"/>
        </w:rPr>
        <w:t>（二）规范项目程序。</w:t>
      </w:r>
      <w:r>
        <w:rPr>
          <w:rFonts w:hint="eastAsia" w:ascii="Times New Roman" w:hAnsi="Times New Roman" w:eastAsia="仿宋_GB2312" w:cs="Times New Roman"/>
          <w:kern w:val="2"/>
          <w:sz w:val="32"/>
          <w:szCs w:val="32"/>
          <w:lang w:val="en-US" w:eastAsia="zh-CN" w:bidi="ar-SA"/>
        </w:rPr>
        <w:t>各街道办事处严格按照申报流程进行规范操作，审核申报主体，项目验收要求建设主体各项程序合理、材料齐全、票据真实。本项目建设主体在建设或后续使用中如有弄虚作假行为，一经查实将取消相应资格，五年内不得申报同类项目。按照项目管理有关要求，加强资金监管，专款专用，不得以任何形式挤占、截留、滞留、挪用项目资金。</w:t>
      </w:r>
    </w:p>
    <w:p w14:paraId="24AC6DA5">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楷体" w:hAnsi="楷体" w:eastAsia="楷体" w:cs="楷体"/>
          <w:sz w:val="32"/>
          <w:szCs w:val="32"/>
          <w:lang w:eastAsia="zh-CN"/>
        </w:rPr>
        <w:t>（三）规范项目</w:t>
      </w:r>
      <w:r>
        <w:rPr>
          <w:rFonts w:hint="eastAsia" w:ascii="楷体" w:hAnsi="楷体" w:eastAsia="楷体" w:cs="楷体"/>
          <w:sz w:val="32"/>
          <w:szCs w:val="32"/>
          <w:lang w:val="en-US" w:eastAsia="zh-CN"/>
        </w:rPr>
        <w:t>管理</w:t>
      </w:r>
      <w:r>
        <w:rPr>
          <w:rFonts w:hint="eastAsia" w:ascii="楷体" w:hAnsi="楷体" w:eastAsia="楷体" w:cs="楷体"/>
          <w:sz w:val="32"/>
          <w:szCs w:val="32"/>
          <w:lang w:eastAsia="zh-CN"/>
        </w:rPr>
        <w:t>。</w:t>
      </w:r>
      <w:r>
        <w:rPr>
          <w:rFonts w:hint="eastAsia" w:ascii="Times New Roman" w:hAnsi="Times New Roman" w:eastAsia="仿宋_GB2312" w:cs="Times New Roman"/>
          <w:kern w:val="2"/>
          <w:sz w:val="32"/>
          <w:szCs w:val="32"/>
          <w:lang w:val="en-US" w:eastAsia="zh-CN" w:bidi="ar-SA"/>
        </w:rPr>
        <w:t>各项目建设主体作为项目的首要责任方，必须切实强化对项目的管理与维护，确保项目实际用途与申报用途保持一致，并保障项目使用效率。</w:t>
      </w:r>
    </w:p>
    <w:p w14:paraId="0FA3A582">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sz w:val="32"/>
          <w:szCs w:val="32"/>
          <w:lang w:eastAsia="zh-CN"/>
        </w:rPr>
      </w:pPr>
    </w:p>
    <w:p w14:paraId="6E668E99">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sz w:val="32"/>
          <w:szCs w:val="32"/>
          <w:lang w:eastAsia="zh-CN"/>
        </w:rPr>
        <w:t>附件：</w:t>
      </w:r>
      <w:r>
        <w:rPr>
          <w:rFonts w:hint="eastAsia" w:ascii="Times New Roman" w:hAnsi="Times New Roman" w:eastAsia="仿宋_GB2312" w:cs="Times New Roman"/>
          <w:kern w:val="2"/>
          <w:sz w:val="32"/>
          <w:szCs w:val="32"/>
          <w:lang w:val="en-US" w:eastAsia="zh-CN" w:bidi="ar-SA"/>
        </w:rPr>
        <w:t>1.2026—2028年农产品仓储保鲜冷链物流设施建设项目申报审核意见表</w:t>
      </w:r>
    </w:p>
    <w:p w14:paraId="16C3158F">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2.项目承诺书</w:t>
      </w:r>
    </w:p>
    <w:p w14:paraId="20AB196C">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3.农产品仓储保鲜冷链物流设施建设项目管理工作注意事项</w:t>
      </w:r>
    </w:p>
    <w:p w14:paraId="0116E31B">
      <w:pPr>
        <w:keepNext w:val="0"/>
        <w:keepLines w:val="0"/>
        <w:pageBreakBefore w:val="0"/>
        <w:kinsoku/>
        <w:wordWrap/>
        <w:overflowPunct/>
        <w:topLinePunct w:val="0"/>
        <w:autoSpaceDE/>
        <w:autoSpaceDN/>
        <w:bidi w:val="0"/>
        <w:adjustRightInd/>
        <w:spacing w:line="579"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4.</w:t>
      </w:r>
      <w:bookmarkStart w:id="2" w:name="OLE_LINK3"/>
      <w:r>
        <w:rPr>
          <w:rFonts w:hint="eastAsia" w:ascii="Times New Roman" w:hAnsi="Times New Roman" w:eastAsia="仿宋_GB2312" w:cs="Times New Roman"/>
          <w:kern w:val="2"/>
          <w:sz w:val="32"/>
          <w:szCs w:val="32"/>
          <w:lang w:val="en-US" w:eastAsia="zh-CN" w:bidi="ar-SA"/>
        </w:rPr>
        <w:t>武汉市农业农村局《2026-2028年度农产品仓储保鲜冷链物流设施建设实施方案》</w:t>
      </w:r>
      <w:bookmarkEnd w:id="2"/>
    </w:p>
    <w:p w14:paraId="77D47793">
      <w:pPr>
        <w:keepNext w:val="0"/>
        <w:keepLines w:val="0"/>
        <w:pageBreakBefore w:val="0"/>
        <w:widowControl/>
        <w:numPr>
          <w:ilvl w:val="0"/>
          <w:numId w:val="0"/>
        </w:numPr>
        <w:kinsoku/>
        <w:wordWrap/>
        <w:overflowPunct/>
        <w:topLinePunct w:val="0"/>
        <w:autoSpaceDE/>
        <w:autoSpaceDN/>
        <w:bidi w:val="0"/>
        <w:adjustRightInd/>
        <w:spacing w:line="579" w:lineRule="exact"/>
        <w:ind w:firstLine="664" w:firstLineChars="200"/>
        <w:textAlignment w:val="auto"/>
        <w:rPr>
          <w:rFonts w:hint="default" w:ascii="Times New Roman" w:hAnsi="Times New Roman" w:eastAsia="仿宋_GB2312" w:cs="Times New Roman"/>
          <w:b w:val="0"/>
          <w:bCs w:val="0"/>
          <w:color w:val="auto"/>
          <w:spacing w:val="6"/>
          <w:sz w:val="32"/>
          <w:szCs w:val="32"/>
        </w:rPr>
      </w:pPr>
    </w:p>
    <w:p w14:paraId="12214F27">
      <w:pPr>
        <w:keepNext w:val="0"/>
        <w:keepLines w:val="0"/>
        <w:pageBreakBefore w:val="0"/>
        <w:widowControl/>
        <w:numPr>
          <w:ilvl w:val="0"/>
          <w:numId w:val="0"/>
        </w:numPr>
        <w:kinsoku/>
        <w:wordWrap/>
        <w:overflowPunct/>
        <w:topLinePunct w:val="0"/>
        <w:autoSpaceDE/>
        <w:autoSpaceDN/>
        <w:bidi w:val="0"/>
        <w:adjustRightInd/>
        <w:spacing w:line="579" w:lineRule="exact"/>
        <w:ind w:firstLine="664" w:firstLineChars="200"/>
        <w:textAlignment w:val="auto"/>
        <w:rPr>
          <w:rFonts w:hint="default" w:ascii="Times New Roman" w:hAnsi="Times New Roman" w:eastAsia="仿宋_GB2312" w:cs="Times New Roman"/>
          <w:b w:val="0"/>
          <w:bCs w:val="0"/>
          <w:color w:val="auto"/>
          <w:spacing w:val="6"/>
          <w:sz w:val="32"/>
          <w:szCs w:val="32"/>
        </w:rPr>
      </w:pPr>
    </w:p>
    <w:p w14:paraId="306472FE">
      <w:pPr>
        <w:keepNext w:val="0"/>
        <w:keepLines w:val="0"/>
        <w:pageBreakBefore w:val="0"/>
        <w:widowControl/>
        <w:numPr>
          <w:ilvl w:val="0"/>
          <w:numId w:val="0"/>
        </w:numPr>
        <w:kinsoku/>
        <w:wordWrap/>
        <w:overflowPunct/>
        <w:topLinePunct w:val="0"/>
        <w:autoSpaceDE/>
        <w:autoSpaceDN/>
        <w:bidi w:val="0"/>
        <w:adjustRightInd/>
        <w:spacing w:line="579" w:lineRule="exact"/>
        <w:ind w:firstLine="664" w:firstLineChars="200"/>
        <w:textAlignment w:val="auto"/>
        <w:rPr>
          <w:rFonts w:hint="default" w:ascii="Times New Roman" w:hAnsi="Times New Roman" w:eastAsia="仿宋_GB2312" w:cs="Times New Roman"/>
          <w:b w:val="0"/>
          <w:bCs w:val="0"/>
          <w:color w:val="auto"/>
          <w:spacing w:val="6"/>
          <w:sz w:val="32"/>
          <w:szCs w:val="32"/>
        </w:rPr>
      </w:pPr>
    </w:p>
    <w:p w14:paraId="7C81F484">
      <w:pPr>
        <w:keepNext w:val="0"/>
        <w:keepLines w:val="0"/>
        <w:pageBreakBefore w:val="0"/>
        <w:widowControl/>
        <w:numPr>
          <w:ilvl w:val="0"/>
          <w:numId w:val="0"/>
        </w:numPr>
        <w:kinsoku/>
        <w:wordWrap/>
        <w:overflowPunct/>
        <w:topLinePunct w:val="0"/>
        <w:autoSpaceDE/>
        <w:autoSpaceDN/>
        <w:bidi w:val="0"/>
        <w:adjustRightInd/>
        <w:spacing w:line="579" w:lineRule="exact"/>
        <w:ind w:firstLine="664" w:firstLineChars="200"/>
        <w:textAlignment w:val="auto"/>
        <w:rPr>
          <w:rFonts w:hint="default" w:ascii="Times New Roman" w:hAnsi="Times New Roman" w:eastAsia="仿宋_GB2312" w:cs="Times New Roman"/>
          <w:b w:val="0"/>
          <w:bCs w:val="0"/>
          <w:color w:val="auto"/>
          <w:spacing w:val="6"/>
          <w:sz w:val="32"/>
          <w:szCs w:val="32"/>
        </w:rPr>
      </w:pPr>
    </w:p>
    <w:p w14:paraId="67D7F6E4">
      <w:pPr>
        <w:keepNext w:val="0"/>
        <w:keepLines w:val="0"/>
        <w:pageBreakBefore w:val="0"/>
        <w:widowControl/>
        <w:numPr>
          <w:ilvl w:val="0"/>
          <w:numId w:val="0"/>
        </w:numPr>
        <w:kinsoku/>
        <w:wordWrap/>
        <w:overflowPunct/>
        <w:topLinePunct w:val="0"/>
        <w:autoSpaceDE/>
        <w:autoSpaceDN/>
        <w:bidi w:val="0"/>
        <w:adjustRightInd/>
        <w:spacing w:line="579" w:lineRule="exact"/>
        <w:ind w:firstLine="664" w:firstLineChars="200"/>
        <w:textAlignment w:val="auto"/>
        <w:rPr>
          <w:rFonts w:hint="default" w:ascii="Times New Roman" w:hAnsi="Times New Roman" w:eastAsia="仿宋_GB2312" w:cs="Times New Roman"/>
          <w:b w:val="0"/>
          <w:bCs w:val="0"/>
          <w:color w:val="auto"/>
          <w:spacing w:val="6"/>
          <w:sz w:val="32"/>
          <w:szCs w:val="32"/>
        </w:rPr>
      </w:pPr>
    </w:p>
    <w:p w14:paraId="69A38253">
      <w:pPr>
        <w:keepNext w:val="0"/>
        <w:keepLines w:val="0"/>
        <w:pageBreakBefore w:val="0"/>
        <w:widowControl/>
        <w:numPr>
          <w:ilvl w:val="0"/>
          <w:numId w:val="0"/>
        </w:numPr>
        <w:kinsoku/>
        <w:wordWrap/>
        <w:overflowPunct/>
        <w:topLinePunct w:val="0"/>
        <w:autoSpaceDE/>
        <w:autoSpaceDN/>
        <w:bidi w:val="0"/>
        <w:adjustRightInd/>
        <w:spacing w:line="579" w:lineRule="exact"/>
        <w:ind w:firstLine="664" w:firstLineChars="200"/>
        <w:textAlignment w:val="auto"/>
        <w:rPr>
          <w:rFonts w:hint="default" w:ascii="Times New Roman" w:hAnsi="Times New Roman" w:eastAsia="仿宋_GB2312" w:cs="Times New Roman"/>
          <w:b w:val="0"/>
          <w:bCs w:val="0"/>
          <w:color w:val="auto"/>
          <w:spacing w:val="6"/>
          <w:sz w:val="32"/>
          <w:szCs w:val="32"/>
        </w:rPr>
      </w:pPr>
    </w:p>
    <w:p w14:paraId="37CE0F8F">
      <w:pPr>
        <w:rPr>
          <w:rFonts w:hint="default" w:ascii="Times New Roman" w:hAnsi="Times New Roman" w:eastAsia="仿宋_GB2312" w:cs="Times New Roman"/>
          <w:b w:val="0"/>
          <w:bCs w:val="0"/>
          <w:color w:val="auto"/>
          <w:spacing w:val="6"/>
          <w:sz w:val="32"/>
          <w:szCs w:val="32"/>
        </w:rPr>
      </w:pPr>
      <w:r>
        <w:rPr>
          <w:rFonts w:hint="default" w:ascii="Times New Roman" w:hAnsi="Times New Roman" w:eastAsia="仿宋_GB2312" w:cs="Times New Roman"/>
          <w:b w:val="0"/>
          <w:bCs w:val="0"/>
          <w:color w:val="auto"/>
          <w:spacing w:val="6"/>
          <w:sz w:val="32"/>
          <w:szCs w:val="32"/>
        </w:rPr>
        <w:br w:type="page"/>
      </w:r>
    </w:p>
    <w:p w14:paraId="3AF3B2DB">
      <w:pPr>
        <w:keepNext w:val="0"/>
        <w:keepLines w:val="0"/>
        <w:pageBreakBefore w:val="0"/>
        <w:widowControl/>
        <w:numPr>
          <w:ilvl w:val="0"/>
          <w:numId w:val="0"/>
        </w:numPr>
        <w:kinsoku/>
        <w:wordWrap/>
        <w:overflowPunct/>
        <w:topLinePunct w:val="0"/>
        <w:autoSpaceDE/>
        <w:autoSpaceDN/>
        <w:bidi w:val="0"/>
        <w:adjustRightInd/>
        <w:spacing w:line="579" w:lineRule="exact"/>
        <w:textAlignment w:val="auto"/>
        <w:rPr>
          <w:rFonts w:hint="default" w:ascii="Times New Roman" w:hAnsi="Times New Roman" w:eastAsia="仿宋_GB2312" w:cs="Times New Roman"/>
          <w:b w:val="0"/>
          <w:bCs w:val="0"/>
          <w:color w:val="auto"/>
          <w:spacing w:val="6"/>
          <w:sz w:val="32"/>
          <w:szCs w:val="32"/>
        </w:rPr>
      </w:pPr>
      <w:r>
        <w:rPr>
          <w:rFonts w:hint="default" w:ascii="Times New Roman" w:hAnsi="Times New Roman" w:eastAsia="仿宋_GB2312" w:cs="Times New Roman"/>
          <w:b w:val="0"/>
          <w:bCs w:val="0"/>
          <w:color w:val="auto"/>
          <w:spacing w:val="6"/>
          <w:sz w:val="32"/>
          <w:szCs w:val="32"/>
        </w:rPr>
        <w:t>附件1</w:t>
      </w:r>
    </w:p>
    <w:p w14:paraId="63624A6D">
      <w:pPr>
        <w:pStyle w:val="2"/>
        <w:keepNext/>
        <w:keepLines/>
        <w:pageBreakBefore w:val="0"/>
        <w:widowControl w:val="0"/>
        <w:kinsoku/>
        <w:wordWrap/>
        <w:overflowPunct/>
        <w:topLinePunct w:val="0"/>
        <w:autoSpaceDE/>
        <w:autoSpaceDN/>
        <w:bidi w:val="0"/>
        <w:adjustRightInd/>
        <w:snapToGrid/>
        <w:spacing w:line="160" w:lineRule="exact"/>
        <w:textAlignment w:val="auto"/>
        <w:rPr>
          <w:rFonts w:hint="default"/>
        </w:rPr>
      </w:pPr>
    </w:p>
    <w:p w14:paraId="60951EB4">
      <w:pPr>
        <w:pStyle w:val="4"/>
        <w:bidi w:val="0"/>
        <w:rPr>
          <w:rFonts w:hint="default"/>
        </w:rPr>
      </w:pPr>
      <w:r>
        <w:rPr>
          <w:rFonts w:hint="eastAsia"/>
          <w:lang w:eastAsia="zh-CN"/>
        </w:rPr>
        <w:t>东西湖区</w:t>
      </w:r>
      <w:r>
        <w:rPr>
          <w:rFonts w:hint="default"/>
          <w:lang w:eastAsia="zh-CN"/>
        </w:rPr>
        <w:t>202</w:t>
      </w:r>
      <w:r>
        <w:rPr>
          <w:rFonts w:hint="eastAsia"/>
          <w:lang w:val="en-US" w:eastAsia="zh-CN"/>
        </w:rPr>
        <w:t>6-2028</w:t>
      </w:r>
      <w:r>
        <w:rPr>
          <w:rFonts w:hint="default"/>
        </w:rPr>
        <w:t>年</w:t>
      </w:r>
      <w:r>
        <w:rPr>
          <w:rFonts w:hint="eastAsia"/>
          <w:lang w:eastAsia="zh-CN"/>
        </w:rPr>
        <w:t>度</w:t>
      </w:r>
      <w:r>
        <w:rPr>
          <w:rFonts w:hint="default"/>
        </w:rPr>
        <w:t>农产品仓储保鲜冷链物流设施建设项目申报</w:t>
      </w:r>
      <w:r>
        <w:rPr>
          <w:rFonts w:hint="default"/>
          <w:lang w:eastAsia="zh-CN"/>
        </w:rPr>
        <w:t>审核意见</w:t>
      </w:r>
      <w:r>
        <w:rPr>
          <w:rFonts w:hint="default"/>
        </w:rPr>
        <w:t>表</w:t>
      </w:r>
    </w:p>
    <w:p w14:paraId="74AE1D1C">
      <w:pPr>
        <w:spacing w:line="122" w:lineRule="auto"/>
        <w:rPr>
          <w:rFonts w:hint="default" w:ascii="Times New Roman" w:hAnsi="Times New Roman" w:cs="Times New Roman"/>
          <w:color w:val="auto"/>
          <w:sz w:val="2"/>
        </w:rPr>
      </w:pPr>
    </w:p>
    <w:tbl>
      <w:tblPr>
        <w:tblStyle w:val="9"/>
        <w:tblW w:w="87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5"/>
        <w:gridCol w:w="727"/>
        <w:gridCol w:w="2617"/>
        <w:gridCol w:w="1548"/>
        <w:gridCol w:w="2302"/>
      </w:tblGrid>
      <w:tr w14:paraId="5D1F7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2332" w:type="dxa"/>
            <w:gridSpan w:val="2"/>
            <w:vAlign w:val="top"/>
          </w:tcPr>
          <w:p w14:paraId="4025F4D9">
            <w:pPr>
              <w:spacing w:before="284" w:line="220" w:lineRule="auto"/>
              <w:ind w:left="10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项目名称</w:t>
            </w:r>
          </w:p>
        </w:tc>
        <w:tc>
          <w:tcPr>
            <w:tcW w:w="6467" w:type="dxa"/>
            <w:gridSpan w:val="3"/>
            <w:vAlign w:val="top"/>
          </w:tcPr>
          <w:p w14:paraId="0755AE9B">
            <w:pPr>
              <w:rPr>
                <w:rFonts w:hint="default" w:ascii="Times New Roman" w:hAnsi="Times New Roman" w:cs="Times New Roman"/>
                <w:color w:val="auto"/>
                <w:sz w:val="21"/>
              </w:rPr>
            </w:pPr>
          </w:p>
        </w:tc>
      </w:tr>
      <w:tr w14:paraId="72EFC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2332" w:type="dxa"/>
            <w:gridSpan w:val="2"/>
            <w:vAlign w:val="top"/>
          </w:tcPr>
          <w:p w14:paraId="60E7B9E4">
            <w:pPr>
              <w:spacing w:before="278" w:line="219" w:lineRule="auto"/>
              <w:ind w:left="10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项目建设单位</w:t>
            </w:r>
            <w:r>
              <w:rPr>
                <w:rFonts w:hint="eastAsia"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pacing w:val="4"/>
                <w:sz w:val="21"/>
                <w:szCs w:val="21"/>
              </w:rPr>
              <w:t>盖章</w:t>
            </w:r>
            <w:r>
              <w:rPr>
                <w:rFonts w:hint="eastAsia" w:ascii="Times New Roman" w:hAnsi="Times New Roman" w:eastAsia="宋体" w:cs="Times New Roman"/>
                <w:color w:val="auto"/>
                <w:spacing w:val="4"/>
                <w:sz w:val="21"/>
                <w:szCs w:val="21"/>
                <w:lang w:eastAsia="zh-CN"/>
              </w:rPr>
              <w:t>）</w:t>
            </w:r>
          </w:p>
        </w:tc>
        <w:tc>
          <w:tcPr>
            <w:tcW w:w="2617" w:type="dxa"/>
            <w:vAlign w:val="top"/>
          </w:tcPr>
          <w:p w14:paraId="252C0476">
            <w:pPr>
              <w:rPr>
                <w:rFonts w:hint="default" w:ascii="Times New Roman" w:hAnsi="Times New Roman" w:cs="Times New Roman"/>
                <w:color w:val="auto"/>
                <w:sz w:val="21"/>
              </w:rPr>
            </w:pPr>
          </w:p>
        </w:tc>
        <w:tc>
          <w:tcPr>
            <w:tcW w:w="1548" w:type="dxa"/>
            <w:vAlign w:val="top"/>
          </w:tcPr>
          <w:p w14:paraId="410FD0FA">
            <w:pPr>
              <w:spacing w:before="280" w:line="220" w:lineRule="auto"/>
              <w:ind w:left="10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项目用地性质</w:t>
            </w:r>
          </w:p>
        </w:tc>
        <w:tc>
          <w:tcPr>
            <w:tcW w:w="2302" w:type="dxa"/>
            <w:vAlign w:val="top"/>
          </w:tcPr>
          <w:p w14:paraId="50FC035E">
            <w:pPr>
              <w:rPr>
                <w:rFonts w:hint="default" w:ascii="Times New Roman" w:hAnsi="Times New Roman" w:cs="Times New Roman"/>
                <w:color w:val="auto"/>
                <w:sz w:val="21"/>
              </w:rPr>
            </w:pPr>
          </w:p>
        </w:tc>
      </w:tr>
      <w:tr w14:paraId="590E6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trPr>
        <w:tc>
          <w:tcPr>
            <w:tcW w:w="1605" w:type="dxa"/>
            <w:vAlign w:val="top"/>
          </w:tcPr>
          <w:p w14:paraId="7A3C9984">
            <w:pPr>
              <w:spacing w:before="119" w:line="241" w:lineRule="auto"/>
              <w:ind w:right="72"/>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8"/>
                <w:sz w:val="21"/>
                <w:szCs w:val="21"/>
                <w:lang w:eastAsia="zh-CN"/>
              </w:rPr>
              <w:t>项目建设内容及资金筹措</w:t>
            </w:r>
          </w:p>
        </w:tc>
        <w:tc>
          <w:tcPr>
            <w:tcW w:w="7194" w:type="dxa"/>
            <w:gridSpan w:val="4"/>
            <w:vAlign w:val="top"/>
          </w:tcPr>
          <w:p w14:paraId="03514985">
            <w:pPr>
              <w:rPr>
                <w:rFonts w:hint="default" w:ascii="Times New Roman" w:hAnsi="Times New Roman" w:cs="Times New Roman"/>
                <w:color w:val="auto"/>
                <w:sz w:val="21"/>
              </w:rPr>
            </w:pPr>
          </w:p>
        </w:tc>
      </w:tr>
      <w:tr w14:paraId="6686D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1605" w:type="dxa"/>
            <w:vAlign w:val="top"/>
          </w:tcPr>
          <w:p w14:paraId="0492FF9E">
            <w:pPr>
              <w:spacing w:before="65" w:line="229" w:lineRule="auto"/>
              <w:jc w:val="center"/>
              <w:rPr>
                <w:rFonts w:hint="default" w:ascii="Times New Roman" w:hAnsi="Times New Roman" w:eastAsia="宋体" w:cs="Times New Roman"/>
                <w:color w:val="auto"/>
                <w:spacing w:val="24"/>
                <w:sz w:val="20"/>
                <w:szCs w:val="20"/>
              </w:rPr>
            </w:pPr>
          </w:p>
          <w:p w14:paraId="355D1ECA">
            <w:pPr>
              <w:spacing w:before="65" w:line="229" w:lineRule="auto"/>
              <w:jc w:val="center"/>
              <w:rPr>
                <w:rFonts w:hint="eastAsia" w:ascii="宋体" w:hAnsi="宋体" w:eastAsia="宋体" w:cs="宋体"/>
                <w:color w:val="auto"/>
                <w:spacing w:val="24"/>
                <w:sz w:val="21"/>
                <w:szCs w:val="21"/>
                <w:lang w:eastAsia="zh-CN"/>
              </w:rPr>
            </w:pPr>
            <w:r>
              <w:rPr>
                <w:rFonts w:hint="eastAsia" w:ascii="宋体" w:hAnsi="宋体" w:eastAsia="宋体" w:cs="宋体"/>
                <w:color w:val="auto"/>
                <w:spacing w:val="24"/>
                <w:sz w:val="21"/>
                <w:szCs w:val="21"/>
              </w:rPr>
              <w:t>街道办事处</w:t>
            </w:r>
          </w:p>
          <w:p w14:paraId="4416DF90">
            <w:pPr>
              <w:spacing w:before="65" w:line="229" w:lineRule="auto"/>
              <w:jc w:val="center"/>
              <w:rPr>
                <w:rFonts w:hint="default" w:ascii="Times New Roman" w:hAnsi="Times New Roman" w:eastAsia="宋体" w:cs="Times New Roman"/>
                <w:color w:val="auto"/>
                <w:sz w:val="21"/>
                <w:szCs w:val="21"/>
              </w:rPr>
            </w:pPr>
            <w:r>
              <w:rPr>
                <w:rFonts w:hint="eastAsia" w:ascii="宋体" w:hAnsi="宋体" w:eastAsia="宋体" w:cs="宋体"/>
                <w:color w:val="auto"/>
                <w:spacing w:val="3"/>
                <w:sz w:val="21"/>
                <w:szCs w:val="21"/>
              </w:rPr>
              <w:t>审核意见</w:t>
            </w:r>
          </w:p>
        </w:tc>
        <w:tc>
          <w:tcPr>
            <w:tcW w:w="7194" w:type="dxa"/>
            <w:gridSpan w:val="4"/>
            <w:vAlign w:val="top"/>
          </w:tcPr>
          <w:p w14:paraId="4024E574">
            <w:pPr>
              <w:spacing w:before="69" w:line="223" w:lineRule="auto"/>
              <w:rPr>
                <w:rFonts w:hint="default" w:ascii="Times New Roman" w:hAnsi="Times New Roman" w:eastAsia="宋体" w:cs="Times New Roman"/>
                <w:color w:val="auto"/>
                <w:spacing w:val="-7"/>
                <w:sz w:val="21"/>
                <w:szCs w:val="21"/>
              </w:rPr>
            </w:pPr>
          </w:p>
          <w:p w14:paraId="2BB269DC">
            <w:pPr>
              <w:spacing w:before="69" w:line="223" w:lineRule="auto"/>
              <w:ind w:firstLine="392" w:firstLineChars="200"/>
              <w:rPr>
                <w:rFonts w:hint="default" w:ascii="Times New Roman" w:hAnsi="Times New Roman" w:eastAsia="宋体" w:cs="Times New Roman"/>
                <w:color w:val="auto"/>
                <w:spacing w:val="-7"/>
                <w:sz w:val="21"/>
                <w:szCs w:val="21"/>
                <w:lang w:eastAsia="zh-CN"/>
              </w:rPr>
            </w:pPr>
            <w:r>
              <w:rPr>
                <w:rFonts w:hint="default" w:ascii="Times New Roman" w:hAnsi="Times New Roman" w:eastAsia="宋体" w:cs="Times New Roman"/>
                <w:color w:val="auto"/>
                <w:spacing w:val="-7"/>
                <w:sz w:val="21"/>
                <w:szCs w:val="21"/>
                <w:lang w:eastAsia="zh-CN"/>
              </w:rPr>
              <w:t>我单位已对项目进行审核，该项目符合申报要求，</w:t>
            </w:r>
            <w:r>
              <w:rPr>
                <w:rFonts w:hint="eastAsia" w:ascii="Times New Roman" w:hAnsi="Times New Roman" w:eastAsia="宋体" w:cs="Times New Roman"/>
                <w:color w:val="auto"/>
                <w:spacing w:val="-7"/>
                <w:sz w:val="21"/>
                <w:szCs w:val="21"/>
                <w:lang w:eastAsia="zh-CN"/>
              </w:rPr>
              <w:t>有建设所需合法用地，</w:t>
            </w:r>
            <w:r>
              <w:rPr>
                <w:rFonts w:hint="default" w:ascii="Times New Roman" w:hAnsi="Times New Roman" w:eastAsia="宋体" w:cs="Times New Roman"/>
                <w:color w:val="auto"/>
                <w:spacing w:val="-7"/>
                <w:sz w:val="21"/>
                <w:szCs w:val="21"/>
                <w:lang w:eastAsia="zh-CN"/>
              </w:rPr>
              <w:t>同意申报。</w:t>
            </w:r>
          </w:p>
          <w:p w14:paraId="6EB3F4BD">
            <w:pPr>
              <w:spacing w:before="69" w:line="223" w:lineRule="auto"/>
              <w:ind w:firstLine="392" w:firstLineChars="200"/>
              <w:rPr>
                <w:rFonts w:hint="default" w:ascii="Times New Roman" w:hAnsi="Times New Roman" w:eastAsia="宋体" w:cs="Times New Roman"/>
                <w:color w:val="auto"/>
                <w:spacing w:val="-7"/>
                <w:sz w:val="21"/>
                <w:szCs w:val="21"/>
                <w:lang w:eastAsia="zh-CN"/>
              </w:rPr>
            </w:pPr>
          </w:p>
          <w:p w14:paraId="4DB4C311">
            <w:pPr>
              <w:spacing w:before="69" w:line="223" w:lineRule="auto"/>
              <w:ind w:firstLine="3136" w:firstLineChars="16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签</w:t>
            </w:r>
            <w:r>
              <w:rPr>
                <w:rFonts w:hint="default" w:ascii="Times New Roman" w:hAnsi="Times New Roman" w:eastAsia="宋体" w:cs="Times New Roman"/>
                <w:color w:val="auto"/>
                <w:spacing w:val="-13"/>
                <w:sz w:val="21"/>
                <w:szCs w:val="21"/>
              </w:rPr>
              <w:t xml:space="preserve"> </w:t>
            </w:r>
            <w:r>
              <w:rPr>
                <w:rFonts w:hint="default" w:ascii="Times New Roman" w:hAnsi="Times New Roman" w:eastAsia="宋体" w:cs="Times New Roman"/>
                <w:color w:val="auto"/>
                <w:spacing w:val="-7"/>
                <w:sz w:val="21"/>
                <w:szCs w:val="21"/>
              </w:rPr>
              <w:t>名</w:t>
            </w:r>
            <w:r>
              <w:rPr>
                <w:rFonts w:hint="default" w:ascii="Times New Roman" w:hAnsi="Times New Roman" w:eastAsia="宋体" w:cs="Times New Roman"/>
                <w:color w:val="auto"/>
                <w:spacing w:val="-24"/>
                <w:sz w:val="21"/>
                <w:szCs w:val="21"/>
              </w:rPr>
              <w:t xml:space="preserve"> </w:t>
            </w:r>
            <w:r>
              <w:rPr>
                <w:rFonts w:hint="default" w:ascii="Times New Roman" w:hAnsi="Times New Roman" w:eastAsia="宋体" w:cs="Times New Roman"/>
                <w:color w:val="auto"/>
                <w:spacing w:val="-7"/>
                <w:sz w:val="21"/>
                <w:szCs w:val="21"/>
              </w:rPr>
              <w:t>：</w:t>
            </w:r>
          </w:p>
          <w:p w14:paraId="1627B424">
            <w:pPr>
              <w:spacing w:before="61" w:line="219" w:lineRule="auto"/>
              <w:ind w:left="5541"/>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11"/>
                <w:sz w:val="21"/>
                <w:szCs w:val="21"/>
                <w:lang w:eastAsia="zh-CN"/>
              </w:rPr>
              <w:t>（</w:t>
            </w:r>
            <w:r>
              <w:rPr>
                <w:rFonts w:hint="default" w:ascii="Times New Roman" w:hAnsi="Times New Roman" w:eastAsia="宋体" w:cs="Times New Roman"/>
                <w:color w:val="auto"/>
                <w:spacing w:val="11"/>
                <w:sz w:val="21"/>
                <w:szCs w:val="21"/>
              </w:rPr>
              <w:t>盖章</w:t>
            </w:r>
            <w:r>
              <w:rPr>
                <w:rFonts w:hint="eastAsia" w:ascii="Times New Roman" w:hAnsi="Times New Roman" w:eastAsia="宋体" w:cs="Times New Roman"/>
                <w:color w:val="auto"/>
                <w:spacing w:val="11"/>
                <w:sz w:val="21"/>
                <w:szCs w:val="21"/>
                <w:lang w:eastAsia="zh-CN"/>
              </w:rPr>
              <w:t>）</w:t>
            </w:r>
          </w:p>
          <w:p w14:paraId="545A9FB2">
            <w:pPr>
              <w:spacing w:before="22" w:line="219" w:lineRule="auto"/>
              <w:ind w:left="5011"/>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年</w:t>
            </w:r>
            <w:r>
              <w:rPr>
                <w:rFonts w:hint="default" w:ascii="Times New Roman" w:hAnsi="Times New Roman" w:eastAsia="宋体" w:cs="Times New Roman"/>
                <w:color w:val="auto"/>
                <w:spacing w:val="12"/>
                <w:sz w:val="21"/>
                <w:szCs w:val="21"/>
              </w:rPr>
              <w:t xml:space="preserve">   </w:t>
            </w:r>
            <w:r>
              <w:rPr>
                <w:rFonts w:hint="default" w:ascii="Times New Roman" w:hAnsi="Times New Roman" w:eastAsia="宋体" w:cs="Times New Roman"/>
                <w:color w:val="auto"/>
                <w:spacing w:val="-8"/>
                <w:sz w:val="21"/>
                <w:szCs w:val="21"/>
              </w:rPr>
              <w:t>月</w:t>
            </w:r>
            <w:r>
              <w:rPr>
                <w:rFonts w:hint="default" w:ascii="Times New Roman" w:hAnsi="Times New Roman" w:eastAsia="宋体" w:cs="Times New Roman"/>
                <w:color w:val="auto"/>
                <w:spacing w:val="18"/>
                <w:sz w:val="21"/>
                <w:szCs w:val="21"/>
              </w:rPr>
              <w:t xml:space="preserve">    </w:t>
            </w:r>
            <w:r>
              <w:rPr>
                <w:rFonts w:hint="default" w:ascii="Times New Roman" w:hAnsi="Times New Roman" w:eastAsia="宋体" w:cs="Times New Roman"/>
                <w:color w:val="auto"/>
                <w:spacing w:val="-8"/>
                <w:sz w:val="21"/>
                <w:szCs w:val="21"/>
              </w:rPr>
              <w:t>日</w:t>
            </w:r>
          </w:p>
        </w:tc>
      </w:tr>
      <w:tr w14:paraId="7FA81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4" w:hRule="atLeast"/>
        </w:trPr>
        <w:tc>
          <w:tcPr>
            <w:tcW w:w="1605" w:type="dxa"/>
            <w:vAlign w:val="center"/>
          </w:tcPr>
          <w:p w14:paraId="5E4B56BC">
            <w:pPr>
              <w:spacing w:line="314" w:lineRule="auto"/>
              <w:rPr>
                <w:rFonts w:hint="default" w:ascii="Times New Roman" w:hAnsi="Times New Roman" w:cs="Times New Roman"/>
                <w:color w:val="auto"/>
                <w:sz w:val="21"/>
              </w:rPr>
            </w:pPr>
          </w:p>
          <w:p w14:paraId="2493B377">
            <w:pPr>
              <w:spacing w:before="68" w:line="219" w:lineRule="auto"/>
              <w:ind w:left="184"/>
              <w:rPr>
                <w:rFonts w:hint="default" w:ascii="Times New Roman" w:hAnsi="Times New Roman" w:cs="Times New Roman"/>
                <w:color w:val="auto"/>
                <w:sz w:val="21"/>
              </w:rPr>
            </w:pPr>
            <w:r>
              <w:rPr>
                <w:rFonts w:hint="default" w:ascii="Times New Roman" w:hAnsi="Times New Roman" w:eastAsia="宋体" w:cs="Times New Roman"/>
                <w:color w:val="auto"/>
                <w:spacing w:val="1"/>
                <w:sz w:val="21"/>
                <w:szCs w:val="21"/>
              </w:rPr>
              <w:t>区农业农村局</w:t>
            </w:r>
            <w:r>
              <w:rPr>
                <w:rFonts w:hint="default" w:ascii="Times New Roman" w:hAnsi="Times New Roman" w:eastAsia="宋体" w:cs="Times New Roman"/>
                <w:color w:val="auto"/>
                <w:spacing w:val="1"/>
                <w:sz w:val="21"/>
                <w:szCs w:val="21"/>
                <w:lang w:eastAsia="zh-CN"/>
              </w:rPr>
              <w:t>业务科室</w:t>
            </w:r>
            <w:r>
              <w:rPr>
                <w:rFonts w:hint="default" w:ascii="Times New Roman" w:hAnsi="Times New Roman" w:eastAsia="宋体" w:cs="Times New Roman"/>
                <w:color w:val="auto"/>
                <w:spacing w:val="5"/>
                <w:sz w:val="21"/>
                <w:szCs w:val="21"/>
              </w:rPr>
              <w:t>意见</w:t>
            </w:r>
          </w:p>
          <w:p w14:paraId="36C45549">
            <w:pPr>
              <w:spacing w:before="65" w:line="229" w:lineRule="auto"/>
              <w:ind w:left="1342" w:leftChars="39" w:hanging="1260" w:hangingChars="600"/>
              <w:jc w:val="left"/>
              <w:rPr>
                <w:rFonts w:hint="default" w:ascii="Times New Roman" w:hAnsi="Times New Roman" w:eastAsia="宋体" w:cs="Times New Roman"/>
                <w:color w:val="auto"/>
                <w:sz w:val="21"/>
                <w:szCs w:val="21"/>
                <w:lang w:eastAsia="zh-CN"/>
              </w:rPr>
            </w:pPr>
          </w:p>
        </w:tc>
        <w:tc>
          <w:tcPr>
            <w:tcW w:w="7194" w:type="dxa"/>
            <w:gridSpan w:val="4"/>
            <w:vAlign w:val="top"/>
          </w:tcPr>
          <w:p w14:paraId="2A86698A">
            <w:pPr>
              <w:spacing w:line="267" w:lineRule="auto"/>
              <w:rPr>
                <w:rFonts w:hint="default" w:ascii="Times New Roman" w:hAnsi="Times New Roman" w:cs="Times New Roman"/>
                <w:color w:val="auto"/>
                <w:sz w:val="21"/>
              </w:rPr>
            </w:pPr>
          </w:p>
          <w:p w14:paraId="0D0562FC">
            <w:pPr>
              <w:spacing w:line="268" w:lineRule="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 xml:space="preserve">   我科室已联合街道对项目进行资料审核和现场审核，确认该项目符合申报要求，拟同意申报。</w:t>
            </w:r>
          </w:p>
          <w:p w14:paraId="25FCE151">
            <w:pPr>
              <w:spacing w:line="268" w:lineRule="auto"/>
              <w:rPr>
                <w:rFonts w:hint="default" w:ascii="Times New Roman" w:hAnsi="Times New Roman" w:eastAsia="宋体" w:cs="Times New Roman"/>
                <w:color w:val="auto"/>
                <w:sz w:val="21"/>
                <w:lang w:val="en-US" w:eastAsia="zh-CN"/>
              </w:rPr>
            </w:pPr>
          </w:p>
          <w:p w14:paraId="5393EA48">
            <w:pPr>
              <w:spacing w:before="69" w:line="223" w:lineRule="auto"/>
              <w:ind w:left="3511"/>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签</w:t>
            </w:r>
            <w:r>
              <w:rPr>
                <w:rFonts w:hint="default" w:ascii="Times New Roman" w:hAnsi="Times New Roman" w:eastAsia="宋体" w:cs="Times New Roman"/>
                <w:color w:val="auto"/>
                <w:spacing w:val="-13"/>
                <w:sz w:val="21"/>
                <w:szCs w:val="21"/>
              </w:rPr>
              <w:t xml:space="preserve"> </w:t>
            </w:r>
            <w:r>
              <w:rPr>
                <w:rFonts w:hint="default" w:ascii="Times New Roman" w:hAnsi="Times New Roman" w:eastAsia="宋体" w:cs="Times New Roman"/>
                <w:color w:val="auto"/>
                <w:spacing w:val="-7"/>
                <w:sz w:val="21"/>
                <w:szCs w:val="21"/>
              </w:rPr>
              <w:t>名</w:t>
            </w:r>
            <w:r>
              <w:rPr>
                <w:rFonts w:hint="default" w:ascii="Times New Roman" w:hAnsi="Times New Roman" w:eastAsia="宋体" w:cs="Times New Roman"/>
                <w:color w:val="auto"/>
                <w:spacing w:val="-24"/>
                <w:sz w:val="21"/>
                <w:szCs w:val="21"/>
              </w:rPr>
              <w:t xml:space="preserve"> </w:t>
            </w:r>
            <w:r>
              <w:rPr>
                <w:rFonts w:hint="default" w:ascii="Times New Roman" w:hAnsi="Times New Roman" w:eastAsia="宋体" w:cs="Times New Roman"/>
                <w:color w:val="auto"/>
                <w:spacing w:val="-7"/>
                <w:sz w:val="21"/>
                <w:szCs w:val="21"/>
              </w:rPr>
              <w:t>：</w:t>
            </w:r>
          </w:p>
          <w:p w14:paraId="21EA74A8">
            <w:pPr>
              <w:spacing w:before="69" w:line="223" w:lineRule="auto"/>
              <w:ind w:left="3511"/>
              <w:rPr>
                <w:rFonts w:hint="default" w:ascii="Times New Roman" w:hAnsi="Times New Roman" w:eastAsia="宋体" w:cs="Times New Roman"/>
                <w:color w:val="auto"/>
                <w:spacing w:val="-7"/>
                <w:sz w:val="21"/>
                <w:szCs w:val="21"/>
              </w:rPr>
            </w:pPr>
          </w:p>
          <w:p w14:paraId="46079412">
            <w:pPr>
              <w:spacing w:before="68" w:line="219" w:lineRule="auto"/>
              <w:ind w:left="5541"/>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11"/>
                <w:sz w:val="21"/>
                <w:szCs w:val="21"/>
                <w:lang w:eastAsia="zh-CN"/>
              </w:rPr>
              <w:t>（</w:t>
            </w:r>
            <w:r>
              <w:rPr>
                <w:rFonts w:hint="default" w:ascii="Times New Roman" w:hAnsi="Times New Roman" w:eastAsia="宋体" w:cs="Times New Roman"/>
                <w:color w:val="auto"/>
                <w:spacing w:val="11"/>
                <w:sz w:val="21"/>
                <w:szCs w:val="21"/>
              </w:rPr>
              <w:t>盖章</w:t>
            </w:r>
            <w:r>
              <w:rPr>
                <w:rFonts w:hint="eastAsia" w:ascii="Times New Roman" w:hAnsi="Times New Roman" w:eastAsia="宋体" w:cs="Times New Roman"/>
                <w:color w:val="auto"/>
                <w:spacing w:val="11"/>
                <w:sz w:val="21"/>
                <w:szCs w:val="21"/>
                <w:lang w:eastAsia="zh-CN"/>
              </w:rPr>
              <w:t>）</w:t>
            </w:r>
          </w:p>
          <w:p w14:paraId="29D607EE">
            <w:pPr>
              <w:spacing w:before="21" w:line="198" w:lineRule="auto"/>
              <w:ind w:left="5281"/>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年</w:t>
            </w:r>
            <w:r>
              <w:rPr>
                <w:rFonts w:hint="default" w:ascii="Times New Roman" w:hAnsi="Times New Roman" w:eastAsia="宋体" w:cs="Times New Roman"/>
                <w:color w:val="auto"/>
                <w:spacing w:val="10"/>
                <w:sz w:val="21"/>
                <w:szCs w:val="21"/>
              </w:rPr>
              <w:t xml:space="preserve">   </w:t>
            </w:r>
            <w:r>
              <w:rPr>
                <w:rFonts w:hint="default" w:ascii="Times New Roman" w:hAnsi="Times New Roman" w:eastAsia="宋体" w:cs="Times New Roman"/>
                <w:color w:val="auto"/>
                <w:spacing w:val="-8"/>
                <w:sz w:val="21"/>
                <w:szCs w:val="21"/>
              </w:rPr>
              <w:t>月</w:t>
            </w:r>
            <w:r>
              <w:rPr>
                <w:rFonts w:hint="default" w:ascii="Times New Roman" w:hAnsi="Times New Roman" w:eastAsia="宋体" w:cs="Times New Roman"/>
                <w:color w:val="auto"/>
                <w:spacing w:val="17"/>
                <w:sz w:val="21"/>
                <w:szCs w:val="21"/>
              </w:rPr>
              <w:t xml:space="preserve">    </w:t>
            </w:r>
            <w:r>
              <w:rPr>
                <w:rFonts w:hint="default" w:ascii="Times New Roman" w:hAnsi="Times New Roman" w:eastAsia="宋体" w:cs="Times New Roman"/>
                <w:color w:val="auto"/>
                <w:spacing w:val="-8"/>
                <w:sz w:val="21"/>
                <w:szCs w:val="21"/>
              </w:rPr>
              <w:t>日</w:t>
            </w:r>
          </w:p>
        </w:tc>
      </w:tr>
      <w:tr w14:paraId="74647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8" w:hRule="atLeast"/>
        </w:trPr>
        <w:tc>
          <w:tcPr>
            <w:tcW w:w="1605" w:type="dxa"/>
            <w:vAlign w:val="top"/>
          </w:tcPr>
          <w:p w14:paraId="5B692B2B">
            <w:pPr>
              <w:spacing w:line="314" w:lineRule="auto"/>
              <w:rPr>
                <w:rFonts w:hint="default" w:ascii="Times New Roman" w:hAnsi="Times New Roman" w:cs="Times New Roman"/>
                <w:color w:val="auto"/>
                <w:sz w:val="21"/>
              </w:rPr>
            </w:pPr>
          </w:p>
          <w:p w14:paraId="50D29A6E">
            <w:pPr>
              <w:spacing w:before="68" w:line="219" w:lineRule="auto"/>
              <w:ind w:left="184"/>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区农业农村局</w:t>
            </w:r>
          </w:p>
          <w:p w14:paraId="22A33510">
            <w:pPr>
              <w:spacing w:before="32" w:line="219" w:lineRule="auto"/>
              <w:jc w:val="center"/>
              <w:rPr>
                <w:rFonts w:hint="default" w:ascii="Times New Roman" w:hAnsi="Times New Roman" w:eastAsia="宋体" w:cs="Times New Roman"/>
                <w:color w:val="auto"/>
                <w:spacing w:val="5"/>
                <w:sz w:val="21"/>
                <w:szCs w:val="21"/>
                <w:lang w:eastAsia="zh-CN"/>
              </w:rPr>
            </w:pPr>
            <w:r>
              <w:rPr>
                <w:rFonts w:hint="default" w:ascii="Times New Roman" w:hAnsi="Times New Roman" w:eastAsia="宋体" w:cs="Times New Roman"/>
                <w:color w:val="auto"/>
                <w:spacing w:val="5"/>
                <w:sz w:val="21"/>
                <w:szCs w:val="21"/>
                <w:lang w:eastAsia="zh-CN"/>
              </w:rPr>
              <w:t>业务科室分管</w:t>
            </w:r>
          </w:p>
          <w:p w14:paraId="7050938B">
            <w:pPr>
              <w:spacing w:before="32" w:line="219"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lang w:eastAsia="zh-CN"/>
              </w:rPr>
              <w:t>领导</w:t>
            </w:r>
            <w:r>
              <w:rPr>
                <w:rFonts w:hint="default" w:ascii="Times New Roman" w:hAnsi="Times New Roman" w:eastAsia="宋体" w:cs="Times New Roman"/>
                <w:color w:val="auto"/>
                <w:spacing w:val="5"/>
                <w:sz w:val="21"/>
                <w:szCs w:val="21"/>
              </w:rPr>
              <w:t>意见</w:t>
            </w:r>
          </w:p>
        </w:tc>
        <w:tc>
          <w:tcPr>
            <w:tcW w:w="7194" w:type="dxa"/>
            <w:gridSpan w:val="4"/>
            <w:vAlign w:val="top"/>
          </w:tcPr>
          <w:p w14:paraId="265AAAB1">
            <w:pPr>
              <w:spacing w:line="289" w:lineRule="auto"/>
              <w:rPr>
                <w:rFonts w:hint="default" w:ascii="Times New Roman" w:hAnsi="Times New Roman" w:cs="Times New Roman"/>
                <w:color w:val="auto"/>
                <w:sz w:val="21"/>
              </w:rPr>
            </w:pPr>
          </w:p>
          <w:p w14:paraId="1AB2DA7E">
            <w:pPr>
              <w:spacing w:before="68" w:line="223" w:lineRule="auto"/>
              <w:ind w:left="3491"/>
              <w:rPr>
                <w:rFonts w:hint="default" w:ascii="Times New Roman" w:hAnsi="Times New Roman" w:eastAsia="宋体" w:cs="Times New Roman"/>
                <w:color w:val="auto"/>
                <w:spacing w:val="-7"/>
                <w:sz w:val="21"/>
                <w:szCs w:val="21"/>
              </w:rPr>
            </w:pPr>
          </w:p>
          <w:p w14:paraId="657D1764">
            <w:pPr>
              <w:spacing w:before="68" w:line="223" w:lineRule="auto"/>
              <w:ind w:left="3491"/>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签</w:t>
            </w:r>
            <w:r>
              <w:rPr>
                <w:rFonts w:hint="default" w:ascii="Times New Roman" w:hAnsi="Times New Roman" w:eastAsia="宋体" w:cs="Times New Roman"/>
                <w:color w:val="auto"/>
                <w:spacing w:val="-13"/>
                <w:sz w:val="21"/>
                <w:szCs w:val="21"/>
              </w:rPr>
              <w:t xml:space="preserve"> </w:t>
            </w:r>
            <w:r>
              <w:rPr>
                <w:rFonts w:hint="default" w:ascii="Times New Roman" w:hAnsi="Times New Roman" w:eastAsia="宋体" w:cs="Times New Roman"/>
                <w:color w:val="auto"/>
                <w:spacing w:val="-7"/>
                <w:sz w:val="21"/>
                <w:szCs w:val="21"/>
              </w:rPr>
              <w:t>名</w:t>
            </w:r>
            <w:r>
              <w:rPr>
                <w:rFonts w:hint="default" w:ascii="Times New Roman" w:hAnsi="Times New Roman" w:eastAsia="宋体" w:cs="Times New Roman"/>
                <w:color w:val="auto"/>
                <w:spacing w:val="-24"/>
                <w:sz w:val="21"/>
                <w:szCs w:val="21"/>
              </w:rPr>
              <w:t xml:space="preserve"> </w:t>
            </w:r>
            <w:r>
              <w:rPr>
                <w:rFonts w:hint="default" w:ascii="Times New Roman" w:hAnsi="Times New Roman" w:eastAsia="宋体" w:cs="Times New Roman"/>
                <w:color w:val="auto"/>
                <w:spacing w:val="-7"/>
                <w:sz w:val="21"/>
                <w:szCs w:val="21"/>
              </w:rPr>
              <w:t>：</w:t>
            </w:r>
          </w:p>
          <w:p w14:paraId="07E5D54B">
            <w:pPr>
              <w:spacing w:before="68" w:line="219" w:lineRule="auto"/>
              <w:ind w:firstLine="5336" w:firstLineChars="2300"/>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pacing w:val="11"/>
                <w:sz w:val="21"/>
                <w:szCs w:val="21"/>
                <w:lang w:eastAsia="zh-CN"/>
              </w:rPr>
              <w:t>年</w:t>
            </w:r>
            <w:r>
              <w:rPr>
                <w:rFonts w:hint="default" w:ascii="Times New Roman" w:hAnsi="Times New Roman" w:eastAsia="宋体" w:cs="Times New Roman"/>
                <w:color w:val="auto"/>
                <w:spacing w:val="11"/>
                <w:sz w:val="21"/>
                <w:szCs w:val="21"/>
                <w:lang w:val="en-US" w:eastAsia="zh-CN"/>
              </w:rPr>
              <w:t xml:space="preserve">  月    日</w:t>
            </w:r>
            <w:r>
              <w:rPr>
                <w:rFonts w:hint="default" w:ascii="Times New Roman" w:hAnsi="Times New Roman" w:eastAsia="宋体" w:cs="Times New Roman"/>
                <w:color w:val="auto"/>
                <w:spacing w:val="-8"/>
                <w:sz w:val="21"/>
                <w:szCs w:val="21"/>
                <w:lang w:val="en-US" w:eastAsia="zh-CN"/>
              </w:rPr>
              <w:t xml:space="preserve">                                                        </w:t>
            </w:r>
          </w:p>
        </w:tc>
      </w:tr>
      <w:tr w14:paraId="2B729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5" w:hRule="atLeast"/>
        </w:trPr>
        <w:tc>
          <w:tcPr>
            <w:tcW w:w="1605" w:type="dxa"/>
            <w:vAlign w:val="center"/>
          </w:tcPr>
          <w:p w14:paraId="3807752B">
            <w:pPr>
              <w:spacing w:before="68" w:line="221"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备</w:t>
            </w:r>
            <w:r>
              <w:rPr>
                <w:rFonts w:hint="eastAsia" w:ascii="Times New Roman" w:hAnsi="Times New Roman" w:eastAsia="宋体" w:cs="Times New Roman"/>
                <w:color w:val="auto"/>
                <w:spacing w:val="5"/>
                <w:sz w:val="21"/>
                <w:szCs w:val="21"/>
                <w:lang w:val="en-US" w:eastAsia="zh-CN"/>
              </w:rPr>
              <w:t xml:space="preserve">  </w:t>
            </w:r>
            <w:r>
              <w:rPr>
                <w:rFonts w:hint="default" w:ascii="Times New Roman" w:hAnsi="Times New Roman" w:eastAsia="宋体" w:cs="Times New Roman"/>
                <w:color w:val="auto"/>
                <w:spacing w:val="5"/>
                <w:sz w:val="21"/>
                <w:szCs w:val="21"/>
              </w:rPr>
              <w:t>注</w:t>
            </w:r>
          </w:p>
        </w:tc>
        <w:tc>
          <w:tcPr>
            <w:tcW w:w="7194" w:type="dxa"/>
            <w:gridSpan w:val="4"/>
            <w:vAlign w:val="top"/>
          </w:tcPr>
          <w:p w14:paraId="6739CA62">
            <w:pPr>
              <w:rPr>
                <w:rFonts w:hint="default" w:ascii="Times New Roman" w:hAnsi="Times New Roman" w:cs="Times New Roman"/>
                <w:color w:val="auto"/>
                <w:sz w:val="21"/>
              </w:rPr>
            </w:pPr>
          </w:p>
          <w:p w14:paraId="284A051B">
            <w:pPr>
              <w:rPr>
                <w:rFonts w:hint="default" w:ascii="Times New Roman" w:hAnsi="Times New Roman" w:cs="Times New Roman"/>
                <w:color w:val="auto"/>
                <w:sz w:val="21"/>
              </w:rPr>
            </w:pPr>
          </w:p>
        </w:tc>
      </w:tr>
    </w:tbl>
    <w:p w14:paraId="1FC7FCA2">
      <w:pPr>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附件2</w:t>
      </w:r>
    </w:p>
    <w:p w14:paraId="385BBF17">
      <w:pPr>
        <w:pStyle w:val="4"/>
        <w:bidi w:val="0"/>
        <w:jc w:val="center"/>
        <w:rPr>
          <w:rFonts w:hint="eastAsia"/>
          <w:lang w:eastAsia="zh-CN"/>
        </w:rPr>
      </w:pPr>
      <w:r>
        <w:rPr>
          <w:rFonts w:hint="eastAsia"/>
          <w:lang w:eastAsia="zh-CN"/>
        </w:rPr>
        <w:t>项目承诺书</w:t>
      </w:r>
    </w:p>
    <w:p w14:paraId="3E25DAF8">
      <w:pPr>
        <w:ind w:firstLine="640" w:firstLineChars="200"/>
        <w:rPr>
          <w:rFonts w:hint="eastAsia" w:ascii="Times New Roman" w:hAnsi="Times New Roman" w:eastAsia="仿宋_GB2312" w:cs="Times New Roman"/>
          <w:sz w:val="32"/>
          <w:szCs w:val="32"/>
          <w:lang w:eastAsia="zh-CN"/>
        </w:rPr>
      </w:pPr>
    </w:p>
    <w:p w14:paraId="1CEA1D14">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为增强项目建设单位实施项目的积极性和主动性，切实做到项目依法、到位，保证项目按时保质建设，要求承诺如下事宜：</w:t>
      </w:r>
    </w:p>
    <w:p w14:paraId="7474E9DA">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一、项目概况</w:t>
      </w:r>
    </w:p>
    <w:p w14:paraId="65B2A6A8">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（一）项目名称：</w:t>
      </w:r>
    </w:p>
    <w:p w14:paraId="3E88510F">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（二）项目申报内容：</w:t>
      </w:r>
    </w:p>
    <w:p w14:paraId="3FB633EA">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（三）项目建设单位：</w:t>
      </w:r>
    </w:p>
    <w:p w14:paraId="18CF1D10">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（四）建设地点：</w:t>
      </w:r>
    </w:p>
    <w:p w14:paraId="051705D2">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（五）承诺建设时间：</w:t>
      </w:r>
    </w:p>
    <w:p w14:paraId="7B2BB794">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开始时间：    年   月   日</w:t>
      </w:r>
    </w:p>
    <w:p w14:paraId="3CB60EF9">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完成时间：    年   月   日</w:t>
      </w:r>
    </w:p>
    <w:p w14:paraId="6324659E">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二、项目建设单位责任</w:t>
      </w:r>
    </w:p>
    <w:p w14:paraId="37B427CB">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（一）项目申报复核相关文件要求。</w:t>
      </w:r>
    </w:p>
    <w:p w14:paraId="233F8AF3">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（二）建立健全规范的财务管理和会计核算制度，对项目资金设置专账，单独核算。财政资金的支出必须凭正式有效的票据入账。</w:t>
      </w:r>
    </w:p>
    <w:p w14:paraId="7A12A592">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（三）承诺该项目实施不存在违反土地管理、质量安全等相关法律法规的行为；承诺项目实施内容未申报或获得其他财政资金扶持；承诺项目通过复核后3年内不擅自改变实施内容。</w:t>
      </w:r>
    </w:p>
    <w:p w14:paraId="75C38FDA">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（四）项目接受区农业农村局、区财政局、项目所在地街道办事处（农场）及纪检部门的跟踪指导、检查和监督。如项目实施有任何变动，应及时报告街道办事处（农场）及区农业农村局。</w:t>
      </w:r>
    </w:p>
    <w:p w14:paraId="28D8D360">
      <w:pPr>
        <w:ind w:firstLine="640" w:firstLineChars="200"/>
        <w:rPr>
          <w:rFonts w:hint="eastAsia" w:ascii="Times New Roman" w:hAnsi="Times New Roman" w:eastAsia="仿宋_GB2312" w:cs="Times New Roman"/>
          <w:sz w:val="32"/>
          <w:szCs w:val="32"/>
          <w:lang w:eastAsia="zh-CN"/>
        </w:rPr>
      </w:pPr>
    </w:p>
    <w:p w14:paraId="345FD3AA">
      <w:pPr>
        <w:ind w:firstLine="640" w:firstLineChars="200"/>
        <w:rPr>
          <w:rFonts w:hint="eastAsia" w:ascii="Times New Roman" w:hAnsi="Times New Roman" w:eastAsia="仿宋_GB2312" w:cs="Times New Roman"/>
          <w:sz w:val="32"/>
          <w:szCs w:val="32"/>
          <w:lang w:eastAsia="zh-CN"/>
        </w:rPr>
      </w:pPr>
    </w:p>
    <w:p w14:paraId="54AA60DA">
      <w:pPr>
        <w:rPr>
          <w:rFonts w:hint="eastAsia" w:ascii="Times New Roman" w:hAnsi="Times New Roman" w:eastAsia="仿宋_GB2312" w:cs="Times New Roman"/>
          <w:sz w:val="32"/>
          <w:szCs w:val="32"/>
          <w:lang w:eastAsia="zh-CN"/>
        </w:rPr>
      </w:pPr>
    </w:p>
    <w:p w14:paraId="337BA938">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承诺单位（项目建设单位）：  ( 盖 章 )</w:t>
      </w:r>
    </w:p>
    <w:p w14:paraId="56B32941">
      <w:pPr>
        <w:ind w:firstLine="640" w:firstLineChars="200"/>
        <w:rPr>
          <w:rFonts w:hint="eastAsia" w:ascii="Times New Roman" w:hAnsi="Times New Roman" w:eastAsia="仿宋_GB2312" w:cs="Times New Roman"/>
          <w:sz w:val="32"/>
          <w:szCs w:val="32"/>
          <w:lang w:eastAsia="zh-CN"/>
        </w:rPr>
      </w:pPr>
    </w:p>
    <w:p w14:paraId="4FC20CF0">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法定代表人签名：</w:t>
      </w:r>
    </w:p>
    <w:p w14:paraId="0CD5ECA7">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年  月  日</w:t>
      </w:r>
    </w:p>
    <w:p w14:paraId="74B5AD08">
      <w:pPr>
        <w:ind w:firstLine="640" w:firstLineChars="200"/>
        <w:rPr>
          <w:rFonts w:hint="eastAsia" w:ascii="Times New Roman" w:hAnsi="Times New Roman" w:eastAsia="仿宋_GB2312" w:cs="Times New Roman"/>
          <w:sz w:val="32"/>
          <w:szCs w:val="32"/>
          <w:lang w:eastAsia="zh-CN"/>
        </w:rPr>
      </w:pPr>
    </w:p>
    <w:p w14:paraId="543D9F2B">
      <w:pPr>
        <w:ind w:firstLine="640" w:firstLineChars="200"/>
        <w:rPr>
          <w:rFonts w:hint="eastAsia" w:ascii="Times New Roman" w:hAnsi="Times New Roman" w:eastAsia="仿宋_GB2312" w:cs="Times New Roman"/>
          <w:sz w:val="32"/>
          <w:szCs w:val="32"/>
          <w:lang w:eastAsia="zh-CN"/>
        </w:rPr>
      </w:pPr>
    </w:p>
    <w:p w14:paraId="45102E8D">
      <w:pPr>
        <w:spacing w:before="65" w:line="229" w:lineRule="auto"/>
        <w:ind w:firstLine="640" w:firstLineChars="2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项目所在街道办事处：（盖章）</w:t>
      </w:r>
    </w:p>
    <w:p w14:paraId="61A337E4">
      <w:pPr>
        <w:spacing w:before="65" w:line="229" w:lineRule="auto"/>
        <w:ind w:firstLine="320" w:firstLineChars="100"/>
        <w:jc w:val="left"/>
        <w:rPr>
          <w:rFonts w:hint="eastAsia" w:ascii="Times New Roman" w:hAnsi="Times New Roman" w:eastAsia="仿宋_GB2312" w:cs="Times New Roman"/>
          <w:sz w:val="32"/>
          <w:szCs w:val="32"/>
          <w:lang w:eastAsia="zh-CN"/>
        </w:rPr>
      </w:pPr>
    </w:p>
    <w:p w14:paraId="2EAD0916">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相关负责人签名：</w:t>
      </w:r>
    </w:p>
    <w:p w14:paraId="24935563">
      <w:pPr>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年  月  日</w:t>
      </w:r>
    </w:p>
    <w:p w14:paraId="5F111BF3">
      <w:pPr>
        <w:ind w:firstLine="640" w:firstLineChars="200"/>
        <w:rPr>
          <w:rFonts w:hint="eastAsia" w:ascii="Times New Roman" w:hAnsi="Times New Roman" w:eastAsia="仿宋_GB2312" w:cs="Times New Roman"/>
          <w:sz w:val="32"/>
          <w:szCs w:val="32"/>
          <w:lang w:eastAsia="zh-CN"/>
        </w:rPr>
      </w:pPr>
    </w:p>
    <w:p w14:paraId="1BC98D84">
      <w:pPr>
        <w:rPr>
          <w:rFonts w:hint="eastAsia" w:ascii="Times New Roman" w:hAnsi="Times New Roman" w:eastAsia="仿宋_GB2312" w:cs="Times New Roman"/>
          <w:sz w:val="32"/>
          <w:szCs w:val="32"/>
          <w:lang w:eastAsia="zh-CN"/>
        </w:rPr>
      </w:pPr>
    </w:p>
    <w:p w14:paraId="1C36A793">
      <w:pPr>
        <w:rPr>
          <w:rFonts w:hint="eastAsia" w:ascii="Times New Roman" w:hAnsi="Times New Roman" w:eastAsia="仿宋_GB2312" w:cs="Times New Roman"/>
          <w:sz w:val="32"/>
          <w:szCs w:val="32"/>
          <w:lang w:eastAsia="zh-CN"/>
        </w:rPr>
      </w:pPr>
    </w:p>
    <w:p w14:paraId="6F78B17F">
      <w:pPr>
        <w:rPr>
          <w:rFonts w:hint="eastAsia" w:ascii="Times New Roman" w:hAnsi="Times New Roman" w:eastAsia="仿宋_GB2312" w:cs="Times New Roman"/>
          <w:sz w:val="32"/>
          <w:szCs w:val="32"/>
          <w:lang w:eastAsia="zh-CN"/>
        </w:rPr>
      </w:pPr>
    </w:p>
    <w:p w14:paraId="288EFD8B">
      <w:pPr>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附件3</w:t>
      </w:r>
    </w:p>
    <w:p w14:paraId="61A93FEC">
      <w:pPr>
        <w:pStyle w:val="4"/>
        <w:bidi w:val="0"/>
        <w:rPr>
          <w:rFonts w:hint="eastAsia"/>
          <w:lang w:eastAsia="zh-CN"/>
        </w:rPr>
      </w:pPr>
      <w:r>
        <w:rPr>
          <w:rFonts w:hint="eastAsia"/>
          <w:lang w:eastAsia="zh-CN"/>
        </w:rPr>
        <w:t>农产品仓储保鲜冷链物流设施建设项目</w:t>
      </w:r>
    </w:p>
    <w:p w14:paraId="54B313EF">
      <w:pPr>
        <w:pStyle w:val="4"/>
        <w:bidi w:val="0"/>
        <w:rPr>
          <w:rFonts w:hint="eastAsia"/>
          <w:lang w:eastAsia="zh-CN"/>
        </w:rPr>
      </w:pPr>
      <w:r>
        <w:rPr>
          <w:rFonts w:hint="eastAsia"/>
          <w:lang w:eastAsia="zh-CN"/>
        </w:rPr>
        <w:t>管理工作注意事项</w:t>
      </w:r>
    </w:p>
    <w:p w14:paraId="3F0E718D">
      <w:pPr>
        <w:ind w:firstLine="640" w:firstLineChars="200"/>
        <w:rPr>
          <w:rFonts w:hint="eastAsia" w:ascii="Times New Roman" w:hAnsi="Times New Roman" w:eastAsia="仿宋_GB2312" w:cs="Times New Roman"/>
          <w:sz w:val="32"/>
          <w:szCs w:val="32"/>
          <w:lang w:eastAsia="zh-CN"/>
        </w:rPr>
      </w:pPr>
    </w:p>
    <w:p w14:paraId="35B991CB">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1.建设主体应有建设需求、有建设所需合法用地。</w:t>
      </w:r>
    </w:p>
    <w:p w14:paraId="687F21F3">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2.建设主体需对项目及资料的真实性、完整性和有效性负责，并承担相关法律责任。</w:t>
      </w:r>
    </w:p>
    <w:p w14:paraId="5C0D6137">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3.建设主体需选择具有专业资质的施工单位开展建设，需保证资质取得单位、合同签订单位、收款单位、发票开具单位一致。</w:t>
      </w:r>
    </w:p>
    <w:p w14:paraId="44AE038F">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4.项目施工发票的开具应符合税务部门对项目施工发票的开票要求，税收分类编码应为建筑施工，备注项目名称和项目地点。材料设备购置发票的开具应对各项采购材料设备明细分条列项，备注项目名称和项目地点。发票及发票清单明细应与合同所附采购清单一致。</w:t>
      </w:r>
    </w:p>
    <w:p w14:paraId="0D4CB6F0">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5.要求第三方机构验收时对发票真伪查询资料、银行付款凭证真伪查询资料及银行流水资料进行归档。</w:t>
      </w:r>
    </w:p>
    <w:p w14:paraId="1EDBBE61">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6.新购置冷藏运输车辆纳入奖补资金的范围仅包括车辆购买价款，其他如冷藏装置加装费用、购置税、保险、服务费等不纳入奖补和总投资范围。</w:t>
      </w:r>
    </w:p>
    <w:p w14:paraId="0045E74D">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7.将冷库主体的基础设施建设纳入配套设施范畴。生活、办公等非生产用建设以及利用原有的设施设备、基础建设等不纳入奖补和总投资范围。</w:t>
      </w:r>
    </w:p>
    <w:p w14:paraId="695CD69A">
      <w:pPr>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附件</w:t>
      </w:r>
      <w:r>
        <w:rPr>
          <w:rFonts w:hint="eastAsia" w:ascii="Times New Roman" w:hAnsi="Times New Roman" w:eastAsia="仿宋_GB2312" w:cs="Times New Roman"/>
          <w:sz w:val="32"/>
          <w:szCs w:val="32"/>
          <w:lang w:val="en-US" w:eastAsia="zh-CN"/>
        </w:rPr>
        <w:t>4</w:t>
      </w:r>
    </w:p>
    <w:p w14:paraId="053B0329">
      <w:r>
        <w:drawing>
          <wp:inline distT="0" distB="0" distL="114300" distR="114300">
            <wp:extent cx="7748905" cy="5480050"/>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rot="16200000">
                      <a:off x="0" y="0"/>
                      <a:ext cx="7748905" cy="5480050"/>
                    </a:xfrm>
                    <a:prstGeom prst="rect">
                      <a:avLst/>
                    </a:prstGeom>
                    <a:noFill/>
                    <a:ln>
                      <a:noFill/>
                    </a:ln>
                  </pic:spPr>
                </pic:pic>
              </a:graphicData>
            </a:graphic>
          </wp:inline>
        </w:drawing>
      </w:r>
    </w:p>
    <w:p w14:paraId="4E720993">
      <w:pPr>
        <w:pStyle w:val="2"/>
      </w:pPr>
      <w:r>
        <w:drawing>
          <wp:inline distT="0" distB="0" distL="114300" distR="114300">
            <wp:extent cx="7687310" cy="5435600"/>
            <wp:effectExtent l="0" t="0" r="1270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rot="16200000">
                      <a:off x="0" y="0"/>
                      <a:ext cx="7687310" cy="5435600"/>
                    </a:xfrm>
                    <a:prstGeom prst="rect">
                      <a:avLst/>
                    </a:prstGeom>
                    <a:noFill/>
                    <a:ln>
                      <a:noFill/>
                    </a:ln>
                  </pic:spPr>
                </pic:pic>
              </a:graphicData>
            </a:graphic>
          </wp:inline>
        </w:drawing>
      </w:r>
    </w:p>
    <w:p w14:paraId="3F023E3F">
      <w:pPr>
        <w:pStyle w:val="3"/>
        <w:rPr>
          <w:rFonts w:hint="eastAsia"/>
          <w:lang w:eastAsia="zh-CN"/>
        </w:rPr>
      </w:pPr>
    </w:p>
    <w:p w14:paraId="6DC1FDAF">
      <w:pPr>
        <w:rPr>
          <w:rFonts w:hint="eastAsia"/>
          <w:lang w:eastAsia="zh-CN"/>
        </w:rPr>
      </w:pPr>
    </w:p>
    <w:p w14:paraId="55F8275C">
      <w:pPr>
        <w:pStyle w:val="2"/>
        <w:rPr>
          <w:rFonts w:hint="eastAsia"/>
          <w:lang w:eastAsia="zh-CN"/>
        </w:rPr>
      </w:pPr>
      <w:r>
        <w:drawing>
          <wp:inline distT="0" distB="0" distL="114300" distR="114300">
            <wp:extent cx="7498080" cy="5302885"/>
            <wp:effectExtent l="0" t="0" r="1206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rot="16200000">
                      <a:off x="0" y="0"/>
                      <a:ext cx="7498080" cy="5302885"/>
                    </a:xfrm>
                    <a:prstGeom prst="rect">
                      <a:avLst/>
                    </a:prstGeom>
                    <a:noFill/>
                    <a:ln>
                      <a:noFill/>
                    </a:ln>
                  </pic:spPr>
                </pic:pic>
              </a:graphicData>
            </a:graphic>
          </wp:inline>
        </w:drawing>
      </w:r>
    </w:p>
    <w:p w14:paraId="13893F86">
      <w:pPr>
        <w:pStyle w:val="3"/>
        <w:rPr>
          <w:rFonts w:hint="eastAsia"/>
          <w:lang w:eastAsia="zh-CN"/>
        </w:rPr>
      </w:pPr>
    </w:p>
    <w:p w14:paraId="35B5E300">
      <w:pPr>
        <w:rPr>
          <w:rFonts w:hint="eastAsia"/>
          <w:lang w:eastAsia="zh-CN"/>
        </w:rPr>
      </w:pPr>
    </w:p>
    <w:p w14:paraId="071FFB01">
      <w:pPr>
        <w:pStyle w:val="3"/>
        <w:ind w:left="0" w:leftChars="0" w:firstLine="0" w:firstLineChars="0"/>
        <w:rPr>
          <w:rFonts w:hint="eastAsia"/>
          <w:lang w:eastAsia="zh-CN"/>
        </w:rPr>
      </w:pPr>
    </w:p>
    <w:p w14:paraId="3E28D345">
      <w:pPr>
        <w:rPr>
          <w:rFonts w:hint="eastAsia"/>
          <w:lang w:eastAsia="zh-CN"/>
        </w:rPr>
      </w:pPr>
    </w:p>
    <w:p w14:paraId="2CB3BA24">
      <w:pPr>
        <w:pStyle w:val="2"/>
      </w:pPr>
      <w:r>
        <w:drawing>
          <wp:inline distT="0" distB="0" distL="114300" distR="114300">
            <wp:extent cx="7480300" cy="5289550"/>
            <wp:effectExtent l="0" t="0" r="635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rot="16200000">
                      <a:off x="0" y="0"/>
                      <a:ext cx="7480300" cy="5289550"/>
                    </a:xfrm>
                    <a:prstGeom prst="rect">
                      <a:avLst/>
                    </a:prstGeom>
                    <a:noFill/>
                    <a:ln>
                      <a:noFill/>
                    </a:ln>
                  </pic:spPr>
                </pic:pic>
              </a:graphicData>
            </a:graphic>
          </wp:inline>
        </w:drawing>
      </w:r>
    </w:p>
    <w:p w14:paraId="6AFE213F">
      <w:pPr>
        <w:pStyle w:val="3"/>
      </w:pPr>
    </w:p>
    <w:p w14:paraId="1A094B8D"/>
    <w:p w14:paraId="29FE36C0">
      <w:pPr>
        <w:pStyle w:val="2"/>
      </w:pPr>
      <w:r>
        <w:drawing>
          <wp:inline distT="0" distB="0" distL="114300" distR="114300">
            <wp:extent cx="7436485" cy="5259070"/>
            <wp:effectExtent l="0" t="0" r="17780"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rot="16200000">
                      <a:off x="0" y="0"/>
                      <a:ext cx="7436485" cy="5259070"/>
                    </a:xfrm>
                    <a:prstGeom prst="rect">
                      <a:avLst/>
                    </a:prstGeom>
                    <a:noFill/>
                    <a:ln>
                      <a:noFill/>
                    </a:ln>
                  </pic:spPr>
                </pic:pic>
              </a:graphicData>
            </a:graphic>
          </wp:inline>
        </w:drawing>
      </w:r>
    </w:p>
    <w:p w14:paraId="33DB4CE4">
      <w:pPr>
        <w:pStyle w:val="3"/>
        <w:ind w:left="0" w:leftChars="0" w:firstLine="0" w:firstLineChars="0"/>
        <w:rPr>
          <w:rFonts w:hint="eastAsia"/>
          <w:lang w:eastAsia="zh-CN"/>
        </w:rPr>
      </w:pPr>
    </w:p>
    <w:p w14:paraId="5C6C3219">
      <w:pPr>
        <w:rPr>
          <w:rFonts w:hint="eastAsia"/>
          <w:lang w:eastAsia="zh-CN"/>
        </w:rPr>
      </w:pPr>
    </w:p>
    <w:p w14:paraId="6905977A">
      <w:pPr>
        <w:pStyle w:val="2"/>
        <w:rPr>
          <w:rFonts w:hint="eastAsia"/>
          <w:lang w:eastAsia="zh-CN"/>
        </w:rPr>
      </w:pPr>
      <w:r>
        <w:drawing>
          <wp:inline distT="0" distB="0" distL="114300" distR="114300">
            <wp:extent cx="6730365" cy="4759325"/>
            <wp:effectExtent l="0" t="0" r="3175" b="133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rot="16200000">
                      <a:off x="0" y="0"/>
                      <a:ext cx="6730365" cy="4759325"/>
                    </a:xfrm>
                    <a:prstGeom prst="rect">
                      <a:avLst/>
                    </a:prstGeom>
                    <a:noFill/>
                    <a:ln>
                      <a:noFill/>
                    </a:ln>
                  </pic:spPr>
                </pic:pic>
              </a:graphicData>
            </a:graphic>
          </wp:inline>
        </w:drawing>
      </w:r>
    </w:p>
    <w:p w14:paraId="5E9B2994">
      <w:pPr>
        <w:pStyle w:val="3"/>
        <w:rPr>
          <w:rFonts w:hint="eastAsia"/>
          <w:lang w:eastAsia="zh-CN"/>
        </w:rPr>
      </w:pPr>
    </w:p>
    <w:p w14:paraId="347BE6FF">
      <w:pPr>
        <w:rPr>
          <w:rFonts w:hint="eastAsia"/>
          <w:lang w:eastAsia="zh-CN"/>
        </w:rPr>
      </w:pPr>
    </w:p>
    <w:p w14:paraId="007CB9F5">
      <w:pPr>
        <w:pStyle w:val="2"/>
        <w:rPr>
          <w:rFonts w:hint="eastAsia"/>
          <w:lang w:eastAsia="zh-CN"/>
        </w:rPr>
      </w:pPr>
    </w:p>
    <w:p w14:paraId="0CCC86BE">
      <w:pPr>
        <w:pStyle w:val="3"/>
        <w:rPr>
          <w:rFonts w:hint="eastAsia"/>
          <w:lang w:eastAsia="zh-CN"/>
        </w:rPr>
      </w:pPr>
    </w:p>
    <w:p w14:paraId="4388FA92">
      <w:pPr>
        <w:rPr>
          <w:rFonts w:hint="eastAsia"/>
          <w:lang w:eastAsia="zh-CN"/>
        </w:rPr>
      </w:pPr>
    </w:p>
    <w:p w14:paraId="4A636EDE">
      <w:pPr>
        <w:pStyle w:val="2"/>
      </w:pPr>
      <w:r>
        <w:drawing>
          <wp:inline distT="0" distB="0" distL="114300" distR="114300">
            <wp:extent cx="7129780" cy="5041265"/>
            <wp:effectExtent l="0" t="0" r="6985"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rot="16200000">
                      <a:off x="0" y="0"/>
                      <a:ext cx="7129780" cy="5041265"/>
                    </a:xfrm>
                    <a:prstGeom prst="rect">
                      <a:avLst/>
                    </a:prstGeom>
                    <a:noFill/>
                    <a:ln>
                      <a:noFill/>
                    </a:ln>
                  </pic:spPr>
                </pic:pic>
              </a:graphicData>
            </a:graphic>
          </wp:inline>
        </w:drawing>
      </w:r>
    </w:p>
    <w:p w14:paraId="1793F441">
      <w:pPr>
        <w:pStyle w:val="3"/>
      </w:pPr>
    </w:p>
    <w:p w14:paraId="46979A32"/>
    <w:p w14:paraId="32BFF079">
      <w:pPr>
        <w:pStyle w:val="2"/>
      </w:pPr>
    </w:p>
    <w:p w14:paraId="4ED024A7">
      <w:pPr>
        <w:pStyle w:val="3"/>
      </w:pPr>
    </w:p>
    <w:p w14:paraId="68033916">
      <w:pPr>
        <w:rPr>
          <w:rFonts w:hint="eastAsia"/>
          <w:lang w:eastAsia="zh-CN"/>
        </w:rPr>
      </w:pPr>
      <w:r>
        <w:drawing>
          <wp:inline distT="0" distB="0" distL="114300" distR="114300">
            <wp:extent cx="7707630" cy="5450840"/>
            <wp:effectExtent l="0" t="0" r="16510" b="762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rot="16200000">
                      <a:off x="0" y="0"/>
                      <a:ext cx="7707630" cy="5450840"/>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E505">
    <w:pPr>
      <w:spacing w:line="183" w:lineRule="auto"/>
      <w:ind w:left="4340"/>
      <w:rPr>
        <w:rFonts w:ascii="宋体" w:hAnsi="宋体" w:eastAsia="宋体" w:cs="宋体"/>
        <w:sz w:val="14"/>
        <w:szCs w:val="14"/>
      </w:rPr>
    </w:pPr>
  </w:p>
  <w:p w14:paraId="7A6B0DE9">
    <w:pPr>
      <w:spacing w:line="183" w:lineRule="auto"/>
      <w:ind w:left="4340"/>
      <w:rPr>
        <w:rFonts w:ascii="宋体" w:hAnsi="宋体" w:eastAsia="宋体" w:cs="宋体"/>
        <w:sz w:val="14"/>
        <w:szCs w:val="14"/>
      </w:rPr>
    </w:pPr>
  </w:p>
  <w:p w14:paraId="563CE10B">
    <w:pPr>
      <w:spacing w:line="183" w:lineRule="auto"/>
      <w:ind w:left="4340"/>
      <w:rPr>
        <w:rFonts w:ascii="宋体" w:hAnsi="宋体" w:eastAsia="宋体" w:cs="宋体"/>
        <w:sz w:val="14"/>
        <w:szCs w:val="14"/>
      </w:rPr>
    </w:pPr>
    <w:r>
      <w:rPr>
        <w:sz w:val="14"/>
      </w:rPr>
      <mc:AlternateContent>
        <mc:Choice Requires="wps">
          <w:drawing>
            <wp:anchor distT="0" distB="0" distL="114300" distR="114300" simplePos="0" relativeHeight="251659264" behindDoc="0" locked="0" layoutInCell="1" allowOverlap="1">
              <wp:simplePos x="0" y="0"/>
              <wp:positionH relativeFrom="margin">
                <wp:posOffset>4431030</wp:posOffset>
              </wp:positionH>
              <wp:positionV relativeFrom="paragraph">
                <wp:posOffset>72390</wp:posOffset>
              </wp:positionV>
              <wp:extent cx="1828800" cy="291465"/>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CDFD0">
                          <w:pPr>
                            <w:pStyle w:val="5"/>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w:t>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  \* MERGEFORMAT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t xml:space="preserve"> —</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48.9pt;margin-top:5.7pt;height:22.95pt;width:144pt;mso-position-horizontal-relative:margin;mso-wrap-style:none;z-index:251659264;mso-width-relative:page;mso-height-relative:page;" filled="f" stroked="f" coordsize="21600,21600" o:gfxdata="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36aXtkAAAAJAQAADwAAAAAAAAABACAAAAAiAAAAZHJzL2Rvd25y&#10;ZXYueG1sUEsBAhQAFAAAAAgAh07iQEzjHzc2AgAAYAQAAA4AAAAAAAAAAQAgAAAAKAEAAGRycy9l&#10;Mm9Eb2MueG1sUEsFBgAAAAAGAAYAWQEAANAFAAAAAA==&#10;">
              <v:fill on="f" focussize="0,0"/>
              <v:stroke on="f" weight="0.5pt"/>
              <v:imagedata o:title=""/>
              <o:lock v:ext="edit" aspectratio="f"/>
              <v:textbox inset="0mm,0mm,0mm,0mm">
                <w:txbxContent>
                  <w:p w14:paraId="55FCDFD0">
                    <w:pPr>
                      <w:pStyle w:val="5"/>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w:t>
                    </w:r>
                    <w:r>
                      <w:rPr>
                        <w:rFonts w:hint="eastAsia" w:asciiTheme="minorEastAsia" w:hAnsiTheme="minorEastAsia" w:eastAsiaTheme="minorEastAsia" w:cstheme="minorEastAsia"/>
                        <w:sz w:val="24"/>
                        <w:szCs w:val="32"/>
                      </w:rPr>
                      <w:fldChar w:fldCharType="begin"/>
                    </w:r>
                    <w:r>
                      <w:rPr>
                        <w:rFonts w:hint="eastAsia" w:asciiTheme="minorEastAsia" w:hAnsiTheme="minorEastAsia" w:eastAsiaTheme="minorEastAsia" w:cstheme="minorEastAsia"/>
                        <w:sz w:val="24"/>
                        <w:szCs w:val="32"/>
                      </w:rPr>
                      <w:instrText xml:space="preserve"> PAGE  \* MERGEFORMAT </w:instrText>
                    </w:r>
                    <w:r>
                      <w:rPr>
                        <w:rFonts w:hint="eastAsia" w:asciiTheme="minorEastAsia" w:hAnsiTheme="minorEastAsia" w:eastAsiaTheme="minorEastAsia" w:cstheme="minorEastAsia"/>
                        <w:sz w:val="24"/>
                        <w:szCs w:val="32"/>
                      </w:rPr>
                      <w:fldChar w:fldCharType="separate"/>
                    </w:r>
                    <w:r>
                      <w:rPr>
                        <w:rFonts w:hint="eastAsia" w:asciiTheme="minorEastAsia" w:hAnsiTheme="minorEastAsia" w:eastAsiaTheme="minorEastAsia" w:cstheme="minorEastAsia"/>
                        <w:sz w:val="24"/>
                        <w:szCs w:val="32"/>
                      </w:rPr>
                      <w:t>1</w:t>
                    </w:r>
                    <w:r>
                      <w:rPr>
                        <w:rFonts w:hint="eastAsia" w:asciiTheme="minorEastAsia" w:hAnsiTheme="minorEastAsia" w:eastAsiaTheme="minorEastAsia" w:cstheme="minorEastAsia"/>
                        <w:sz w:val="24"/>
                        <w:szCs w:val="32"/>
                      </w:rPr>
                      <w:fldChar w:fldCharType="end"/>
                    </w:r>
                    <w:r>
                      <w:rPr>
                        <w:rFonts w:hint="eastAsia" w:asciiTheme="minorEastAsia" w:hAnsiTheme="minorEastAsia" w:eastAsiaTheme="minorEastAsia" w:cstheme="minorEastAsia"/>
                        <w:sz w:val="24"/>
                        <w:szCs w:val="32"/>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402F1C"/>
    <w:rsid w:val="025832D3"/>
    <w:rsid w:val="04D45E2F"/>
    <w:rsid w:val="069651D4"/>
    <w:rsid w:val="0ADF60D7"/>
    <w:rsid w:val="0C4274CE"/>
    <w:rsid w:val="0C626EA8"/>
    <w:rsid w:val="0F924A55"/>
    <w:rsid w:val="103218A5"/>
    <w:rsid w:val="11C24C0D"/>
    <w:rsid w:val="15A20FDE"/>
    <w:rsid w:val="15AF2412"/>
    <w:rsid w:val="16402F1C"/>
    <w:rsid w:val="18422604"/>
    <w:rsid w:val="18561C0B"/>
    <w:rsid w:val="19110AFA"/>
    <w:rsid w:val="19C2742A"/>
    <w:rsid w:val="260F2D60"/>
    <w:rsid w:val="2B6654A5"/>
    <w:rsid w:val="2C3342E6"/>
    <w:rsid w:val="30F54DC7"/>
    <w:rsid w:val="31F21F8B"/>
    <w:rsid w:val="389E6F8B"/>
    <w:rsid w:val="42A463CD"/>
    <w:rsid w:val="47EC5914"/>
    <w:rsid w:val="49482E17"/>
    <w:rsid w:val="506D5769"/>
    <w:rsid w:val="51053BF3"/>
    <w:rsid w:val="530B38DC"/>
    <w:rsid w:val="5BF705DC"/>
    <w:rsid w:val="5EE414FA"/>
    <w:rsid w:val="60B14C79"/>
    <w:rsid w:val="61B431F8"/>
    <w:rsid w:val="653B778C"/>
    <w:rsid w:val="677D6E6C"/>
    <w:rsid w:val="71DE546D"/>
    <w:rsid w:val="761E1550"/>
    <w:rsid w:val="762B2245"/>
    <w:rsid w:val="7BD04ABB"/>
    <w:rsid w:val="7CB36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val="0"/>
      <w:keepLines w:val="0"/>
      <w:kinsoku w:val="0"/>
      <w:topLinePunct w:val="0"/>
      <w:adjustRightInd w:val="0"/>
      <w:spacing w:line="600" w:lineRule="exact"/>
      <w:ind w:firstLine="0" w:firstLineChars="0"/>
      <w:jc w:val="center"/>
      <w:outlineLvl w:val="0"/>
    </w:pPr>
    <w:rPr>
      <w:rFonts w:ascii="方正小标宋简体" w:hAnsi="方正小标宋简体" w:eastAsia="方正小标宋简体"/>
      <w:bCs/>
      <w:kern w:val="44"/>
      <w:sz w:val="44"/>
      <w:szCs w:val="44"/>
    </w:rPr>
  </w:style>
  <w:style w:type="paragraph" w:styleId="2">
    <w:name w:val="heading 3"/>
    <w:basedOn w:val="3"/>
    <w:next w:val="3"/>
    <w:qFormat/>
    <w:uiPriority w:val="0"/>
    <w:pPr>
      <w:keepNext/>
      <w:keepLines/>
      <w:widowControl w:val="0"/>
      <w:suppressAutoHyphens/>
      <w:spacing w:before="260" w:after="260" w:line="415" w:lineRule="auto"/>
      <w:outlineLvl w:val="2"/>
    </w:pPr>
    <w:rPr>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table of authorities"/>
    <w:basedOn w:val="1"/>
    <w:next w:val="1"/>
    <w:qFormat/>
    <w:uiPriority w:val="0"/>
    <w:pPr>
      <w:ind w:left="200" w:leftChars="200"/>
    </w:p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Normal (Web)"/>
    <w:basedOn w:val="1"/>
    <w:qFormat/>
    <w:uiPriority w:val="0"/>
    <w:pPr>
      <w:spacing w:before="100" w:beforeAutospacing="1" w:after="100" w:afterAutospacing="1"/>
      <w:jc w:val="left"/>
    </w:pPr>
    <w:rPr>
      <w:rFonts w:ascii="宋体" w:hAnsi="宋体" w:eastAsia="宋体" w:cs="宋体"/>
      <w:sz w:val="24"/>
      <w:szCs w:val="24"/>
    </w:r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108ee0-62a3-49d5-b217-39a5c7911d93}">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2746</Words>
  <Characters>2838</Characters>
  <Lines>0</Lines>
  <Paragraphs>0</Paragraphs>
  <TotalTime>26</TotalTime>
  <ScaleCrop>false</ScaleCrop>
  <LinksUpToDate>false</LinksUpToDate>
  <CharactersWithSpaces>2960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2025-03-23T14:13:00Z</dcterms:created>
  <dc:creator>頑猴</dc:creator>
  <cp:lastModifiedBy>✎刹那永久</cp:lastModifiedBy>
  <dcterms:modified xsi:type="dcterms:W3CDTF">2026-04-21T09:43:41Z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FC1F09A2D08243A3A4B8EBA3AB9140D9_13</vt:lpwstr>
  </property>
  <property fmtid="{D5CDD505-2E9C-101B-9397-08002B2CF9AE}" pid="4" name="KSOTemplateDocerSaveRecord">
    <vt:lpwstr>eyJoZGlkIjoiMGUwNWEyM2FlNjRhNGU2OTM2ZmVmMGUyYmY5ZGUxMjIiLCJ1c2VySWQiOiIzNjQ3MzM2ODQifQ==</vt:lpwstr>
  </property>
</Properties>
</file>