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61B533">
      <w:pPr>
        <w:ind w:firstLine="0" w:firstLineChars="0"/>
        <w:jc w:val="center"/>
        <w:rPr>
          <w:rFonts w:ascii="黑体" w:hAnsi="黑体" w:eastAsia="黑体"/>
          <w:b/>
          <w:color w:val="auto"/>
          <w:sz w:val="96"/>
          <w:szCs w:val="96"/>
        </w:rPr>
      </w:pPr>
      <w:bookmarkStart w:id="0" w:name="_Toc27657"/>
      <w:bookmarkStart w:id="1" w:name="_Toc21686400"/>
      <w:bookmarkStart w:id="2" w:name="_Toc12432"/>
      <w:bookmarkStart w:id="3" w:name="_Toc28164"/>
      <w:bookmarkStart w:id="4" w:name="_Toc937189045"/>
      <w:r>
        <w:rPr>
          <w:rFonts w:hint="eastAsia" w:ascii="黑体" w:hAnsi="黑体" w:eastAsia="黑体"/>
          <w:b/>
          <w:color w:val="auto"/>
          <w:sz w:val="96"/>
          <w:szCs w:val="96"/>
        </w:rPr>
        <w:t>武汉市东西湖区</w:t>
      </w:r>
    </w:p>
    <w:p w14:paraId="1B7C6A64">
      <w:pPr>
        <w:ind w:firstLine="0" w:firstLineChars="0"/>
        <w:jc w:val="center"/>
        <w:rPr>
          <w:rFonts w:ascii="黑体" w:hAnsi="黑体" w:eastAsia="黑体"/>
          <w:b/>
          <w:color w:val="auto"/>
          <w:sz w:val="96"/>
          <w:szCs w:val="96"/>
        </w:rPr>
      </w:pPr>
      <w:r>
        <w:rPr>
          <w:rFonts w:hint="eastAsia" w:ascii="黑体" w:hAnsi="黑体" w:eastAsia="黑体"/>
          <w:b/>
          <w:color w:val="auto"/>
          <w:sz w:val="96"/>
          <w:szCs w:val="96"/>
        </w:rPr>
        <w:t>区级政府采购</w:t>
      </w:r>
    </w:p>
    <w:p w14:paraId="074F2CCE">
      <w:pPr>
        <w:ind w:firstLine="1920"/>
        <w:jc w:val="right"/>
        <w:rPr>
          <w:rFonts w:ascii="黑体" w:hAnsi="黑体" w:eastAsia="黑体"/>
          <w:color w:val="auto"/>
          <w:sz w:val="96"/>
          <w:szCs w:val="96"/>
        </w:rPr>
      </w:pPr>
    </w:p>
    <w:p w14:paraId="715E71EB">
      <w:pPr>
        <w:ind w:firstLine="1928"/>
        <w:rPr>
          <w:rFonts w:ascii="黑体" w:hAnsi="黑体" w:eastAsia="黑体"/>
          <w:b/>
          <w:color w:val="auto"/>
          <w:sz w:val="96"/>
          <w:szCs w:val="96"/>
        </w:rPr>
      </w:pPr>
      <w:r>
        <w:rPr>
          <w:rFonts w:hint="eastAsia" w:ascii="黑体" w:hAnsi="黑体" w:eastAsia="黑体"/>
          <w:b/>
          <w:color w:val="auto"/>
          <w:sz w:val="96"/>
          <w:szCs w:val="96"/>
        </w:rPr>
        <w:t>采购需求文件</w:t>
      </w:r>
    </w:p>
    <w:p w14:paraId="36083E70">
      <w:pPr>
        <w:ind w:firstLine="1440"/>
        <w:jc w:val="right"/>
        <w:rPr>
          <w:rFonts w:ascii="黑体" w:hAnsi="黑体" w:eastAsia="黑体"/>
          <w:color w:val="auto"/>
          <w:sz w:val="72"/>
          <w:szCs w:val="72"/>
        </w:rPr>
      </w:pPr>
    </w:p>
    <w:p w14:paraId="0D661DF6">
      <w:pPr>
        <w:ind w:right="1306" w:rightChars="622" w:firstLine="1080" w:firstLineChars="300"/>
        <w:rPr>
          <w:rFonts w:hint="default" w:ascii="宋体" w:hAnsi="宋体" w:eastAsiaTheme="minorEastAsia"/>
          <w:color w:val="auto"/>
          <w:sz w:val="36"/>
          <w:szCs w:val="36"/>
          <w:lang w:val="en-US" w:eastAsia="zh-CN"/>
        </w:rPr>
      </w:pPr>
      <w:r>
        <w:rPr>
          <w:rFonts w:hint="eastAsia" w:ascii="宋体" w:hAnsi="宋体"/>
          <w:b/>
          <w:color w:val="auto"/>
          <w:sz w:val="36"/>
          <w:szCs w:val="36"/>
        </w:rPr>
        <w:t>计划编号：</w:t>
      </w:r>
      <w:r>
        <w:rPr>
          <w:rFonts w:hint="eastAsia" w:ascii="宋体" w:hAnsi="宋体"/>
          <w:b/>
          <w:color w:val="auto"/>
          <w:sz w:val="36"/>
          <w:szCs w:val="36"/>
          <w:lang w:val="en-US" w:eastAsia="zh-CN"/>
        </w:rPr>
        <w:t>420112-2026-02170</w:t>
      </w:r>
    </w:p>
    <w:p w14:paraId="3AA8F034">
      <w:pPr>
        <w:ind w:left="2891" w:right="735" w:rightChars="350" w:hanging="2880" w:hangingChars="800"/>
        <w:rPr>
          <w:rFonts w:hint="eastAsia" w:ascii="宋体" w:hAnsi="宋体"/>
          <w:b/>
          <w:color w:val="auto"/>
          <w:sz w:val="36"/>
          <w:szCs w:val="36"/>
        </w:rPr>
      </w:pPr>
      <w:r>
        <w:rPr>
          <w:rFonts w:hint="eastAsia" w:ascii="宋体" w:hAnsi="宋体"/>
          <w:b/>
          <w:color w:val="auto"/>
          <w:sz w:val="36"/>
          <w:szCs w:val="36"/>
        </w:rPr>
        <w:t xml:space="preserve">      </w:t>
      </w:r>
    </w:p>
    <w:p w14:paraId="1B0975FA">
      <w:pPr>
        <w:ind w:left="2877" w:leftChars="513" w:right="735" w:rightChars="350" w:hanging="1800" w:hangingChars="500"/>
        <w:rPr>
          <w:rFonts w:ascii="宋体" w:hAnsi="宋体"/>
          <w:color w:val="auto"/>
          <w:sz w:val="36"/>
          <w:szCs w:val="36"/>
        </w:rPr>
      </w:pPr>
      <w:r>
        <w:rPr>
          <w:rFonts w:hint="eastAsia" w:ascii="宋体" w:hAnsi="宋体"/>
          <w:b/>
          <w:color w:val="auto"/>
          <w:sz w:val="36"/>
          <w:szCs w:val="36"/>
        </w:rPr>
        <w:t>项目名称：武汉市东西湖区教育局学校互联网接入服务公开招标采购项目</w:t>
      </w:r>
    </w:p>
    <w:p w14:paraId="2FB724A9">
      <w:pPr>
        <w:ind w:left="2878" w:leftChars="342" w:right="735" w:rightChars="350" w:hanging="2160" w:hangingChars="600"/>
        <w:rPr>
          <w:rFonts w:hint="eastAsia" w:ascii="宋体" w:hAnsi="宋体"/>
          <w:b/>
          <w:color w:val="auto"/>
          <w:sz w:val="36"/>
          <w:szCs w:val="36"/>
        </w:rPr>
      </w:pPr>
      <w:r>
        <w:rPr>
          <w:rFonts w:hint="eastAsia" w:ascii="宋体" w:hAnsi="宋体"/>
          <w:b/>
          <w:color w:val="auto"/>
          <w:sz w:val="36"/>
          <w:szCs w:val="36"/>
        </w:rPr>
        <w:t xml:space="preserve">  </w:t>
      </w:r>
    </w:p>
    <w:p w14:paraId="2077D1C3">
      <w:pPr>
        <w:ind w:left="2877" w:leftChars="513" w:right="735" w:rightChars="350" w:hanging="1800" w:hangingChars="500"/>
        <w:rPr>
          <w:rFonts w:hint="default" w:ascii="宋体" w:hAnsi="宋体" w:eastAsiaTheme="minorEastAsia"/>
          <w:color w:val="auto"/>
          <w:sz w:val="36"/>
          <w:szCs w:val="36"/>
          <w:lang w:val="en-US" w:eastAsia="zh-CN"/>
        </w:rPr>
      </w:pPr>
      <w:r>
        <w:rPr>
          <w:rFonts w:hint="eastAsia" w:ascii="宋体" w:hAnsi="宋体"/>
          <w:b/>
          <w:color w:val="auto"/>
          <w:sz w:val="36"/>
          <w:szCs w:val="36"/>
        </w:rPr>
        <w:t>招标内容：互联网接入服务</w:t>
      </w:r>
    </w:p>
    <w:p w14:paraId="5BF7E0B6">
      <w:pPr>
        <w:ind w:firstLine="0" w:firstLineChars="0"/>
        <w:jc w:val="both"/>
        <w:rPr>
          <w:rFonts w:ascii="黑体" w:hAnsi="黑体" w:eastAsia="黑体"/>
          <w:color w:val="auto"/>
          <w:sz w:val="72"/>
          <w:szCs w:val="72"/>
        </w:rPr>
      </w:pPr>
    </w:p>
    <w:p w14:paraId="42CD5594">
      <w:pPr>
        <w:ind w:firstLine="1598" w:firstLineChars="444"/>
        <w:jc w:val="both"/>
        <w:rPr>
          <w:rFonts w:hint="eastAsia" w:ascii="宋体" w:hAnsi="宋体" w:cs="Times New Roman"/>
          <w:color w:val="auto"/>
          <w:sz w:val="36"/>
          <w:szCs w:val="36"/>
          <w:lang w:val="en-US" w:eastAsia="zh-CN"/>
        </w:rPr>
      </w:pPr>
      <w:r>
        <w:rPr>
          <w:rFonts w:ascii="宋体" w:hAnsi="宋体"/>
          <w:b/>
          <w:color w:val="auto"/>
          <w:sz w:val="36"/>
          <w:szCs w:val="36"/>
        </w:rPr>
        <w:t>采购人名称：</w:t>
      </w:r>
      <w:r>
        <w:rPr>
          <w:rFonts w:hint="eastAsia" w:ascii="宋体" w:hAnsi="宋体"/>
          <w:b/>
          <w:color w:val="auto"/>
          <w:sz w:val="36"/>
          <w:szCs w:val="36"/>
        </w:rPr>
        <w:t>武汉市东西湖区教育局</w:t>
      </w:r>
    </w:p>
    <w:p w14:paraId="7E69506D">
      <w:pPr>
        <w:pStyle w:val="3"/>
        <w:rPr>
          <w:rFonts w:hint="default"/>
          <w:color w:val="auto"/>
          <w:lang w:val="en-US"/>
        </w:rPr>
      </w:pPr>
    </w:p>
    <w:p w14:paraId="5D8AAB13">
      <w:pPr>
        <w:ind w:firstLine="1958" w:firstLineChars="544"/>
        <w:jc w:val="both"/>
        <w:rPr>
          <w:rFonts w:hint="default" w:ascii="宋体" w:hAnsi="宋体" w:eastAsiaTheme="minorEastAsia"/>
          <w:b/>
          <w:color w:val="auto"/>
          <w:sz w:val="36"/>
          <w:szCs w:val="36"/>
          <w:lang w:val="en-US" w:eastAsia="zh-CN"/>
        </w:rPr>
      </w:pPr>
      <w:r>
        <w:rPr>
          <w:rFonts w:hint="eastAsia" w:ascii="宋体" w:hAnsi="宋体"/>
          <w:b/>
          <w:color w:val="auto"/>
          <w:sz w:val="36"/>
          <w:szCs w:val="36"/>
        </w:rPr>
        <w:t>提交时间：</w:t>
      </w:r>
      <w:r>
        <w:rPr>
          <w:rFonts w:hint="eastAsia" w:ascii="宋体" w:hAnsi="宋体"/>
          <w:b/>
          <w:color w:val="auto"/>
          <w:sz w:val="36"/>
          <w:szCs w:val="36"/>
          <w:lang w:val="en-US" w:eastAsia="zh-CN"/>
        </w:rPr>
        <w:t>2026年7月</w:t>
      </w:r>
    </w:p>
    <w:p w14:paraId="26A368FA">
      <w:pPr>
        <w:pStyle w:val="2"/>
        <w:spacing w:before="156" w:beforeLines="50" w:after="156" w:afterLines="50" w:line="360" w:lineRule="auto"/>
        <w:jc w:val="center"/>
        <w:rPr>
          <w:rFonts w:hint="eastAsia" w:asciiTheme="minorEastAsia" w:hAnsiTheme="minorEastAsia"/>
          <w:color w:val="auto"/>
          <w:sz w:val="36"/>
          <w:szCs w:val="36"/>
          <w:highlight w:val="none"/>
        </w:rPr>
      </w:pPr>
    </w:p>
    <w:p w14:paraId="4E0A6212">
      <w:pPr>
        <w:rPr>
          <w:rFonts w:hint="eastAsia" w:ascii="黑体" w:hAnsi="黑体" w:eastAsia="黑体"/>
          <w:b/>
          <w:color w:val="auto"/>
          <w:sz w:val="36"/>
          <w:szCs w:val="36"/>
        </w:rPr>
      </w:pPr>
      <w:r>
        <w:rPr>
          <w:rFonts w:hint="eastAsia" w:ascii="黑体" w:hAnsi="黑体" w:eastAsia="黑体"/>
          <w:b/>
          <w:color w:val="auto"/>
          <w:sz w:val="36"/>
          <w:szCs w:val="36"/>
        </w:rPr>
        <w:br w:type="page"/>
      </w:r>
    </w:p>
    <w:p w14:paraId="44B6EEFF">
      <w:pPr>
        <w:ind w:firstLine="723"/>
        <w:jc w:val="center"/>
        <w:rPr>
          <w:rFonts w:hint="eastAsia" w:ascii="黑体" w:hAnsi="黑体" w:eastAsia="黑体"/>
          <w:b/>
          <w:color w:val="auto"/>
          <w:sz w:val="36"/>
          <w:szCs w:val="36"/>
        </w:rPr>
      </w:pPr>
      <w:r>
        <w:rPr>
          <w:rFonts w:hint="eastAsia" w:ascii="黑体" w:hAnsi="黑体" w:eastAsia="黑体"/>
          <w:b/>
          <w:color w:val="auto"/>
          <w:sz w:val="36"/>
          <w:szCs w:val="36"/>
        </w:rPr>
        <w:t>采购需求</w:t>
      </w:r>
    </w:p>
    <w:p w14:paraId="798673AB">
      <w:pPr>
        <w:keepNext w:val="0"/>
        <w:keepLines w:val="0"/>
        <w:pageBreakBefore w:val="0"/>
        <w:widowControl w:val="0"/>
        <w:kinsoku/>
        <w:wordWrap/>
        <w:overflowPunct/>
        <w:topLinePunct w:val="0"/>
        <w:autoSpaceDE/>
        <w:autoSpaceDN/>
        <w:bidi w:val="0"/>
        <w:adjustRightInd/>
        <w:snapToGrid/>
        <w:spacing w:line="360" w:lineRule="auto"/>
        <w:ind w:firstLine="726"/>
        <w:jc w:val="left"/>
        <w:textAlignment w:val="auto"/>
        <w:rPr>
          <w:rFonts w:ascii="宋体" w:hAnsi="宋体"/>
          <w:color w:val="auto"/>
          <w:sz w:val="24"/>
          <w:szCs w:val="24"/>
        </w:rPr>
      </w:pPr>
      <w:r>
        <w:rPr>
          <w:rFonts w:ascii="宋体" w:hAnsi="宋体"/>
          <w:color w:val="auto"/>
          <w:sz w:val="24"/>
          <w:szCs w:val="24"/>
        </w:rPr>
        <w:t>依据</w:t>
      </w:r>
      <w:r>
        <w:rPr>
          <w:rFonts w:hint="eastAsia" w:ascii="宋体" w:hAnsi="宋体" w:cs="宋体"/>
          <w:color w:val="auto"/>
          <w:kern w:val="0"/>
          <w:sz w:val="24"/>
          <w:szCs w:val="24"/>
          <w:shd w:val="clear" w:color="auto" w:fill="FFFFFF"/>
        </w:rPr>
        <w:t>武汉市东西湖区财政局计划函号</w:t>
      </w:r>
      <w:r>
        <w:rPr>
          <w:rFonts w:hint="eastAsia" w:ascii="宋体" w:hAnsi="宋体"/>
          <w:color w:val="auto"/>
          <w:sz w:val="24"/>
          <w:szCs w:val="24"/>
          <w:u w:val="single"/>
          <w:lang w:val="en-US" w:eastAsia="zh-CN"/>
        </w:rPr>
        <w:t>420112-2026-02170</w:t>
      </w:r>
      <w:r>
        <w:rPr>
          <w:rFonts w:hint="eastAsia" w:ascii="宋体" w:hAnsi="宋体" w:cs="宋体"/>
          <w:color w:val="auto"/>
          <w:kern w:val="0"/>
          <w:sz w:val="24"/>
          <w:szCs w:val="24"/>
          <w:shd w:val="clear" w:color="auto" w:fill="FFFFFF"/>
        </w:rPr>
        <w:t>备案单的要求</w:t>
      </w:r>
      <w:r>
        <w:rPr>
          <w:rFonts w:ascii="宋体" w:hAnsi="宋体"/>
          <w:color w:val="auto"/>
          <w:sz w:val="24"/>
          <w:szCs w:val="24"/>
        </w:rPr>
        <w:t>，</w:t>
      </w:r>
      <w:r>
        <w:rPr>
          <w:rFonts w:hint="eastAsia" w:ascii="宋体" w:hAnsi="宋体"/>
          <w:color w:val="auto"/>
          <w:sz w:val="24"/>
          <w:szCs w:val="24"/>
        </w:rPr>
        <w:t>现委托武汉市东西湖区政府</w:t>
      </w:r>
      <w:r>
        <w:rPr>
          <w:rFonts w:ascii="宋体" w:hAnsi="宋体"/>
          <w:color w:val="auto"/>
          <w:sz w:val="24"/>
          <w:szCs w:val="24"/>
        </w:rPr>
        <w:t>采购中心</w:t>
      </w:r>
      <w:r>
        <w:rPr>
          <w:rFonts w:hint="eastAsia" w:ascii="宋体" w:hAnsi="宋体" w:cs="宋体"/>
          <w:color w:val="auto"/>
          <w:kern w:val="0"/>
          <w:sz w:val="24"/>
          <w:szCs w:val="24"/>
          <w:shd w:val="clear" w:color="auto" w:fill="FFFFFF"/>
        </w:rPr>
        <w:t>就</w:t>
      </w:r>
      <w:r>
        <w:rPr>
          <w:rFonts w:hint="eastAsia" w:ascii="宋体" w:hAnsi="宋体" w:cs="宋体"/>
          <w:color w:val="auto"/>
          <w:kern w:val="0"/>
          <w:sz w:val="24"/>
          <w:szCs w:val="24"/>
          <w:u w:val="single"/>
          <w:shd w:val="clear" w:color="auto" w:fill="FFFFFF"/>
          <w:lang w:val="en-US" w:eastAsia="zh-CN"/>
        </w:rPr>
        <w:t>武汉市东西湖区教育局学校互联网接入服务</w:t>
      </w:r>
      <w:r>
        <w:rPr>
          <w:rFonts w:hint="eastAsia" w:ascii="宋体" w:hAnsi="宋体" w:cs="宋体"/>
          <w:color w:val="auto"/>
          <w:kern w:val="0"/>
          <w:sz w:val="24"/>
          <w:szCs w:val="24"/>
          <w:u w:val="none"/>
          <w:shd w:val="clear" w:color="auto" w:fill="FFFFFF"/>
          <w:lang w:eastAsia="zh-CN"/>
        </w:rPr>
        <w:t>采购</w:t>
      </w:r>
      <w:r>
        <w:rPr>
          <w:rFonts w:hint="eastAsia" w:ascii="宋体" w:hAnsi="宋体" w:cs="宋体"/>
          <w:color w:val="auto"/>
          <w:kern w:val="0"/>
          <w:sz w:val="24"/>
          <w:szCs w:val="24"/>
          <w:shd w:val="clear" w:color="auto" w:fill="FFFFFF"/>
          <w:lang w:eastAsia="zh-CN"/>
        </w:rPr>
        <w:t>项目</w:t>
      </w:r>
      <w:r>
        <w:rPr>
          <w:rFonts w:ascii="宋体" w:hAnsi="宋体"/>
          <w:color w:val="auto"/>
          <w:sz w:val="24"/>
          <w:szCs w:val="24"/>
        </w:rPr>
        <w:t>进行公开招标采购。本项目采购预算：</w:t>
      </w:r>
      <w:r>
        <w:rPr>
          <w:rFonts w:hint="eastAsia" w:ascii="宋体" w:hAnsi="宋体"/>
          <w:color w:val="auto"/>
          <w:sz w:val="24"/>
          <w:szCs w:val="24"/>
        </w:rPr>
        <w:t>人民币</w:t>
      </w:r>
      <w:r>
        <w:rPr>
          <w:rFonts w:hint="eastAsia" w:ascii="宋体" w:hAnsi="宋体" w:cs="宋体"/>
          <w:color w:val="auto"/>
          <w:kern w:val="0"/>
          <w:sz w:val="24"/>
          <w:szCs w:val="24"/>
          <w:u w:val="single"/>
          <w:shd w:val="clear" w:color="auto" w:fill="FFFFFF"/>
          <w:lang w:val="en-US" w:eastAsia="zh-CN"/>
        </w:rPr>
        <w:t xml:space="preserve"> 330 </w:t>
      </w:r>
      <w:r>
        <w:rPr>
          <w:rFonts w:ascii="宋体" w:hAnsi="宋体"/>
          <w:color w:val="auto"/>
          <w:sz w:val="24"/>
          <w:szCs w:val="24"/>
        </w:rPr>
        <w:t>万元</w:t>
      </w:r>
      <w:r>
        <w:rPr>
          <w:rFonts w:hint="eastAsia" w:ascii="宋体" w:hAnsi="宋体"/>
          <w:color w:val="auto"/>
          <w:sz w:val="24"/>
          <w:szCs w:val="24"/>
        </w:rPr>
        <w:t>。</w:t>
      </w:r>
    </w:p>
    <w:p w14:paraId="7B0454D5">
      <w:pPr>
        <w:pStyle w:val="2"/>
        <w:ind w:firstLine="643"/>
        <w:jc w:val="center"/>
        <w:rPr>
          <w:rFonts w:ascii="宋体" w:hAnsi="宋体"/>
          <w:color w:val="auto"/>
          <w:sz w:val="24"/>
          <w:szCs w:val="24"/>
        </w:rPr>
      </w:pPr>
      <w:bookmarkStart w:id="5" w:name="_Toc1458930"/>
      <w:bookmarkStart w:id="6" w:name="_Toc13213"/>
      <w:r>
        <w:rPr>
          <w:rFonts w:hint="eastAsia"/>
          <w:color w:val="auto"/>
        </w:rPr>
        <w:t>第一部分  供应商资格要求</w:t>
      </w:r>
      <w:bookmarkEnd w:id="5"/>
      <w:bookmarkEnd w:id="6"/>
    </w:p>
    <w:p w14:paraId="2B2DBC24">
      <w:pPr>
        <w:pStyle w:val="10"/>
        <w:tabs>
          <w:tab w:val="left" w:pos="1000"/>
        </w:tabs>
        <w:snapToGrid w:val="0"/>
        <w:spacing w:line="360" w:lineRule="auto"/>
        <w:ind w:firstLine="417" w:firstLineChars="174"/>
        <w:rPr>
          <w:rFonts w:ascii="宋体" w:hAnsi="宋体" w:cs="宋体"/>
          <w:bCs/>
          <w:color w:val="auto"/>
          <w:sz w:val="24"/>
          <w:szCs w:val="24"/>
          <w:highlight w:val="none"/>
        </w:rPr>
      </w:pPr>
      <w:r>
        <w:rPr>
          <w:rFonts w:hint="eastAsia" w:ascii="宋体" w:hAnsi="宋体" w:cs="宋体"/>
          <w:bCs/>
          <w:color w:val="auto"/>
          <w:sz w:val="24"/>
          <w:szCs w:val="24"/>
          <w:highlight w:val="none"/>
          <w:lang w:eastAsia="zh-CN"/>
        </w:rPr>
        <w:t>1.</w:t>
      </w:r>
      <w:r>
        <w:rPr>
          <w:rFonts w:ascii="宋体" w:hAnsi="宋体" w:cs="宋体"/>
          <w:bCs/>
          <w:color w:val="auto"/>
          <w:sz w:val="24"/>
          <w:szCs w:val="24"/>
          <w:highlight w:val="none"/>
        </w:rPr>
        <w:t>满足《中华人民共和国政府采购法》第二十二条规定，即：</w:t>
      </w:r>
    </w:p>
    <w:p w14:paraId="14976F7F">
      <w:pPr>
        <w:pStyle w:val="10"/>
        <w:tabs>
          <w:tab w:val="left" w:pos="1000"/>
        </w:tabs>
        <w:snapToGrid w:val="0"/>
        <w:spacing w:line="360" w:lineRule="auto"/>
        <w:ind w:firstLine="417" w:firstLineChars="174"/>
        <w:rPr>
          <w:rFonts w:ascii="宋体" w:hAnsi="宋体" w:cs="宋体"/>
          <w:bCs/>
          <w:color w:val="auto"/>
          <w:sz w:val="24"/>
          <w:szCs w:val="24"/>
          <w:highlight w:val="none"/>
        </w:rPr>
      </w:pPr>
      <w:r>
        <w:rPr>
          <w:rFonts w:ascii="宋体" w:hAnsi="宋体" w:cs="宋体"/>
          <w:bCs/>
          <w:color w:val="auto"/>
          <w:sz w:val="24"/>
          <w:szCs w:val="24"/>
          <w:highlight w:val="none"/>
        </w:rPr>
        <w:t>（1）具有独立承担民事责任的能力；</w:t>
      </w:r>
    </w:p>
    <w:p w14:paraId="109D1A61">
      <w:pPr>
        <w:pStyle w:val="10"/>
        <w:tabs>
          <w:tab w:val="left" w:pos="1000"/>
        </w:tabs>
        <w:snapToGrid w:val="0"/>
        <w:spacing w:line="360" w:lineRule="auto"/>
        <w:ind w:firstLine="417" w:firstLineChars="174"/>
        <w:rPr>
          <w:rFonts w:ascii="宋体" w:hAnsi="宋体" w:cs="宋体"/>
          <w:bCs/>
          <w:color w:val="auto"/>
          <w:sz w:val="24"/>
          <w:szCs w:val="24"/>
          <w:highlight w:val="none"/>
        </w:rPr>
      </w:pPr>
      <w:r>
        <w:rPr>
          <w:rFonts w:ascii="宋体" w:hAnsi="宋体" w:cs="宋体"/>
          <w:bCs/>
          <w:color w:val="auto"/>
          <w:sz w:val="24"/>
          <w:szCs w:val="24"/>
          <w:highlight w:val="none"/>
        </w:rPr>
        <w:t>（2）具有良好的商业信誉和健全的财务会计制度；</w:t>
      </w:r>
    </w:p>
    <w:p w14:paraId="7609BA66">
      <w:pPr>
        <w:pStyle w:val="10"/>
        <w:tabs>
          <w:tab w:val="left" w:pos="1000"/>
        </w:tabs>
        <w:snapToGrid w:val="0"/>
        <w:spacing w:line="360" w:lineRule="auto"/>
        <w:ind w:firstLine="417" w:firstLineChars="174"/>
        <w:rPr>
          <w:rFonts w:ascii="宋体" w:hAnsi="宋体" w:cs="宋体"/>
          <w:bCs/>
          <w:color w:val="auto"/>
          <w:sz w:val="24"/>
          <w:szCs w:val="24"/>
          <w:highlight w:val="none"/>
        </w:rPr>
      </w:pPr>
      <w:r>
        <w:rPr>
          <w:rFonts w:ascii="宋体" w:hAnsi="宋体" w:cs="宋体"/>
          <w:bCs/>
          <w:color w:val="auto"/>
          <w:sz w:val="24"/>
          <w:szCs w:val="24"/>
          <w:highlight w:val="none"/>
        </w:rPr>
        <w:t>（3）具有履行合同所必需的设备和专业技术能力；</w:t>
      </w:r>
    </w:p>
    <w:p w14:paraId="6E40DFFA">
      <w:pPr>
        <w:pStyle w:val="10"/>
        <w:tabs>
          <w:tab w:val="left" w:pos="1000"/>
        </w:tabs>
        <w:snapToGrid w:val="0"/>
        <w:spacing w:line="360" w:lineRule="auto"/>
        <w:ind w:firstLine="417" w:firstLineChars="174"/>
        <w:rPr>
          <w:rFonts w:ascii="宋体" w:hAnsi="宋体" w:cs="宋体"/>
          <w:bCs/>
          <w:color w:val="auto"/>
          <w:sz w:val="24"/>
          <w:szCs w:val="24"/>
          <w:highlight w:val="none"/>
        </w:rPr>
      </w:pPr>
      <w:r>
        <w:rPr>
          <w:rFonts w:ascii="宋体" w:hAnsi="宋体" w:cs="宋体"/>
          <w:bCs/>
          <w:color w:val="auto"/>
          <w:sz w:val="24"/>
          <w:szCs w:val="24"/>
          <w:highlight w:val="none"/>
        </w:rPr>
        <w:t>（4）有依法缴纳税收和社会保障资金的良好记录；</w:t>
      </w:r>
    </w:p>
    <w:p w14:paraId="49DD5CA7">
      <w:pPr>
        <w:pStyle w:val="10"/>
        <w:tabs>
          <w:tab w:val="left" w:pos="1000"/>
        </w:tabs>
        <w:snapToGrid w:val="0"/>
        <w:spacing w:line="360" w:lineRule="auto"/>
        <w:ind w:firstLine="417" w:firstLineChars="174"/>
        <w:rPr>
          <w:rFonts w:ascii="宋体" w:hAnsi="宋体" w:cs="宋体"/>
          <w:bCs/>
          <w:color w:val="auto"/>
          <w:sz w:val="24"/>
          <w:szCs w:val="24"/>
          <w:highlight w:val="none"/>
        </w:rPr>
      </w:pPr>
      <w:r>
        <w:rPr>
          <w:rFonts w:ascii="宋体" w:hAnsi="宋体" w:cs="宋体"/>
          <w:bCs/>
          <w:color w:val="auto"/>
          <w:sz w:val="24"/>
          <w:szCs w:val="24"/>
          <w:highlight w:val="none"/>
        </w:rPr>
        <w:t>（5）参加政府采购活动前三年内，在经营活动中没有重大违法记录；</w:t>
      </w:r>
    </w:p>
    <w:p w14:paraId="4C383C9F">
      <w:pPr>
        <w:pStyle w:val="10"/>
        <w:tabs>
          <w:tab w:val="left" w:pos="1000"/>
        </w:tabs>
        <w:snapToGrid w:val="0"/>
        <w:spacing w:line="360" w:lineRule="auto"/>
        <w:ind w:firstLine="417" w:firstLineChars="174"/>
        <w:rPr>
          <w:rFonts w:ascii="宋体" w:hAnsi="宋体" w:cs="宋体"/>
          <w:bCs/>
          <w:color w:val="auto"/>
          <w:sz w:val="24"/>
          <w:szCs w:val="24"/>
          <w:highlight w:val="none"/>
        </w:rPr>
      </w:pPr>
      <w:r>
        <w:rPr>
          <w:rFonts w:ascii="宋体" w:hAnsi="宋体" w:cs="宋体"/>
          <w:bCs/>
          <w:color w:val="auto"/>
          <w:sz w:val="24"/>
          <w:szCs w:val="24"/>
          <w:highlight w:val="none"/>
        </w:rPr>
        <w:t>（6）法律、行政法规规定的其他条件。</w:t>
      </w:r>
    </w:p>
    <w:p w14:paraId="247A8451">
      <w:pPr>
        <w:pStyle w:val="10"/>
        <w:tabs>
          <w:tab w:val="left" w:pos="1000"/>
        </w:tabs>
        <w:snapToGrid w:val="0"/>
        <w:spacing w:line="360" w:lineRule="auto"/>
        <w:ind w:firstLine="417" w:firstLineChars="174"/>
        <w:rPr>
          <w:rFonts w:ascii="宋体" w:hAnsi="宋体" w:cs="宋体"/>
          <w:bCs/>
          <w:color w:val="auto"/>
          <w:sz w:val="24"/>
          <w:szCs w:val="24"/>
          <w:highlight w:val="none"/>
        </w:rPr>
      </w:pPr>
      <w:r>
        <w:rPr>
          <w:rFonts w:hint="eastAsia" w:ascii="宋体" w:hAnsi="宋体" w:cs="宋体"/>
          <w:bCs/>
          <w:color w:val="auto"/>
          <w:sz w:val="24"/>
          <w:szCs w:val="24"/>
          <w:highlight w:val="none"/>
          <w:lang w:eastAsia="zh-CN"/>
        </w:rPr>
        <w:t>2.</w:t>
      </w:r>
      <w:r>
        <w:rPr>
          <w:rFonts w:ascii="宋体" w:hAnsi="宋体" w:cs="宋体"/>
          <w:bCs/>
          <w:color w:val="auto"/>
          <w:sz w:val="24"/>
          <w:szCs w:val="24"/>
          <w:highlight w:val="none"/>
        </w:rPr>
        <w:t>单位负责人为同一人或者存在直接控股、管理关系的不同投标人，不得参加本项目同一合同项下的政府采购活动。</w:t>
      </w:r>
    </w:p>
    <w:p w14:paraId="0B32E821">
      <w:pPr>
        <w:pStyle w:val="10"/>
        <w:tabs>
          <w:tab w:val="left" w:pos="1000"/>
        </w:tabs>
        <w:snapToGrid w:val="0"/>
        <w:spacing w:line="360" w:lineRule="auto"/>
        <w:ind w:firstLine="417" w:firstLineChars="174"/>
        <w:rPr>
          <w:rFonts w:ascii="宋体" w:hAnsi="宋体" w:cs="宋体"/>
          <w:bCs/>
          <w:color w:val="auto"/>
          <w:sz w:val="24"/>
          <w:szCs w:val="24"/>
          <w:highlight w:val="none"/>
        </w:rPr>
      </w:pPr>
      <w:r>
        <w:rPr>
          <w:rFonts w:hint="eastAsia" w:ascii="宋体" w:hAnsi="宋体" w:cs="宋体"/>
          <w:bCs/>
          <w:color w:val="auto"/>
          <w:sz w:val="24"/>
          <w:szCs w:val="24"/>
          <w:highlight w:val="none"/>
          <w:lang w:eastAsia="zh-CN"/>
        </w:rPr>
        <w:t>3.</w:t>
      </w:r>
      <w:r>
        <w:rPr>
          <w:rFonts w:ascii="宋体" w:hAnsi="宋体" w:cs="宋体"/>
          <w:bCs/>
          <w:color w:val="auto"/>
          <w:sz w:val="24"/>
          <w:szCs w:val="24"/>
          <w:highlight w:val="none"/>
        </w:rPr>
        <w:t>为本采购项目提供整体设计、规范编制或者项目管理、监理、检测等服务的，不得再参加本项目的其他招标采购活动。</w:t>
      </w:r>
    </w:p>
    <w:p w14:paraId="3AFFDF27">
      <w:pPr>
        <w:pStyle w:val="10"/>
        <w:tabs>
          <w:tab w:val="left" w:pos="1000"/>
        </w:tabs>
        <w:snapToGrid w:val="0"/>
        <w:spacing w:line="360" w:lineRule="auto"/>
        <w:ind w:firstLine="417" w:firstLineChars="174"/>
        <w:rPr>
          <w:rFonts w:ascii="宋体" w:hAnsi="宋体" w:cs="宋体"/>
          <w:bCs/>
          <w:color w:val="auto"/>
          <w:sz w:val="24"/>
          <w:szCs w:val="24"/>
          <w:highlight w:val="none"/>
        </w:rPr>
      </w:pPr>
      <w:r>
        <w:rPr>
          <w:rFonts w:hint="eastAsia" w:ascii="宋体" w:hAnsi="宋体" w:cs="宋体"/>
          <w:bCs/>
          <w:color w:val="auto"/>
          <w:sz w:val="24"/>
          <w:szCs w:val="24"/>
          <w:highlight w:val="none"/>
          <w:lang w:eastAsia="zh-CN"/>
        </w:rPr>
        <w:t>4.</w:t>
      </w:r>
      <w:r>
        <w:rPr>
          <w:rFonts w:ascii="宋体" w:hAnsi="宋体" w:cs="宋体"/>
          <w:bCs/>
          <w:color w:val="auto"/>
          <w:sz w:val="24"/>
          <w:szCs w:val="24"/>
          <w:highlight w:val="none"/>
        </w:rPr>
        <w:t>未被列入失信被执行人、重大税收违法案件当事人名单，未被列入政府采购严重违法失信行为记录名单。</w:t>
      </w:r>
    </w:p>
    <w:p w14:paraId="0520B89C">
      <w:pPr>
        <w:pStyle w:val="10"/>
        <w:tabs>
          <w:tab w:val="left" w:pos="1000"/>
        </w:tabs>
        <w:snapToGrid w:val="0"/>
        <w:spacing w:line="360" w:lineRule="auto"/>
        <w:ind w:firstLine="417" w:firstLineChars="174"/>
        <w:rPr>
          <w:rFonts w:hint="eastAsia" w:ascii="宋体" w:hAnsi="宋体" w:cs="宋体" w:eastAsiaTheme="minorEastAsia"/>
          <w:bCs/>
          <w:color w:val="auto"/>
          <w:sz w:val="24"/>
          <w:szCs w:val="24"/>
          <w:highlight w:val="none"/>
          <w:lang w:eastAsia="zh-CN"/>
        </w:rPr>
      </w:pPr>
      <w:r>
        <w:rPr>
          <w:rFonts w:hint="eastAsia" w:ascii="宋体" w:hAnsi="宋体" w:cs="宋体"/>
          <w:bCs/>
          <w:color w:val="auto"/>
          <w:sz w:val="24"/>
          <w:szCs w:val="24"/>
          <w:highlight w:val="none"/>
          <w:lang w:eastAsia="zh-CN"/>
        </w:rPr>
        <w:t>5.</w:t>
      </w:r>
      <w:r>
        <w:rPr>
          <w:rFonts w:ascii="宋体" w:hAnsi="宋体" w:cs="宋体"/>
          <w:bCs/>
          <w:color w:val="auto"/>
          <w:sz w:val="24"/>
          <w:szCs w:val="24"/>
          <w:highlight w:val="none"/>
        </w:rPr>
        <w:t>落实政府采购政策需满足的资格要求：</w:t>
      </w:r>
      <w:r>
        <w:rPr>
          <w:rFonts w:hint="eastAsia" w:ascii="宋体" w:hAnsi="宋体" w:cs="宋体"/>
          <w:bCs/>
          <w:color w:val="auto"/>
          <w:sz w:val="24"/>
          <w:szCs w:val="24"/>
          <w:highlight w:val="none"/>
          <w:lang w:eastAsia="zh-CN"/>
        </w:rPr>
        <w:t>无</w:t>
      </w:r>
    </w:p>
    <w:p w14:paraId="5356D931">
      <w:pPr>
        <w:pStyle w:val="10"/>
        <w:tabs>
          <w:tab w:val="left" w:pos="1000"/>
        </w:tabs>
        <w:snapToGrid w:val="0"/>
        <w:spacing w:line="360" w:lineRule="auto"/>
        <w:ind w:firstLine="417" w:firstLineChars="174"/>
        <w:rPr>
          <w:rFonts w:ascii="宋体" w:hAnsi="宋体" w:cs="宋体"/>
          <w:bCs/>
          <w:color w:val="auto"/>
          <w:sz w:val="24"/>
          <w:szCs w:val="24"/>
          <w:highlight w:val="none"/>
        </w:rPr>
      </w:pPr>
      <w:r>
        <w:rPr>
          <w:rFonts w:hint="eastAsia" w:ascii="宋体" w:hAnsi="宋体" w:cs="宋体"/>
          <w:bCs/>
          <w:color w:val="auto"/>
          <w:sz w:val="24"/>
          <w:szCs w:val="24"/>
          <w:highlight w:val="none"/>
          <w:lang w:eastAsia="zh-CN"/>
        </w:rPr>
        <w:t>6.</w:t>
      </w:r>
      <w:r>
        <w:rPr>
          <w:rFonts w:ascii="宋体" w:hAnsi="宋体" w:cs="宋体"/>
          <w:bCs/>
          <w:color w:val="auto"/>
          <w:sz w:val="24"/>
          <w:szCs w:val="24"/>
          <w:highlight w:val="none"/>
        </w:rPr>
        <w:t>本项目的特定资格要求：投标人或其总公司须具有国家相关行政主管部门颁发的《基础电信业务经营许可证》或《增值电信业务经营许可证》（业务种类涵盖网络接入服务业务）。</w:t>
      </w:r>
    </w:p>
    <w:p w14:paraId="0FC8F6E3">
      <w:pPr>
        <w:rPr>
          <w:rFonts w:hint="eastAsia"/>
          <w:color w:val="auto"/>
        </w:rPr>
      </w:pPr>
      <w:r>
        <w:rPr>
          <w:rFonts w:hint="eastAsia"/>
          <w:color w:val="auto"/>
        </w:rPr>
        <w:br w:type="page"/>
      </w:r>
    </w:p>
    <w:p w14:paraId="32B511FB">
      <w:pPr>
        <w:pStyle w:val="2"/>
        <w:ind w:firstLine="643"/>
        <w:jc w:val="center"/>
        <w:rPr>
          <w:rFonts w:hint="eastAsia"/>
          <w:color w:val="auto"/>
        </w:rPr>
      </w:pPr>
      <w:r>
        <w:rPr>
          <w:rFonts w:hint="eastAsia"/>
          <w:color w:val="auto"/>
        </w:rPr>
        <w:t xml:space="preserve">第二部分  </w:t>
      </w:r>
      <w:bookmarkStart w:id="7" w:name="_Toc1421483"/>
      <w:bookmarkStart w:id="8" w:name="_Toc509997285"/>
      <w:r>
        <w:rPr>
          <w:rFonts w:hint="eastAsia"/>
          <w:color w:val="auto"/>
        </w:rPr>
        <w:t>技术、服务及商务要求</w:t>
      </w:r>
      <w:bookmarkEnd w:id="7"/>
      <w:bookmarkEnd w:id="8"/>
    </w:p>
    <w:p w14:paraId="0926825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b/>
          <w:bCs/>
          <w:color w:val="auto"/>
        </w:rPr>
      </w:pPr>
      <w:r>
        <w:rPr>
          <w:rFonts w:hint="eastAsia"/>
          <w:b/>
          <w:bCs/>
          <w:color w:val="auto"/>
          <w:lang w:eastAsia="zh-CN"/>
        </w:rPr>
        <w:t>说明</w:t>
      </w:r>
      <w:r>
        <w:rPr>
          <w:rFonts w:hint="eastAsia"/>
          <w:b/>
          <w:bCs/>
          <w:color w:val="auto"/>
        </w:rPr>
        <w:t>：</w:t>
      </w:r>
      <w:r>
        <w:rPr>
          <w:rFonts w:hint="eastAsia"/>
          <w:b/>
          <w:bCs/>
          <w:color w:val="auto"/>
          <w:lang w:val="en-US" w:eastAsia="zh-CN"/>
        </w:rPr>
        <w:t>1.</w:t>
      </w:r>
      <w:r>
        <w:rPr>
          <w:rFonts w:hint="eastAsia"/>
          <w:b/>
          <w:bCs/>
          <w:color w:val="auto"/>
        </w:rPr>
        <w:t>文件中标“★”的条款均为实质性条款要求，投标人应按文件要求逐项写明所响应内容，否则其投标按照无效投标处理。全文中出现与此条要求不一致的，以此条为准。</w:t>
      </w:r>
    </w:p>
    <w:p w14:paraId="50C6FEF1">
      <w:pPr>
        <w:keepNext w:val="0"/>
        <w:keepLines w:val="0"/>
        <w:pageBreakBefore w:val="0"/>
        <w:widowControl w:val="0"/>
        <w:kinsoku/>
        <w:wordWrap/>
        <w:overflowPunct/>
        <w:topLinePunct w:val="0"/>
        <w:autoSpaceDE/>
        <w:autoSpaceDN/>
        <w:bidi w:val="0"/>
        <w:adjustRightInd/>
        <w:snapToGrid/>
        <w:textAlignment w:val="auto"/>
        <w:rPr>
          <w:b/>
          <w:bCs/>
          <w:color w:val="auto"/>
        </w:rPr>
      </w:pPr>
      <w:r>
        <w:rPr>
          <w:rFonts w:hint="eastAsia"/>
          <w:b/>
          <w:bCs/>
          <w:color w:val="auto"/>
          <w:lang w:val="en-US" w:eastAsia="zh-CN"/>
        </w:rPr>
        <w:t>2.投标人在投标文件《项目技术、服务及商务要求响应、偏离说明表》中应对以下条款进行响应描述或偏离说明</w:t>
      </w:r>
    </w:p>
    <w:p w14:paraId="7D9563B9">
      <w:pPr>
        <w:pStyle w:val="3"/>
        <w:numPr>
          <w:ilvl w:val="0"/>
          <w:numId w:val="1"/>
        </w:numPr>
        <w:spacing w:before="156" w:beforeLines="50" w:after="156" w:afterLines="50" w:line="360" w:lineRule="auto"/>
        <w:ind w:left="0" w:firstLine="0"/>
        <w:rPr>
          <w:rFonts w:ascii="宋体" w:hAnsi="宋体" w:eastAsia="宋体" w:cs="宋体"/>
          <w:color w:val="auto"/>
          <w:highlight w:val="none"/>
        </w:rPr>
      </w:pPr>
      <w:r>
        <w:rPr>
          <w:rFonts w:hint="eastAsia" w:ascii="宋体" w:hAnsi="宋体" w:eastAsia="宋体" w:cs="宋体"/>
          <w:color w:val="auto"/>
          <w:highlight w:val="none"/>
        </w:rPr>
        <w:t>项目概述</w:t>
      </w:r>
      <w:bookmarkEnd w:id="0"/>
      <w:bookmarkEnd w:id="1"/>
      <w:bookmarkEnd w:id="2"/>
      <w:bookmarkEnd w:id="3"/>
      <w:bookmarkEnd w:id="4"/>
    </w:p>
    <w:p w14:paraId="671FA9F7">
      <w:pPr>
        <w:tabs>
          <w:tab w:val="left" w:pos="567"/>
        </w:tabs>
        <w:snapToGrid w:val="0"/>
        <w:spacing w:line="360" w:lineRule="auto"/>
        <w:ind w:firstLine="424" w:firstLineChars="177"/>
        <w:rPr>
          <w:rFonts w:ascii="宋体" w:hAnsi="宋体" w:eastAsia="宋体" w:cs="宋体"/>
          <w:bCs/>
          <w:color w:val="auto"/>
          <w:sz w:val="24"/>
          <w:szCs w:val="24"/>
          <w:highlight w:val="none"/>
        </w:rPr>
      </w:pPr>
      <w:bookmarkStart w:id="9" w:name="_Toc18230"/>
      <w:bookmarkStart w:id="10" w:name="_Toc27315"/>
      <w:r>
        <w:rPr>
          <w:rFonts w:hint="eastAsia" w:ascii="宋体" w:hAnsi="宋体" w:cs="宋体"/>
          <w:bCs/>
          <w:color w:val="auto"/>
          <w:sz w:val="24"/>
          <w:szCs w:val="24"/>
          <w:highlight w:val="none"/>
          <w:lang w:eastAsia="zh-CN"/>
        </w:rPr>
        <w:t>1.</w:t>
      </w:r>
      <w:r>
        <w:rPr>
          <w:rFonts w:hint="eastAsia" w:ascii="宋体" w:hAnsi="宋体" w:cs="宋体"/>
          <w:bCs/>
          <w:color w:val="auto"/>
          <w:sz w:val="24"/>
          <w:szCs w:val="24"/>
          <w:highlight w:val="none"/>
        </w:rPr>
        <w:t>项目名称：武汉市东西湖区教育局学校互联网接入服务项目</w:t>
      </w:r>
    </w:p>
    <w:p w14:paraId="44C84903">
      <w:pPr>
        <w:tabs>
          <w:tab w:val="left" w:pos="567"/>
        </w:tabs>
        <w:snapToGrid w:val="0"/>
        <w:spacing w:line="360" w:lineRule="auto"/>
        <w:ind w:firstLine="424" w:firstLineChars="177"/>
        <w:rPr>
          <w:rFonts w:hint="default" w:ascii="宋体" w:hAnsi="宋体" w:cs="宋体" w:eastAsiaTheme="minorEastAsia"/>
          <w:bCs/>
          <w:color w:val="auto"/>
          <w:sz w:val="24"/>
          <w:szCs w:val="24"/>
          <w:highlight w:val="none"/>
          <w:lang w:val="en-US" w:eastAsia="zh-CN"/>
        </w:rPr>
      </w:pPr>
      <w:r>
        <w:rPr>
          <w:rFonts w:hint="eastAsia" w:ascii="宋体" w:hAnsi="宋体" w:cs="宋体"/>
          <w:bCs/>
          <w:color w:val="auto"/>
          <w:sz w:val="24"/>
          <w:szCs w:val="24"/>
          <w:highlight w:val="none"/>
          <w:lang w:eastAsia="zh-CN"/>
        </w:rPr>
        <w:t>2.</w:t>
      </w:r>
      <w:r>
        <w:rPr>
          <w:rFonts w:hint="eastAsia" w:ascii="宋体" w:hAnsi="宋体" w:cs="宋体"/>
          <w:bCs/>
          <w:color w:val="auto"/>
          <w:sz w:val="24"/>
          <w:szCs w:val="24"/>
          <w:highlight w:val="none"/>
        </w:rPr>
        <w:t>工期：</w:t>
      </w:r>
      <w:r>
        <w:rPr>
          <w:rFonts w:hint="eastAsia" w:ascii="宋体" w:hAnsi="宋体" w:cs="宋体"/>
          <w:bCs/>
          <w:color w:val="auto"/>
          <w:sz w:val="24"/>
          <w:szCs w:val="24"/>
          <w:highlight w:val="none"/>
          <w:lang w:val="en-US" w:eastAsia="zh-CN"/>
        </w:rPr>
        <w:t>“</w:t>
      </w:r>
      <w:r>
        <w:rPr>
          <w:rFonts w:hint="eastAsia" w:ascii="宋体" w:hAnsi="宋体" w:cs="宋体"/>
          <w:bCs/>
          <w:color w:val="auto"/>
          <w:sz w:val="24"/>
          <w:szCs w:val="24"/>
          <w:highlight w:val="none"/>
        </w:rPr>
        <w:t>数字食堂</w:t>
      </w:r>
      <w:r>
        <w:rPr>
          <w:rFonts w:hint="eastAsia" w:ascii="宋体" w:hAnsi="宋体" w:cs="宋体"/>
          <w:bCs/>
          <w:color w:val="auto"/>
          <w:sz w:val="24"/>
          <w:szCs w:val="24"/>
          <w:highlight w:val="none"/>
          <w:lang w:val="en-US" w:eastAsia="zh-CN"/>
        </w:rPr>
        <w:t>”</w:t>
      </w:r>
      <w:r>
        <w:rPr>
          <w:rFonts w:hint="eastAsia" w:ascii="宋体" w:hAnsi="宋体" w:cs="宋体"/>
          <w:bCs/>
          <w:color w:val="auto"/>
          <w:sz w:val="24"/>
          <w:szCs w:val="24"/>
          <w:highlight w:val="none"/>
        </w:rPr>
        <w:t>专线部分在合同签订后15</w:t>
      </w:r>
      <w:r>
        <w:rPr>
          <w:rFonts w:hint="eastAsia" w:ascii="宋体" w:hAnsi="宋体" w:cs="宋体"/>
          <w:bCs/>
          <w:color w:val="auto"/>
          <w:sz w:val="24"/>
          <w:szCs w:val="24"/>
          <w:highlight w:val="none"/>
          <w:lang w:val="en-US" w:eastAsia="zh-CN"/>
        </w:rPr>
        <w:t>天</w:t>
      </w:r>
      <w:r>
        <w:rPr>
          <w:rFonts w:hint="eastAsia" w:ascii="宋体" w:hAnsi="宋体" w:cs="宋体"/>
          <w:bCs/>
          <w:color w:val="auto"/>
          <w:sz w:val="24"/>
          <w:szCs w:val="24"/>
          <w:highlight w:val="none"/>
        </w:rPr>
        <w:t>内完工，项目整体在合同签订后</w:t>
      </w:r>
      <w:r>
        <w:rPr>
          <w:rFonts w:hint="eastAsia" w:ascii="宋体" w:hAnsi="宋体" w:cs="宋体"/>
          <w:bCs/>
          <w:color w:val="auto"/>
          <w:sz w:val="24"/>
          <w:szCs w:val="24"/>
          <w:highlight w:val="none"/>
          <w:lang w:val="en-US" w:eastAsia="zh-CN"/>
        </w:rPr>
        <w:t>60天</w:t>
      </w:r>
      <w:r>
        <w:rPr>
          <w:rFonts w:hint="eastAsia" w:ascii="宋体" w:hAnsi="宋体" w:cs="宋体"/>
          <w:bCs/>
          <w:color w:val="auto"/>
          <w:sz w:val="24"/>
          <w:szCs w:val="24"/>
          <w:highlight w:val="none"/>
        </w:rPr>
        <w:t>内完工</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并提供1个月试运行服务。</w:t>
      </w:r>
    </w:p>
    <w:p w14:paraId="52A5E197">
      <w:pPr>
        <w:tabs>
          <w:tab w:val="left" w:pos="567"/>
        </w:tabs>
        <w:snapToGrid w:val="0"/>
        <w:spacing w:line="360" w:lineRule="auto"/>
        <w:ind w:firstLine="424" w:firstLineChars="177"/>
        <w:rPr>
          <w:rFonts w:ascii="宋体" w:hAnsi="宋体" w:cs="宋体"/>
          <w:bCs/>
          <w:color w:val="auto"/>
          <w:sz w:val="24"/>
          <w:szCs w:val="24"/>
          <w:highlight w:val="none"/>
        </w:rPr>
      </w:pPr>
      <w:r>
        <w:rPr>
          <w:rFonts w:hint="eastAsia" w:ascii="宋体" w:hAnsi="宋体" w:cs="宋体"/>
          <w:bCs/>
          <w:color w:val="auto"/>
          <w:sz w:val="24"/>
          <w:szCs w:val="24"/>
          <w:highlight w:val="none"/>
          <w:lang w:eastAsia="zh-CN"/>
        </w:rPr>
        <w:t>3.</w:t>
      </w:r>
      <w:r>
        <w:rPr>
          <w:rFonts w:hint="eastAsia" w:ascii="宋体" w:hAnsi="宋体" w:cs="宋体"/>
          <w:bCs/>
          <w:color w:val="auto"/>
          <w:sz w:val="24"/>
          <w:szCs w:val="24"/>
          <w:highlight w:val="none"/>
        </w:rPr>
        <w:t>服务地点：采购人指定地点</w:t>
      </w:r>
    </w:p>
    <w:p w14:paraId="12DED5F4">
      <w:pPr>
        <w:tabs>
          <w:tab w:val="left" w:pos="567"/>
        </w:tabs>
        <w:snapToGrid w:val="0"/>
        <w:spacing w:line="360" w:lineRule="auto"/>
        <w:ind w:firstLine="424" w:firstLineChars="177"/>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4.服务期：自验收合格之日起一年（合同按年签订，服务期内如遇政策调整，按规定办理；服务期满1年后，经考核服务良好的可续签下一年合同，续签最长不超过2年）</w:t>
      </w:r>
    </w:p>
    <w:p w14:paraId="741189E3">
      <w:pPr>
        <w:tabs>
          <w:tab w:val="left" w:pos="567"/>
        </w:tabs>
        <w:snapToGrid w:val="0"/>
        <w:spacing w:line="360" w:lineRule="auto"/>
        <w:ind w:firstLine="424" w:firstLineChars="177"/>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5.项目预算：330万元</w:t>
      </w:r>
    </w:p>
    <w:p w14:paraId="5FE3BFA0">
      <w:pPr>
        <w:pStyle w:val="3"/>
        <w:numPr>
          <w:ilvl w:val="0"/>
          <w:numId w:val="1"/>
        </w:numPr>
        <w:spacing w:before="156" w:beforeLines="50" w:after="156" w:afterLines="50" w:line="360" w:lineRule="auto"/>
        <w:ind w:left="0" w:firstLine="0"/>
        <w:rPr>
          <w:rFonts w:ascii="宋体" w:hAnsi="宋体" w:eastAsia="宋体" w:cs="宋体"/>
          <w:color w:val="auto"/>
          <w:highlight w:val="none"/>
        </w:rPr>
      </w:pPr>
      <w:bookmarkStart w:id="11" w:name="_Toc21686401"/>
      <w:bookmarkStart w:id="12" w:name="_Toc29030"/>
      <w:bookmarkStart w:id="13" w:name="_Toc1903875776"/>
      <w:bookmarkStart w:id="14" w:name="_Toc9839"/>
      <w:bookmarkStart w:id="15" w:name="_Toc8798"/>
      <w:r>
        <w:rPr>
          <w:rFonts w:hint="eastAsia" w:ascii="宋体" w:hAnsi="宋体" w:eastAsia="宋体" w:cs="宋体"/>
          <w:color w:val="auto"/>
          <w:highlight w:val="none"/>
        </w:rPr>
        <w:t>技术</w:t>
      </w:r>
      <w:bookmarkEnd w:id="11"/>
      <w:r>
        <w:rPr>
          <w:rFonts w:hint="eastAsia" w:ascii="宋体" w:hAnsi="宋体" w:eastAsia="宋体" w:cs="宋体"/>
          <w:color w:val="auto"/>
          <w:highlight w:val="none"/>
        </w:rPr>
        <w:t>要求</w:t>
      </w:r>
      <w:bookmarkEnd w:id="12"/>
      <w:bookmarkEnd w:id="13"/>
      <w:bookmarkEnd w:id="14"/>
      <w:bookmarkEnd w:id="15"/>
    </w:p>
    <w:p w14:paraId="604D95A8">
      <w:pPr>
        <w:pStyle w:val="4"/>
        <w:spacing w:before="0" w:after="156" w:afterLines="50" w:line="360" w:lineRule="auto"/>
        <w:rPr>
          <w:rFonts w:asciiTheme="majorHAnsi" w:hAnsiTheme="majorHAnsi" w:eastAsiaTheme="majorEastAsia" w:cstheme="majorBidi"/>
          <w:color w:val="auto"/>
          <w:sz w:val="28"/>
          <w:szCs w:val="28"/>
          <w:highlight w:val="none"/>
        </w:rPr>
      </w:pPr>
      <w:bookmarkStart w:id="16" w:name="_Toc671019006"/>
      <w:r>
        <w:rPr>
          <w:rFonts w:hint="eastAsia" w:asciiTheme="majorHAnsi" w:hAnsiTheme="majorHAnsi" w:eastAsiaTheme="majorEastAsia" w:cstheme="majorBidi"/>
          <w:color w:val="auto"/>
          <w:sz w:val="28"/>
          <w:szCs w:val="28"/>
          <w:highlight w:val="none"/>
          <w:lang w:eastAsia="zh-CN"/>
        </w:rPr>
        <w:t>1.</w:t>
      </w:r>
      <w:r>
        <w:rPr>
          <w:rFonts w:hint="eastAsia" w:asciiTheme="majorHAnsi" w:hAnsiTheme="majorHAnsi" w:eastAsiaTheme="majorEastAsia" w:cstheme="majorBidi"/>
          <w:color w:val="auto"/>
          <w:sz w:val="28"/>
          <w:szCs w:val="28"/>
          <w:highlight w:val="none"/>
        </w:rPr>
        <w:t>基本原则</w:t>
      </w:r>
      <w:bookmarkEnd w:id="16"/>
    </w:p>
    <w:p w14:paraId="1B7332AA">
      <w:pPr>
        <w:pStyle w:val="10"/>
        <w:tabs>
          <w:tab w:val="left" w:pos="1000"/>
        </w:tabs>
        <w:snapToGrid w:val="0"/>
        <w:spacing w:line="360" w:lineRule="auto"/>
        <w:ind w:firstLineChars="175"/>
        <w:rPr>
          <w:rFonts w:ascii="宋体" w:hAnsi="宋体" w:cs="宋体"/>
          <w:bCs/>
          <w:color w:val="auto"/>
          <w:sz w:val="24"/>
          <w:szCs w:val="24"/>
          <w:highlight w:val="none"/>
        </w:rPr>
      </w:pPr>
      <w:r>
        <w:rPr>
          <w:rFonts w:hint="eastAsia" w:ascii="宋体" w:hAnsi="宋体" w:cs="宋体"/>
          <w:bCs/>
          <w:color w:val="auto"/>
          <w:sz w:val="24"/>
          <w:szCs w:val="24"/>
          <w:highlight w:val="none"/>
        </w:rPr>
        <w:t>投标方</w:t>
      </w:r>
      <w:r>
        <w:rPr>
          <w:rFonts w:hint="eastAsia" w:ascii="宋体" w:hAnsi="宋体" w:cs="宋体"/>
          <w:bCs/>
          <w:color w:val="auto"/>
          <w:sz w:val="24"/>
          <w:szCs w:val="24"/>
          <w:highlight w:val="none"/>
          <w:lang w:eastAsia="zh-CN"/>
        </w:rPr>
        <w:t>以</w:t>
      </w:r>
      <w:r>
        <w:rPr>
          <w:rFonts w:hint="eastAsia" w:ascii="宋体" w:hAnsi="宋体" w:cs="宋体"/>
          <w:bCs/>
          <w:color w:val="auto"/>
          <w:sz w:val="24"/>
          <w:szCs w:val="24"/>
          <w:highlight w:val="none"/>
        </w:rPr>
        <w:t>东西湖区目前131所学校及</w:t>
      </w:r>
      <w:r>
        <w:rPr>
          <w:rFonts w:hint="eastAsia" w:ascii="宋体" w:hAnsi="宋体" w:cs="宋体"/>
          <w:bCs/>
          <w:color w:val="auto"/>
          <w:sz w:val="24"/>
          <w:szCs w:val="24"/>
          <w:highlight w:val="none"/>
          <w:lang w:val="en-US" w:eastAsia="zh-CN"/>
        </w:rPr>
        <w:t>71个“</w:t>
      </w:r>
      <w:r>
        <w:rPr>
          <w:rFonts w:hint="eastAsia" w:ascii="宋体" w:hAnsi="宋体" w:cs="宋体"/>
          <w:bCs/>
          <w:color w:val="auto"/>
          <w:sz w:val="24"/>
          <w:szCs w:val="24"/>
          <w:highlight w:val="none"/>
        </w:rPr>
        <w:t>数字食堂</w:t>
      </w:r>
      <w:r>
        <w:rPr>
          <w:rFonts w:hint="eastAsia" w:ascii="宋体" w:hAnsi="宋体" w:cs="宋体"/>
          <w:bCs/>
          <w:color w:val="auto"/>
          <w:sz w:val="24"/>
          <w:szCs w:val="24"/>
          <w:highlight w:val="none"/>
          <w:lang w:val="en-US" w:eastAsia="zh-CN"/>
        </w:rPr>
        <w:t>”点位</w:t>
      </w:r>
      <w:r>
        <w:rPr>
          <w:rFonts w:hint="eastAsia" w:ascii="宋体" w:hAnsi="宋体" w:cs="宋体"/>
          <w:bCs/>
          <w:color w:val="auto"/>
          <w:sz w:val="24"/>
          <w:szCs w:val="24"/>
          <w:highlight w:val="none"/>
        </w:rPr>
        <w:t>为基础（预留每年学校/单位数量增长5%）提供接入服务。</w:t>
      </w:r>
    </w:p>
    <w:p w14:paraId="2D6B5510">
      <w:pPr>
        <w:pStyle w:val="10"/>
        <w:tabs>
          <w:tab w:val="left" w:pos="1000"/>
        </w:tabs>
        <w:snapToGrid w:val="0"/>
        <w:spacing w:line="360" w:lineRule="auto"/>
        <w:ind w:firstLine="417" w:firstLineChars="174"/>
        <w:rPr>
          <w:rFonts w:ascii="宋体" w:hAnsi="宋体" w:cs="宋体"/>
          <w:bCs/>
          <w:color w:val="auto"/>
          <w:sz w:val="24"/>
          <w:szCs w:val="24"/>
          <w:highlight w:val="none"/>
        </w:rPr>
      </w:pPr>
      <w:r>
        <w:rPr>
          <w:rFonts w:hint="eastAsia" w:ascii="宋体" w:hAnsi="宋体" w:cs="宋体"/>
          <w:b/>
          <w:color w:val="auto"/>
          <w:sz w:val="24"/>
          <w:szCs w:val="24"/>
          <w:highlight w:val="none"/>
        </w:rPr>
        <w:t>高可靠：</w:t>
      </w:r>
      <w:r>
        <w:rPr>
          <w:rFonts w:hint="eastAsia" w:ascii="宋体" w:hAnsi="宋体" w:cs="宋体"/>
          <w:bCs/>
          <w:color w:val="auto"/>
          <w:sz w:val="24"/>
          <w:szCs w:val="24"/>
          <w:highlight w:val="none"/>
        </w:rPr>
        <w:t>投标方案应采用高可靠性产品和容错强的网络结构，应采取多层次冗余备份手段的技术，设备在发生故障时能在最短时间内恢复，以</w:t>
      </w:r>
      <w:r>
        <w:rPr>
          <w:rFonts w:hint="eastAsia" w:ascii="宋体" w:hAnsi="宋体" w:cs="宋体"/>
          <w:bCs/>
          <w:color w:val="auto"/>
          <w:sz w:val="24"/>
          <w:szCs w:val="24"/>
          <w:highlight w:val="none"/>
          <w:lang w:eastAsia="zh-CN"/>
        </w:rPr>
        <w:t>最大限度地保证</w:t>
      </w:r>
      <w:r>
        <w:rPr>
          <w:rFonts w:hint="eastAsia" w:ascii="宋体" w:hAnsi="宋体" w:cs="宋体"/>
          <w:bCs/>
          <w:color w:val="auto"/>
          <w:sz w:val="24"/>
          <w:szCs w:val="24"/>
          <w:highlight w:val="none"/>
        </w:rPr>
        <w:t>网络的正常运转。</w:t>
      </w:r>
    </w:p>
    <w:p w14:paraId="09AB0E39">
      <w:pPr>
        <w:pStyle w:val="10"/>
        <w:tabs>
          <w:tab w:val="left" w:pos="1000"/>
        </w:tabs>
        <w:snapToGrid w:val="0"/>
        <w:spacing w:line="360" w:lineRule="auto"/>
        <w:ind w:firstLine="417" w:firstLineChars="174"/>
        <w:rPr>
          <w:rFonts w:ascii="宋体" w:hAnsi="宋体" w:cs="宋体"/>
          <w:bCs/>
          <w:color w:val="auto"/>
          <w:sz w:val="24"/>
          <w:szCs w:val="24"/>
          <w:highlight w:val="none"/>
        </w:rPr>
      </w:pPr>
      <w:r>
        <w:rPr>
          <w:rFonts w:hint="eastAsia" w:ascii="宋体" w:hAnsi="宋体" w:cs="宋体"/>
          <w:b/>
          <w:color w:val="auto"/>
          <w:sz w:val="24"/>
          <w:szCs w:val="24"/>
          <w:highlight w:val="none"/>
        </w:rPr>
        <w:t>高安全：</w:t>
      </w:r>
      <w:r>
        <w:rPr>
          <w:rFonts w:hint="eastAsia" w:ascii="宋体" w:hAnsi="宋体" w:cs="宋体"/>
          <w:bCs/>
          <w:color w:val="auto"/>
          <w:sz w:val="24"/>
          <w:szCs w:val="24"/>
          <w:highlight w:val="none"/>
        </w:rPr>
        <w:t>投标方案应根据相关法律法规和网络策略制定一套完善的安全保障体系，采用合适的技术手段，充分保证网络安全性。</w:t>
      </w:r>
    </w:p>
    <w:p w14:paraId="024D5828">
      <w:pPr>
        <w:pStyle w:val="10"/>
        <w:tabs>
          <w:tab w:val="left" w:pos="1000"/>
        </w:tabs>
        <w:snapToGrid w:val="0"/>
        <w:spacing w:line="360" w:lineRule="auto"/>
        <w:ind w:firstLine="417" w:firstLineChars="174"/>
        <w:rPr>
          <w:rFonts w:ascii="宋体" w:hAnsi="宋体" w:cs="宋体"/>
          <w:bCs/>
          <w:color w:val="auto"/>
          <w:sz w:val="24"/>
          <w:szCs w:val="24"/>
          <w:highlight w:val="none"/>
        </w:rPr>
      </w:pPr>
      <w:r>
        <w:rPr>
          <w:rFonts w:hint="eastAsia" w:ascii="宋体" w:hAnsi="宋体" w:cs="宋体"/>
          <w:b/>
          <w:color w:val="auto"/>
          <w:sz w:val="24"/>
          <w:szCs w:val="24"/>
          <w:highlight w:val="none"/>
        </w:rPr>
        <w:t>先进性：</w:t>
      </w:r>
      <w:r>
        <w:rPr>
          <w:rFonts w:hint="eastAsia" w:ascii="宋体" w:hAnsi="宋体" w:cs="宋体"/>
          <w:bCs/>
          <w:color w:val="auto"/>
          <w:sz w:val="24"/>
          <w:szCs w:val="24"/>
          <w:highlight w:val="none"/>
        </w:rPr>
        <w:t>投标方案应既满足目前的业务需求，又要充分考虑未来的发展，保证网络5年内不落伍，选用符合国际标准的系统和产品，以保证系统具有较长的生命力和扩展能力，满足将来系统升级的要求。</w:t>
      </w:r>
    </w:p>
    <w:p w14:paraId="6C3BB9E4">
      <w:pPr>
        <w:pStyle w:val="10"/>
        <w:tabs>
          <w:tab w:val="left" w:pos="1000"/>
        </w:tabs>
        <w:snapToGrid w:val="0"/>
        <w:spacing w:line="360" w:lineRule="auto"/>
        <w:ind w:firstLine="417" w:firstLineChars="174"/>
        <w:rPr>
          <w:rFonts w:hint="eastAsia" w:ascii="宋体" w:hAnsi="宋体" w:cs="宋体"/>
          <w:bCs/>
          <w:color w:val="auto"/>
          <w:sz w:val="24"/>
          <w:szCs w:val="24"/>
          <w:highlight w:val="none"/>
        </w:rPr>
      </w:pPr>
      <w:r>
        <w:rPr>
          <w:rFonts w:hint="eastAsia" w:ascii="宋体" w:hAnsi="宋体" w:cs="宋体"/>
          <w:b/>
          <w:color w:val="auto"/>
          <w:sz w:val="24"/>
          <w:szCs w:val="24"/>
          <w:highlight w:val="none"/>
        </w:rPr>
        <w:t>易管理：</w:t>
      </w:r>
      <w:r>
        <w:rPr>
          <w:rFonts w:hint="eastAsia" w:ascii="宋体" w:hAnsi="宋体" w:cs="宋体"/>
          <w:bCs/>
          <w:color w:val="auto"/>
          <w:sz w:val="24"/>
          <w:szCs w:val="24"/>
          <w:highlight w:val="none"/>
        </w:rPr>
        <w:t>投标方案应具有良好的可管理性，网管系统应具有监测、故障诊断、故障隔离、过滤设置等功能，以便于系统的管理和维护。同时应尽可能选取集成度高、模块化、可通用的产品，以便于管理和维护。</w:t>
      </w:r>
    </w:p>
    <w:p w14:paraId="4A5744FC">
      <w:pPr>
        <w:pStyle w:val="4"/>
        <w:spacing w:before="0" w:after="156" w:afterLines="50" w:line="360" w:lineRule="auto"/>
        <w:rPr>
          <w:rFonts w:asciiTheme="majorHAnsi" w:hAnsiTheme="majorHAnsi" w:eastAsiaTheme="majorEastAsia" w:cstheme="majorBidi"/>
          <w:color w:val="auto"/>
          <w:sz w:val="28"/>
          <w:szCs w:val="28"/>
          <w:highlight w:val="none"/>
        </w:rPr>
      </w:pPr>
      <w:bookmarkStart w:id="17" w:name="_Toc2081187115"/>
      <w:r>
        <w:rPr>
          <w:rFonts w:hint="eastAsia" w:asciiTheme="majorHAnsi" w:hAnsiTheme="majorHAnsi" w:eastAsiaTheme="majorEastAsia" w:cstheme="majorBidi"/>
          <w:color w:val="auto"/>
          <w:sz w:val="28"/>
          <w:szCs w:val="28"/>
          <w:highlight w:val="none"/>
          <w:lang w:eastAsia="zh-CN"/>
        </w:rPr>
        <w:t>2.</w:t>
      </w:r>
      <w:r>
        <w:rPr>
          <w:rFonts w:hint="eastAsia" w:asciiTheme="majorHAnsi" w:hAnsiTheme="majorHAnsi" w:eastAsiaTheme="majorEastAsia" w:cstheme="majorBidi"/>
          <w:color w:val="auto"/>
          <w:sz w:val="28"/>
          <w:szCs w:val="28"/>
          <w:highlight w:val="none"/>
        </w:rPr>
        <w:t>服务内容</w:t>
      </w:r>
      <w:bookmarkEnd w:id="17"/>
    </w:p>
    <w:p w14:paraId="10FE4A59">
      <w:pPr>
        <w:pStyle w:val="6"/>
        <w:spacing w:before="100" w:after="100" w:line="360" w:lineRule="auto"/>
        <w:rPr>
          <w:color w:val="auto"/>
          <w:highlight w:val="none"/>
        </w:rPr>
      </w:pPr>
      <w:r>
        <w:rPr>
          <w:color w:val="auto"/>
          <w:highlight w:val="none"/>
        </w:rPr>
        <w:t>1</w:t>
      </w:r>
      <w:r>
        <w:rPr>
          <w:rFonts w:hint="eastAsia"/>
          <w:color w:val="auto"/>
          <w:highlight w:val="none"/>
        </w:rPr>
        <w:t>）学校</w:t>
      </w:r>
      <w:r>
        <w:rPr>
          <w:color w:val="auto"/>
          <w:highlight w:val="none"/>
        </w:rPr>
        <w:t>/</w:t>
      </w:r>
      <w:r>
        <w:rPr>
          <w:rFonts w:hint="eastAsia"/>
          <w:color w:val="auto"/>
          <w:highlight w:val="none"/>
        </w:rPr>
        <w:t>单位及食堂专线接入服务</w:t>
      </w:r>
    </w:p>
    <w:p w14:paraId="01B5498B">
      <w:pPr>
        <w:pStyle w:val="10"/>
        <w:tabs>
          <w:tab w:val="left" w:pos="1000"/>
        </w:tabs>
        <w:snapToGrid w:val="0"/>
        <w:spacing w:line="360" w:lineRule="auto"/>
        <w:ind w:firstLine="417" w:firstLineChars="174"/>
        <w:rPr>
          <w:rFonts w:ascii="宋体" w:hAnsi="宋体" w:cs="宋体"/>
          <w:bCs/>
          <w:color w:val="auto"/>
          <w:sz w:val="24"/>
          <w:szCs w:val="24"/>
          <w:highlight w:val="none"/>
        </w:rPr>
      </w:pPr>
      <w:r>
        <w:rPr>
          <w:rFonts w:hint="eastAsia" w:ascii="宋体" w:hAnsi="宋体" w:cs="宋体"/>
          <w:bCs/>
          <w:color w:val="auto"/>
          <w:sz w:val="24"/>
          <w:szCs w:val="24"/>
          <w:highlight w:val="none"/>
          <w:lang w:eastAsia="zh-CN"/>
        </w:rPr>
        <w:t>以</w:t>
      </w:r>
      <w:r>
        <w:rPr>
          <w:rFonts w:hint="eastAsia" w:ascii="宋体" w:hAnsi="宋体" w:cs="宋体"/>
          <w:bCs/>
          <w:color w:val="auto"/>
          <w:sz w:val="24"/>
          <w:szCs w:val="24"/>
          <w:highlight w:val="none"/>
        </w:rPr>
        <w:t>东西湖区目前131所学校/单位为基础（预留每年学校/单位数量增长5%）建设教育专网，单个接入点的网络实现物理光纤上下行对等</w:t>
      </w:r>
      <w:r>
        <w:rPr>
          <w:rFonts w:hint="eastAsia" w:ascii="宋体" w:hAnsi="宋体" w:cs="宋体"/>
          <w:bCs/>
          <w:color w:val="auto"/>
          <w:sz w:val="24"/>
          <w:szCs w:val="24"/>
          <w:highlight w:val="none"/>
          <w:lang w:val="en-US" w:eastAsia="zh-CN"/>
        </w:rPr>
        <w:t>不低于1000M</w:t>
      </w:r>
      <w:r>
        <w:rPr>
          <w:rFonts w:hint="eastAsia" w:ascii="宋体" w:hAnsi="宋体" w:cs="宋体"/>
          <w:bCs/>
          <w:color w:val="auto"/>
          <w:sz w:val="24"/>
          <w:szCs w:val="24"/>
          <w:highlight w:val="none"/>
        </w:rPr>
        <w:t>带宽互联</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接入互联网汇总总带宽不低于60G。每个月需要提供网络运行情况报表</w:t>
      </w:r>
      <w:r>
        <w:rPr>
          <w:rFonts w:hint="eastAsia" w:ascii="宋体" w:hAnsi="宋体" w:cs="宋体"/>
          <w:bCs/>
          <w:color w:val="auto"/>
          <w:sz w:val="24"/>
          <w:szCs w:val="24"/>
          <w:highlight w:val="none"/>
          <w:lang w:eastAsia="zh-CN"/>
        </w:rPr>
        <w:t>和</w:t>
      </w:r>
      <w:r>
        <w:rPr>
          <w:rFonts w:hint="eastAsia" w:ascii="宋体" w:hAnsi="宋体" w:cs="宋体"/>
          <w:bCs/>
          <w:color w:val="auto"/>
          <w:sz w:val="24"/>
          <w:szCs w:val="24"/>
          <w:highlight w:val="none"/>
        </w:rPr>
        <w:t>重要时间节点网络运维监测服务。每个接入学校/单位配置不少于2个公网固定IP地址。实现各学校/单位入口带宽动态分配、实时调整，班均互联网接入带宽不低于100M。</w:t>
      </w:r>
    </w:p>
    <w:p w14:paraId="02CDFC61">
      <w:pPr>
        <w:pStyle w:val="10"/>
        <w:tabs>
          <w:tab w:val="left" w:pos="1000"/>
        </w:tabs>
        <w:snapToGrid w:val="0"/>
        <w:spacing w:line="360" w:lineRule="auto"/>
        <w:ind w:firstLine="417" w:firstLineChars="174"/>
        <w:rPr>
          <w:rFonts w:ascii="宋体" w:hAnsi="宋体" w:cs="宋体"/>
          <w:bCs/>
          <w:color w:val="auto"/>
          <w:sz w:val="24"/>
          <w:szCs w:val="24"/>
          <w:highlight w:val="none"/>
        </w:rPr>
      </w:pPr>
      <w:r>
        <w:rPr>
          <w:rFonts w:hint="eastAsia" w:ascii="宋体" w:hAnsi="宋体" w:cs="宋体"/>
          <w:bCs/>
          <w:color w:val="auto"/>
          <w:sz w:val="24"/>
          <w:szCs w:val="24"/>
          <w:highlight w:val="none"/>
        </w:rPr>
        <w:t>为东西湖区目前</w:t>
      </w:r>
      <w:r>
        <w:rPr>
          <w:rFonts w:hint="eastAsia" w:ascii="宋体" w:hAnsi="宋体" w:cs="宋体"/>
          <w:bCs/>
          <w:color w:val="auto"/>
          <w:sz w:val="24"/>
          <w:szCs w:val="24"/>
          <w:highlight w:val="none"/>
          <w:lang w:val="en-US" w:eastAsia="zh-CN"/>
        </w:rPr>
        <w:t>71个“</w:t>
      </w:r>
      <w:r>
        <w:rPr>
          <w:rFonts w:hint="eastAsia" w:ascii="宋体" w:hAnsi="宋体" w:cs="宋体"/>
          <w:bCs/>
          <w:color w:val="auto"/>
          <w:sz w:val="24"/>
          <w:szCs w:val="24"/>
          <w:highlight w:val="none"/>
        </w:rPr>
        <w:t>数字食堂</w:t>
      </w:r>
      <w:r>
        <w:rPr>
          <w:rFonts w:hint="eastAsia" w:ascii="宋体" w:hAnsi="宋体" w:cs="宋体"/>
          <w:bCs/>
          <w:color w:val="auto"/>
          <w:sz w:val="24"/>
          <w:szCs w:val="24"/>
          <w:highlight w:val="none"/>
          <w:lang w:val="en-US" w:eastAsia="zh-CN"/>
        </w:rPr>
        <w:t>”点位</w:t>
      </w:r>
      <w:r>
        <w:rPr>
          <w:rFonts w:hint="eastAsia" w:ascii="宋体" w:hAnsi="宋体" w:cs="宋体"/>
          <w:bCs/>
          <w:color w:val="auto"/>
          <w:sz w:val="24"/>
          <w:szCs w:val="24"/>
          <w:highlight w:val="none"/>
        </w:rPr>
        <w:t>（预留每年学校/单位数量增长5%）提供专网，单个接入点的网络实现物理光纤上下行对等</w:t>
      </w:r>
      <w:r>
        <w:rPr>
          <w:rFonts w:hint="eastAsia" w:ascii="宋体" w:hAnsi="宋体" w:cs="宋体"/>
          <w:bCs/>
          <w:color w:val="auto"/>
          <w:sz w:val="24"/>
          <w:szCs w:val="24"/>
          <w:highlight w:val="none"/>
          <w:lang w:val="en-US" w:eastAsia="zh-CN"/>
        </w:rPr>
        <w:t>不低于50M</w:t>
      </w:r>
      <w:r>
        <w:rPr>
          <w:rFonts w:hint="eastAsia" w:ascii="宋体" w:hAnsi="宋体" w:cs="宋体"/>
          <w:bCs/>
          <w:color w:val="auto"/>
          <w:sz w:val="24"/>
          <w:szCs w:val="24"/>
          <w:highlight w:val="none"/>
        </w:rPr>
        <w:t>带宽</w:t>
      </w:r>
      <w:r>
        <w:rPr>
          <w:rFonts w:hint="eastAsia" w:ascii="宋体" w:hAnsi="宋体" w:cs="宋体"/>
          <w:bCs/>
          <w:color w:val="auto"/>
          <w:sz w:val="24"/>
          <w:szCs w:val="24"/>
          <w:highlight w:val="none"/>
          <w:lang w:val="en-US" w:eastAsia="zh-CN"/>
        </w:rPr>
        <w:t>互联至武汉云</w:t>
      </w:r>
      <w:r>
        <w:rPr>
          <w:rFonts w:hint="eastAsia" w:ascii="宋体" w:hAnsi="宋体" w:cs="宋体"/>
          <w:bCs/>
          <w:color w:val="auto"/>
          <w:sz w:val="24"/>
          <w:szCs w:val="24"/>
          <w:highlight w:val="none"/>
        </w:rPr>
        <w:t>。每个月需要提供网络运行情况报表</w:t>
      </w:r>
      <w:r>
        <w:rPr>
          <w:rFonts w:hint="eastAsia" w:ascii="宋体" w:hAnsi="宋体" w:cs="宋体"/>
          <w:bCs/>
          <w:color w:val="auto"/>
          <w:sz w:val="24"/>
          <w:szCs w:val="24"/>
          <w:highlight w:val="none"/>
          <w:lang w:eastAsia="zh-CN"/>
        </w:rPr>
        <w:t>和</w:t>
      </w:r>
      <w:r>
        <w:rPr>
          <w:rFonts w:hint="eastAsia" w:ascii="宋体" w:hAnsi="宋体" w:cs="宋体"/>
          <w:bCs/>
          <w:color w:val="auto"/>
          <w:sz w:val="24"/>
          <w:szCs w:val="24"/>
          <w:highlight w:val="none"/>
        </w:rPr>
        <w:t>重要时间节点网络运维监测服务。</w:t>
      </w:r>
    </w:p>
    <w:p w14:paraId="5D4DB779">
      <w:pPr>
        <w:pStyle w:val="6"/>
        <w:spacing w:before="100" w:after="100" w:line="360" w:lineRule="auto"/>
        <w:rPr>
          <w:color w:val="auto"/>
          <w:highlight w:val="none"/>
        </w:rPr>
      </w:pPr>
      <w:bookmarkStart w:id="18" w:name="_Toc23495218"/>
      <w:r>
        <w:rPr>
          <w:color w:val="auto"/>
          <w:highlight w:val="none"/>
        </w:rPr>
        <w:t>2</w:t>
      </w:r>
      <w:r>
        <w:rPr>
          <w:rFonts w:hint="eastAsia"/>
          <w:color w:val="auto"/>
          <w:highlight w:val="none"/>
        </w:rPr>
        <w:t>）网络及安全</w:t>
      </w:r>
      <w:bookmarkEnd w:id="18"/>
      <w:r>
        <w:rPr>
          <w:rFonts w:hint="eastAsia"/>
          <w:color w:val="auto"/>
          <w:highlight w:val="none"/>
        </w:rPr>
        <w:t>防护服务</w:t>
      </w:r>
    </w:p>
    <w:p w14:paraId="098480D7">
      <w:pPr>
        <w:pStyle w:val="10"/>
        <w:tabs>
          <w:tab w:val="left" w:pos="1000"/>
        </w:tabs>
        <w:snapToGrid w:val="0"/>
        <w:spacing w:line="360" w:lineRule="auto"/>
        <w:ind w:firstLine="417" w:firstLineChars="174"/>
        <w:rPr>
          <w:rFonts w:ascii="宋体" w:hAnsi="宋体" w:cs="宋体"/>
          <w:bCs/>
          <w:color w:val="auto"/>
          <w:sz w:val="24"/>
          <w:szCs w:val="24"/>
          <w:highlight w:val="none"/>
        </w:rPr>
      </w:pPr>
      <w:r>
        <w:rPr>
          <w:rFonts w:hint="eastAsia" w:ascii="宋体" w:hAnsi="宋体" w:cs="宋体"/>
          <w:bCs/>
          <w:color w:val="auto"/>
          <w:sz w:val="24"/>
          <w:szCs w:val="24"/>
          <w:highlight w:val="none"/>
        </w:rPr>
        <w:t>项目网络及安全服务清单包括但不限于</w:t>
      </w:r>
      <w:r>
        <w:rPr>
          <w:rFonts w:hint="eastAsia" w:ascii="宋体" w:hAnsi="宋体" w:cs="宋体"/>
          <w:bCs/>
          <w:color w:val="auto"/>
          <w:sz w:val="24"/>
          <w:szCs w:val="24"/>
          <w:highlight w:val="none"/>
          <w:lang w:eastAsia="zh-CN"/>
        </w:rPr>
        <w:t>以下内容</w:t>
      </w:r>
      <w:r>
        <w:rPr>
          <w:rFonts w:hint="eastAsia" w:ascii="宋体" w:hAnsi="宋体" w:cs="宋体"/>
          <w:bCs/>
          <w:color w:val="auto"/>
          <w:sz w:val="24"/>
          <w:szCs w:val="24"/>
          <w:highlight w:val="none"/>
        </w:rPr>
        <w:t>：</w:t>
      </w:r>
    </w:p>
    <w:tbl>
      <w:tblPr>
        <w:tblStyle w:val="42"/>
        <w:tblW w:w="498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
        <w:gridCol w:w="2419"/>
        <w:gridCol w:w="3115"/>
        <w:gridCol w:w="2157"/>
        <w:gridCol w:w="1311"/>
      </w:tblGrid>
      <w:tr w14:paraId="64708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 w:type="pct"/>
            <w:tcBorders>
              <w:top w:val="single" w:color="auto" w:sz="4" w:space="0"/>
              <w:left w:val="single" w:color="auto" w:sz="4" w:space="0"/>
              <w:bottom w:val="single" w:color="auto" w:sz="4" w:space="0"/>
              <w:right w:val="single" w:color="auto" w:sz="4" w:space="0"/>
            </w:tcBorders>
            <w:vAlign w:val="center"/>
          </w:tcPr>
          <w:p w14:paraId="3B4F7074">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序号</w:t>
            </w:r>
          </w:p>
        </w:tc>
        <w:tc>
          <w:tcPr>
            <w:tcW w:w="2784" w:type="pct"/>
            <w:gridSpan w:val="2"/>
            <w:tcBorders>
              <w:top w:val="single" w:color="auto" w:sz="4" w:space="0"/>
              <w:left w:val="single" w:color="auto" w:sz="4" w:space="0"/>
              <w:bottom w:val="single" w:color="auto" w:sz="4" w:space="0"/>
              <w:right w:val="single" w:color="auto" w:sz="4" w:space="0"/>
            </w:tcBorders>
            <w:vAlign w:val="center"/>
          </w:tcPr>
          <w:p w14:paraId="7023D74A">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服务名称</w:t>
            </w:r>
          </w:p>
        </w:tc>
        <w:tc>
          <w:tcPr>
            <w:tcW w:w="1085" w:type="pct"/>
            <w:tcBorders>
              <w:top w:val="single" w:color="auto" w:sz="4" w:space="0"/>
              <w:left w:val="single" w:color="auto" w:sz="4" w:space="0"/>
              <w:bottom w:val="single" w:color="auto" w:sz="4" w:space="0"/>
              <w:right w:val="single" w:color="auto" w:sz="4" w:space="0"/>
            </w:tcBorders>
            <w:vAlign w:val="center"/>
          </w:tcPr>
          <w:p w14:paraId="36A8E8C2">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数量</w:t>
            </w:r>
          </w:p>
        </w:tc>
        <w:tc>
          <w:tcPr>
            <w:tcW w:w="659" w:type="pct"/>
            <w:tcBorders>
              <w:top w:val="single" w:color="auto" w:sz="4" w:space="0"/>
              <w:left w:val="single" w:color="auto" w:sz="4" w:space="0"/>
              <w:bottom w:val="single" w:color="auto" w:sz="4" w:space="0"/>
              <w:right w:val="single" w:color="auto" w:sz="4" w:space="0"/>
            </w:tcBorders>
            <w:vAlign w:val="center"/>
          </w:tcPr>
          <w:p w14:paraId="08F61AD8">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单位</w:t>
            </w:r>
          </w:p>
        </w:tc>
      </w:tr>
      <w:tr w14:paraId="58E5B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 w:type="pct"/>
            <w:tcBorders>
              <w:top w:val="single" w:color="auto" w:sz="4" w:space="0"/>
              <w:left w:val="single" w:color="auto" w:sz="4" w:space="0"/>
              <w:bottom w:val="single" w:color="auto" w:sz="4" w:space="0"/>
              <w:right w:val="single" w:color="auto" w:sz="4" w:space="0"/>
            </w:tcBorders>
            <w:vAlign w:val="center"/>
          </w:tcPr>
          <w:p w14:paraId="4BADCAA5">
            <w:pPr>
              <w:jc w:val="center"/>
              <w:rPr>
                <w:rFonts w:ascii="宋体" w:hAnsi="宋体" w:cs="宋体"/>
                <w:bCs/>
                <w:color w:val="auto"/>
                <w:sz w:val="24"/>
                <w:szCs w:val="24"/>
                <w:highlight w:val="none"/>
              </w:rPr>
            </w:pPr>
            <w:bookmarkStart w:id="19" w:name="_Hlk231805623"/>
            <w:r>
              <w:rPr>
                <w:rFonts w:hint="eastAsia" w:ascii="宋体" w:hAnsi="宋体" w:cs="宋体"/>
                <w:bCs/>
                <w:color w:val="auto"/>
                <w:sz w:val="24"/>
                <w:szCs w:val="24"/>
                <w:highlight w:val="none"/>
              </w:rPr>
              <w:t>1</w:t>
            </w:r>
          </w:p>
        </w:tc>
        <w:tc>
          <w:tcPr>
            <w:tcW w:w="1217" w:type="pct"/>
            <w:vMerge w:val="restart"/>
            <w:tcBorders>
              <w:top w:val="single" w:color="auto" w:sz="4" w:space="0"/>
              <w:left w:val="single" w:color="auto" w:sz="4" w:space="0"/>
              <w:right w:val="single" w:color="auto" w:sz="4" w:space="0"/>
            </w:tcBorders>
            <w:shd w:val="clear" w:color="auto" w:fill="auto"/>
            <w:vAlign w:val="center"/>
          </w:tcPr>
          <w:p w14:paraId="6544043D">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r>
              <w:rPr>
                <w:rFonts w:hint="eastAsia" w:ascii="宋体" w:eastAsia="宋体"/>
                <w:color w:val="auto"/>
                <w:sz w:val="24"/>
                <w:szCs w:val="24"/>
                <w:highlight w:val="none"/>
              </w:rPr>
              <w:t>基础网络架构服务</w:t>
            </w:r>
          </w:p>
        </w:tc>
        <w:tc>
          <w:tcPr>
            <w:tcW w:w="1567" w:type="pct"/>
            <w:tcBorders>
              <w:top w:val="single" w:color="auto" w:sz="4" w:space="0"/>
              <w:left w:val="single" w:color="auto" w:sz="4" w:space="0"/>
              <w:bottom w:val="single" w:color="auto" w:sz="4" w:space="0"/>
              <w:right w:val="single" w:color="auto" w:sz="4" w:space="0"/>
            </w:tcBorders>
            <w:shd w:val="clear" w:color="auto" w:fill="auto"/>
            <w:vAlign w:val="center"/>
          </w:tcPr>
          <w:p w14:paraId="653A227C">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负载均衡服务</w:t>
            </w:r>
          </w:p>
        </w:tc>
        <w:tc>
          <w:tcPr>
            <w:tcW w:w="1085" w:type="pct"/>
            <w:tcBorders>
              <w:top w:val="single" w:color="auto" w:sz="4" w:space="0"/>
              <w:left w:val="single" w:color="auto" w:sz="4" w:space="0"/>
              <w:bottom w:val="single" w:color="auto" w:sz="4" w:space="0"/>
              <w:right w:val="single" w:color="auto" w:sz="4" w:space="0"/>
            </w:tcBorders>
            <w:vAlign w:val="center"/>
          </w:tcPr>
          <w:p w14:paraId="7D63925D">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w:t>
            </w:r>
          </w:p>
        </w:tc>
        <w:tc>
          <w:tcPr>
            <w:tcW w:w="659" w:type="pct"/>
            <w:tcBorders>
              <w:top w:val="single" w:color="auto" w:sz="4" w:space="0"/>
              <w:left w:val="single" w:color="auto" w:sz="4" w:space="0"/>
              <w:bottom w:val="single" w:color="auto" w:sz="4" w:space="0"/>
              <w:right w:val="single" w:color="auto" w:sz="4" w:space="0"/>
            </w:tcBorders>
            <w:vAlign w:val="center"/>
          </w:tcPr>
          <w:p w14:paraId="6FF303CD">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项</w:t>
            </w:r>
          </w:p>
        </w:tc>
      </w:tr>
      <w:tr w14:paraId="00CDE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 w:type="pct"/>
            <w:tcBorders>
              <w:top w:val="single" w:color="auto" w:sz="4" w:space="0"/>
              <w:left w:val="single" w:color="auto" w:sz="4" w:space="0"/>
              <w:bottom w:val="single" w:color="auto" w:sz="4" w:space="0"/>
              <w:right w:val="single" w:color="auto" w:sz="4" w:space="0"/>
            </w:tcBorders>
            <w:vAlign w:val="center"/>
          </w:tcPr>
          <w:p w14:paraId="0A4CB6C1">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2</w:t>
            </w:r>
          </w:p>
        </w:tc>
        <w:tc>
          <w:tcPr>
            <w:tcW w:w="1217" w:type="pct"/>
            <w:vMerge w:val="continue"/>
            <w:tcBorders>
              <w:left w:val="single" w:color="auto" w:sz="4" w:space="0"/>
              <w:right w:val="single" w:color="auto" w:sz="4" w:space="0"/>
            </w:tcBorders>
            <w:vAlign w:val="center"/>
          </w:tcPr>
          <w:p w14:paraId="3C0BB4C0">
            <w:pPr>
              <w:rPr>
                <w:rFonts w:ascii="宋体" w:hAnsi="宋体" w:cs="宋体"/>
                <w:bCs/>
                <w:color w:val="auto"/>
                <w:sz w:val="24"/>
                <w:szCs w:val="24"/>
                <w:highlight w:val="none"/>
              </w:rPr>
            </w:pPr>
          </w:p>
        </w:tc>
        <w:tc>
          <w:tcPr>
            <w:tcW w:w="1567" w:type="pct"/>
            <w:tcBorders>
              <w:top w:val="single" w:color="auto" w:sz="4" w:space="0"/>
              <w:left w:val="single" w:color="auto" w:sz="4" w:space="0"/>
              <w:bottom w:val="single" w:color="auto" w:sz="4" w:space="0"/>
              <w:right w:val="single" w:color="auto" w:sz="4" w:space="0"/>
            </w:tcBorders>
            <w:shd w:val="clear" w:color="auto" w:fill="auto"/>
            <w:vAlign w:val="center"/>
          </w:tcPr>
          <w:p w14:paraId="1574CF1E">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核心交换服务</w:t>
            </w:r>
          </w:p>
        </w:tc>
        <w:tc>
          <w:tcPr>
            <w:tcW w:w="1085" w:type="pct"/>
            <w:tcBorders>
              <w:top w:val="single" w:color="auto" w:sz="4" w:space="0"/>
              <w:left w:val="single" w:color="auto" w:sz="4" w:space="0"/>
              <w:bottom w:val="single" w:color="auto" w:sz="4" w:space="0"/>
              <w:right w:val="single" w:color="auto" w:sz="4" w:space="0"/>
            </w:tcBorders>
            <w:vAlign w:val="center"/>
          </w:tcPr>
          <w:p w14:paraId="2821EACA">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w:t>
            </w:r>
          </w:p>
        </w:tc>
        <w:tc>
          <w:tcPr>
            <w:tcW w:w="659" w:type="pct"/>
            <w:tcBorders>
              <w:top w:val="single" w:color="auto" w:sz="4" w:space="0"/>
              <w:left w:val="single" w:color="auto" w:sz="4" w:space="0"/>
              <w:bottom w:val="single" w:color="auto" w:sz="4" w:space="0"/>
              <w:right w:val="single" w:color="auto" w:sz="4" w:space="0"/>
            </w:tcBorders>
            <w:vAlign w:val="center"/>
          </w:tcPr>
          <w:p w14:paraId="38391456">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项</w:t>
            </w:r>
          </w:p>
        </w:tc>
      </w:tr>
      <w:tr w14:paraId="16DF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 w:type="pct"/>
            <w:tcBorders>
              <w:top w:val="single" w:color="auto" w:sz="4" w:space="0"/>
              <w:left w:val="single" w:color="auto" w:sz="4" w:space="0"/>
              <w:bottom w:val="single" w:color="auto" w:sz="4" w:space="0"/>
              <w:right w:val="single" w:color="auto" w:sz="4" w:space="0"/>
            </w:tcBorders>
            <w:vAlign w:val="center"/>
          </w:tcPr>
          <w:p w14:paraId="00FB8D04">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3</w:t>
            </w:r>
          </w:p>
        </w:tc>
        <w:tc>
          <w:tcPr>
            <w:tcW w:w="1217" w:type="pct"/>
            <w:vMerge w:val="continue"/>
            <w:tcBorders>
              <w:left w:val="single" w:color="auto" w:sz="4" w:space="0"/>
              <w:right w:val="single" w:color="auto" w:sz="4" w:space="0"/>
            </w:tcBorders>
            <w:vAlign w:val="center"/>
          </w:tcPr>
          <w:p w14:paraId="4D5D83C1">
            <w:pPr>
              <w:rPr>
                <w:rFonts w:ascii="宋体" w:hAnsi="宋体" w:cs="宋体"/>
                <w:bCs/>
                <w:color w:val="auto"/>
                <w:sz w:val="24"/>
                <w:szCs w:val="24"/>
                <w:highlight w:val="none"/>
              </w:rPr>
            </w:pPr>
          </w:p>
        </w:tc>
        <w:tc>
          <w:tcPr>
            <w:tcW w:w="1567" w:type="pct"/>
            <w:tcBorders>
              <w:top w:val="single" w:color="auto" w:sz="4" w:space="0"/>
              <w:left w:val="single" w:color="auto" w:sz="4" w:space="0"/>
              <w:bottom w:val="single" w:color="auto" w:sz="4" w:space="0"/>
              <w:right w:val="single" w:color="auto" w:sz="4" w:space="0"/>
            </w:tcBorders>
            <w:shd w:val="clear" w:color="auto" w:fill="auto"/>
            <w:vAlign w:val="center"/>
          </w:tcPr>
          <w:p w14:paraId="1F214260">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汇聚交换服务</w:t>
            </w:r>
          </w:p>
        </w:tc>
        <w:tc>
          <w:tcPr>
            <w:tcW w:w="1085" w:type="pct"/>
            <w:tcBorders>
              <w:top w:val="single" w:color="auto" w:sz="4" w:space="0"/>
              <w:left w:val="single" w:color="auto" w:sz="4" w:space="0"/>
              <w:bottom w:val="single" w:color="auto" w:sz="4" w:space="0"/>
              <w:right w:val="single" w:color="auto" w:sz="4" w:space="0"/>
            </w:tcBorders>
            <w:vAlign w:val="center"/>
          </w:tcPr>
          <w:p w14:paraId="179470E3">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w:t>
            </w:r>
          </w:p>
        </w:tc>
        <w:tc>
          <w:tcPr>
            <w:tcW w:w="659" w:type="pct"/>
            <w:tcBorders>
              <w:top w:val="single" w:color="auto" w:sz="4" w:space="0"/>
              <w:left w:val="single" w:color="auto" w:sz="4" w:space="0"/>
              <w:bottom w:val="single" w:color="auto" w:sz="4" w:space="0"/>
              <w:right w:val="single" w:color="auto" w:sz="4" w:space="0"/>
            </w:tcBorders>
            <w:vAlign w:val="center"/>
          </w:tcPr>
          <w:p w14:paraId="34BB7760">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项</w:t>
            </w:r>
          </w:p>
        </w:tc>
      </w:tr>
      <w:tr w14:paraId="2D7B9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 w:type="pct"/>
            <w:tcBorders>
              <w:top w:val="single" w:color="auto" w:sz="4" w:space="0"/>
              <w:left w:val="single" w:color="auto" w:sz="4" w:space="0"/>
              <w:bottom w:val="single" w:color="auto" w:sz="4" w:space="0"/>
              <w:right w:val="single" w:color="auto" w:sz="4" w:space="0"/>
            </w:tcBorders>
            <w:vAlign w:val="center"/>
          </w:tcPr>
          <w:p w14:paraId="172E4B93">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4</w:t>
            </w:r>
          </w:p>
        </w:tc>
        <w:tc>
          <w:tcPr>
            <w:tcW w:w="1217" w:type="pct"/>
            <w:vMerge w:val="continue"/>
            <w:tcBorders>
              <w:left w:val="single" w:color="auto" w:sz="4" w:space="0"/>
              <w:right w:val="single" w:color="auto" w:sz="4" w:space="0"/>
            </w:tcBorders>
            <w:vAlign w:val="center"/>
          </w:tcPr>
          <w:p w14:paraId="66161513">
            <w:pPr>
              <w:rPr>
                <w:rFonts w:ascii="宋体" w:hAnsi="宋体" w:cs="宋体"/>
                <w:bCs/>
                <w:color w:val="auto"/>
                <w:sz w:val="24"/>
                <w:szCs w:val="24"/>
                <w:highlight w:val="none"/>
              </w:rPr>
            </w:pPr>
          </w:p>
        </w:tc>
        <w:tc>
          <w:tcPr>
            <w:tcW w:w="1567" w:type="pct"/>
            <w:tcBorders>
              <w:top w:val="single" w:color="auto" w:sz="4" w:space="0"/>
              <w:left w:val="single" w:color="auto" w:sz="4" w:space="0"/>
              <w:bottom w:val="single" w:color="auto" w:sz="4" w:space="0"/>
              <w:right w:val="single" w:color="auto" w:sz="4" w:space="0"/>
            </w:tcBorders>
            <w:shd w:val="clear" w:color="auto" w:fill="auto"/>
            <w:vAlign w:val="center"/>
          </w:tcPr>
          <w:p w14:paraId="6C3A1BF8">
            <w:pPr>
              <w:snapToGrid w:val="0"/>
              <w:ind w:left="0" w:leftChars="0" w:right="0" w:rightChars="0" w:firstLine="0" w:firstLineChars="0"/>
              <w:jc w:val="left"/>
              <w:rPr>
                <w:rFonts w:hint="eastAsia" w:ascii="宋体" w:eastAsia="宋体" w:hAnsiTheme="minorHAnsi" w:cstheme="minorBidi"/>
                <w:color w:val="auto"/>
                <w:kern w:val="2"/>
                <w:sz w:val="24"/>
                <w:szCs w:val="22"/>
                <w:highlight w:val="none"/>
                <w:lang w:val="en-US" w:eastAsia="zh-CN" w:bidi="ar-SA"/>
              </w:rPr>
            </w:pPr>
            <w:r>
              <w:rPr>
                <w:rFonts w:hint="eastAsia" w:ascii="宋体" w:eastAsia="宋体"/>
                <w:color w:val="auto"/>
                <w:sz w:val="24"/>
                <w:highlight w:val="none"/>
                <w:lang w:val="en-US" w:eastAsia="zh-CN"/>
              </w:rPr>
              <w:t>接入交换服务</w:t>
            </w:r>
          </w:p>
        </w:tc>
        <w:tc>
          <w:tcPr>
            <w:tcW w:w="1085" w:type="pct"/>
            <w:tcBorders>
              <w:top w:val="single" w:color="auto" w:sz="4" w:space="0"/>
              <w:left w:val="single" w:color="auto" w:sz="4" w:space="0"/>
              <w:bottom w:val="single" w:color="auto" w:sz="4" w:space="0"/>
              <w:right w:val="single" w:color="auto" w:sz="4" w:space="0"/>
            </w:tcBorders>
            <w:vAlign w:val="center"/>
          </w:tcPr>
          <w:p w14:paraId="78336F76">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w:t>
            </w:r>
          </w:p>
        </w:tc>
        <w:tc>
          <w:tcPr>
            <w:tcW w:w="659" w:type="pct"/>
            <w:tcBorders>
              <w:top w:val="single" w:color="auto" w:sz="4" w:space="0"/>
              <w:left w:val="single" w:color="auto" w:sz="4" w:space="0"/>
              <w:bottom w:val="single" w:color="auto" w:sz="4" w:space="0"/>
              <w:right w:val="single" w:color="auto" w:sz="4" w:space="0"/>
            </w:tcBorders>
            <w:vAlign w:val="center"/>
          </w:tcPr>
          <w:p w14:paraId="684801D8">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项</w:t>
            </w:r>
          </w:p>
        </w:tc>
      </w:tr>
      <w:tr w14:paraId="50C6F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 w:type="pct"/>
            <w:tcBorders>
              <w:top w:val="single" w:color="auto" w:sz="4" w:space="0"/>
              <w:left w:val="single" w:color="auto" w:sz="4" w:space="0"/>
              <w:bottom w:val="single" w:color="auto" w:sz="4" w:space="0"/>
              <w:right w:val="single" w:color="auto" w:sz="4" w:space="0"/>
            </w:tcBorders>
            <w:vAlign w:val="center"/>
          </w:tcPr>
          <w:p w14:paraId="639CC068">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5</w:t>
            </w:r>
          </w:p>
        </w:tc>
        <w:tc>
          <w:tcPr>
            <w:tcW w:w="1217" w:type="pct"/>
            <w:vMerge w:val="continue"/>
            <w:tcBorders>
              <w:left w:val="single" w:color="auto" w:sz="4" w:space="0"/>
              <w:bottom w:val="single" w:color="auto" w:sz="4" w:space="0"/>
              <w:right w:val="single" w:color="auto" w:sz="4" w:space="0"/>
            </w:tcBorders>
            <w:vAlign w:val="center"/>
          </w:tcPr>
          <w:p w14:paraId="0F8E34CB">
            <w:pPr>
              <w:rPr>
                <w:rFonts w:ascii="宋体" w:hAnsi="宋体" w:cs="宋体"/>
                <w:bCs/>
                <w:color w:val="auto"/>
                <w:sz w:val="24"/>
                <w:szCs w:val="24"/>
                <w:highlight w:val="none"/>
              </w:rPr>
            </w:pPr>
          </w:p>
        </w:tc>
        <w:tc>
          <w:tcPr>
            <w:tcW w:w="1567" w:type="pct"/>
            <w:tcBorders>
              <w:top w:val="single" w:color="auto" w:sz="4" w:space="0"/>
              <w:left w:val="single" w:color="auto" w:sz="4" w:space="0"/>
              <w:bottom w:val="single" w:color="auto" w:sz="4" w:space="0"/>
              <w:right w:val="single" w:color="auto" w:sz="4" w:space="0"/>
            </w:tcBorders>
            <w:shd w:val="clear" w:color="auto" w:fill="auto"/>
            <w:vAlign w:val="center"/>
          </w:tcPr>
          <w:p w14:paraId="5F87BA33">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网络集控管理系统服务</w:t>
            </w:r>
          </w:p>
        </w:tc>
        <w:tc>
          <w:tcPr>
            <w:tcW w:w="1085" w:type="pct"/>
            <w:tcBorders>
              <w:top w:val="single" w:color="auto" w:sz="4" w:space="0"/>
              <w:left w:val="single" w:color="auto" w:sz="4" w:space="0"/>
              <w:bottom w:val="single" w:color="auto" w:sz="4" w:space="0"/>
              <w:right w:val="single" w:color="auto" w:sz="4" w:space="0"/>
            </w:tcBorders>
            <w:vAlign w:val="center"/>
          </w:tcPr>
          <w:p w14:paraId="5D8C0F82">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w:t>
            </w:r>
          </w:p>
        </w:tc>
        <w:tc>
          <w:tcPr>
            <w:tcW w:w="659" w:type="pct"/>
            <w:tcBorders>
              <w:top w:val="single" w:color="auto" w:sz="4" w:space="0"/>
              <w:left w:val="single" w:color="auto" w:sz="4" w:space="0"/>
              <w:bottom w:val="single" w:color="auto" w:sz="4" w:space="0"/>
              <w:right w:val="single" w:color="auto" w:sz="4" w:space="0"/>
            </w:tcBorders>
            <w:vAlign w:val="center"/>
          </w:tcPr>
          <w:p w14:paraId="613BDE2B">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项</w:t>
            </w:r>
          </w:p>
        </w:tc>
      </w:tr>
      <w:tr w14:paraId="44EC0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0" w:type="pct"/>
            <w:tcBorders>
              <w:top w:val="single" w:color="auto" w:sz="4" w:space="0"/>
              <w:left w:val="single" w:color="auto" w:sz="4" w:space="0"/>
              <w:bottom w:val="single" w:color="auto" w:sz="4" w:space="0"/>
              <w:right w:val="single" w:color="auto" w:sz="4" w:space="0"/>
            </w:tcBorders>
            <w:vAlign w:val="center"/>
          </w:tcPr>
          <w:p w14:paraId="7A803955">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6</w:t>
            </w:r>
          </w:p>
        </w:tc>
        <w:tc>
          <w:tcPr>
            <w:tcW w:w="1217" w:type="pct"/>
            <w:vMerge w:val="restart"/>
            <w:tcBorders>
              <w:top w:val="single" w:color="auto" w:sz="4" w:space="0"/>
              <w:left w:val="single" w:color="auto" w:sz="4" w:space="0"/>
              <w:right w:val="single" w:color="auto" w:sz="4" w:space="0"/>
            </w:tcBorders>
            <w:shd w:val="clear" w:color="auto" w:fill="auto"/>
            <w:vAlign w:val="center"/>
          </w:tcPr>
          <w:p w14:paraId="24246558">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r>
              <w:rPr>
                <w:rFonts w:hint="eastAsia" w:ascii="宋体" w:eastAsia="宋体"/>
                <w:color w:val="auto"/>
                <w:sz w:val="24"/>
                <w:szCs w:val="24"/>
                <w:highlight w:val="none"/>
              </w:rPr>
              <w:t>安全防护与管控服务</w:t>
            </w:r>
          </w:p>
        </w:tc>
        <w:tc>
          <w:tcPr>
            <w:tcW w:w="1567" w:type="pct"/>
            <w:tcBorders>
              <w:top w:val="single" w:color="auto" w:sz="4" w:space="0"/>
              <w:left w:val="single" w:color="auto" w:sz="4" w:space="0"/>
              <w:bottom w:val="single" w:color="auto" w:sz="4" w:space="0"/>
              <w:right w:val="single" w:color="auto" w:sz="4" w:space="0"/>
            </w:tcBorders>
            <w:shd w:val="clear" w:color="auto" w:fill="auto"/>
            <w:vAlign w:val="center"/>
          </w:tcPr>
          <w:p w14:paraId="4B2AFC65">
            <w:pPr>
              <w:snapToGrid w:val="0"/>
              <w:spacing w:line="240" w:lineRule="auto"/>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边界基础防护服务</w:t>
            </w:r>
          </w:p>
        </w:tc>
        <w:tc>
          <w:tcPr>
            <w:tcW w:w="1085" w:type="pct"/>
            <w:tcBorders>
              <w:top w:val="single" w:color="auto" w:sz="4" w:space="0"/>
              <w:left w:val="single" w:color="auto" w:sz="4" w:space="0"/>
              <w:bottom w:val="single" w:color="auto" w:sz="4" w:space="0"/>
              <w:right w:val="single" w:color="auto" w:sz="4" w:space="0"/>
            </w:tcBorders>
            <w:vAlign w:val="center"/>
          </w:tcPr>
          <w:p w14:paraId="2350B75D">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w:t>
            </w:r>
          </w:p>
        </w:tc>
        <w:tc>
          <w:tcPr>
            <w:tcW w:w="659" w:type="pct"/>
            <w:tcBorders>
              <w:top w:val="single" w:color="auto" w:sz="4" w:space="0"/>
              <w:left w:val="single" w:color="auto" w:sz="4" w:space="0"/>
              <w:bottom w:val="single" w:color="auto" w:sz="4" w:space="0"/>
              <w:right w:val="single" w:color="auto" w:sz="4" w:space="0"/>
            </w:tcBorders>
            <w:vAlign w:val="center"/>
          </w:tcPr>
          <w:p w14:paraId="6A972ED1">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项</w:t>
            </w:r>
          </w:p>
        </w:tc>
      </w:tr>
      <w:tr w14:paraId="3AE44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 w:type="pct"/>
            <w:tcBorders>
              <w:top w:val="single" w:color="auto" w:sz="4" w:space="0"/>
              <w:left w:val="single" w:color="auto" w:sz="4" w:space="0"/>
              <w:bottom w:val="single" w:color="auto" w:sz="4" w:space="0"/>
              <w:right w:val="single" w:color="auto" w:sz="4" w:space="0"/>
            </w:tcBorders>
            <w:vAlign w:val="center"/>
          </w:tcPr>
          <w:p w14:paraId="2D993051">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7</w:t>
            </w:r>
          </w:p>
        </w:tc>
        <w:tc>
          <w:tcPr>
            <w:tcW w:w="1217" w:type="pct"/>
            <w:vMerge w:val="continue"/>
            <w:tcBorders>
              <w:left w:val="single" w:color="auto" w:sz="4" w:space="0"/>
              <w:right w:val="single" w:color="auto" w:sz="4" w:space="0"/>
            </w:tcBorders>
            <w:vAlign w:val="center"/>
          </w:tcPr>
          <w:p w14:paraId="68DF67B8">
            <w:pPr>
              <w:rPr>
                <w:rFonts w:ascii="宋体" w:hAnsi="宋体" w:cs="宋体"/>
                <w:bCs/>
                <w:color w:val="auto"/>
                <w:sz w:val="24"/>
                <w:szCs w:val="24"/>
                <w:highlight w:val="none"/>
              </w:rPr>
            </w:pPr>
          </w:p>
        </w:tc>
        <w:tc>
          <w:tcPr>
            <w:tcW w:w="1567" w:type="pct"/>
            <w:tcBorders>
              <w:top w:val="single" w:color="auto" w:sz="4" w:space="0"/>
              <w:left w:val="single" w:color="auto" w:sz="4" w:space="0"/>
              <w:bottom w:val="single" w:color="auto" w:sz="4" w:space="0"/>
              <w:right w:val="single" w:color="auto" w:sz="4" w:space="0"/>
            </w:tcBorders>
            <w:shd w:val="clear" w:color="auto" w:fill="auto"/>
            <w:vAlign w:val="center"/>
          </w:tcPr>
          <w:p w14:paraId="5E6E4CF6">
            <w:pPr>
              <w:snapToGrid w:val="0"/>
              <w:spacing w:line="240" w:lineRule="auto"/>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身份与上网行为管控服务</w:t>
            </w:r>
          </w:p>
        </w:tc>
        <w:tc>
          <w:tcPr>
            <w:tcW w:w="1085" w:type="pct"/>
            <w:tcBorders>
              <w:top w:val="single" w:color="auto" w:sz="4" w:space="0"/>
              <w:left w:val="single" w:color="auto" w:sz="4" w:space="0"/>
              <w:bottom w:val="single" w:color="auto" w:sz="4" w:space="0"/>
              <w:right w:val="single" w:color="auto" w:sz="4" w:space="0"/>
            </w:tcBorders>
            <w:vAlign w:val="center"/>
          </w:tcPr>
          <w:p w14:paraId="5D9AE4F2">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w:t>
            </w:r>
          </w:p>
        </w:tc>
        <w:tc>
          <w:tcPr>
            <w:tcW w:w="659" w:type="pct"/>
            <w:tcBorders>
              <w:top w:val="single" w:color="auto" w:sz="4" w:space="0"/>
              <w:left w:val="single" w:color="auto" w:sz="4" w:space="0"/>
              <w:bottom w:val="single" w:color="auto" w:sz="4" w:space="0"/>
              <w:right w:val="single" w:color="auto" w:sz="4" w:space="0"/>
            </w:tcBorders>
            <w:vAlign w:val="center"/>
          </w:tcPr>
          <w:p w14:paraId="1A4DEF5C">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项</w:t>
            </w:r>
          </w:p>
        </w:tc>
      </w:tr>
      <w:tr w14:paraId="14896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 w:type="pct"/>
            <w:tcBorders>
              <w:top w:val="single" w:color="auto" w:sz="4" w:space="0"/>
              <w:left w:val="single" w:color="auto" w:sz="4" w:space="0"/>
              <w:bottom w:val="single" w:color="auto" w:sz="4" w:space="0"/>
              <w:right w:val="single" w:color="auto" w:sz="4" w:space="0"/>
            </w:tcBorders>
            <w:vAlign w:val="center"/>
          </w:tcPr>
          <w:p w14:paraId="63B49DE8">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8</w:t>
            </w:r>
          </w:p>
        </w:tc>
        <w:tc>
          <w:tcPr>
            <w:tcW w:w="1217" w:type="pct"/>
            <w:vMerge w:val="continue"/>
            <w:tcBorders>
              <w:left w:val="single" w:color="auto" w:sz="4" w:space="0"/>
              <w:right w:val="single" w:color="auto" w:sz="4" w:space="0"/>
            </w:tcBorders>
            <w:vAlign w:val="center"/>
          </w:tcPr>
          <w:p w14:paraId="231AB5E2">
            <w:pPr>
              <w:rPr>
                <w:rFonts w:ascii="宋体" w:hAnsi="宋体" w:cs="宋体"/>
                <w:bCs/>
                <w:color w:val="auto"/>
                <w:sz w:val="24"/>
                <w:szCs w:val="24"/>
                <w:highlight w:val="none"/>
              </w:rPr>
            </w:pPr>
          </w:p>
        </w:tc>
        <w:tc>
          <w:tcPr>
            <w:tcW w:w="1567" w:type="pct"/>
            <w:tcBorders>
              <w:top w:val="single" w:color="auto" w:sz="4" w:space="0"/>
              <w:left w:val="single" w:color="auto" w:sz="4" w:space="0"/>
              <w:bottom w:val="single" w:color="auto" w:sz="4" w:space="0"/>
              <w:right w:val="single" w:color="auto" w:sz="4" w:space="0"/>
            </w:tcBorders>
            <w:shd w:val="clear" w:color="auto" w:fill="auto"/>
            <w:vAlign w:val="center"/>
          </w:tcPr>
          <w:p w14:paraId="630D8CF7">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r>
              <w:rPr>
                <w:rFonts w:ascii="宋体" w:hAnsi="宋体" w:eastAsia="宋体" w:cs="宋体"/>
                <w:bCs/>
                <w:color w:val="auto"/>
                <w:sz w:val="24"/>
                <w:szCs w:val="24"/>
                <w:highlight w:val="none"/>
              </w:rPr>
              <w:t>安全集中管理控制服务</w:t>
            </w:r>
          </w:p>
        </w:tc>
        <w:tc>
          <w:tcPr>
            <w:tcW w:w="1085" w:type="pct"/>
            <w:tcBorders>
              <w:top w:val="single" w:color="auto" w:sz="4" w:space="0"/>
              <w:left w:val="single" w:color="auto" w:sz="4" w:space="0"/>
              <w:bottom w:val="single" w:color="auto" w:sz="4" w:space="0"/>
              <w:right w:val="single" w:color="auto" w:sz="4" w:space="0"/>
            </w:tcBorders>
            <w:vAlign w:val="center"/>
          </w:tcPr>
          <w:p w14:paraId="52C06875">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w:t>
            </w:r>
          </w:p>
        </w:tc>
        <w:tc>
          <w:tcPr>
            <w:tcW w:w="659" w:type="pct"/>
            <w:tcBorders>
              <w:top w:val="single" w:color="auto" w:sz="4" w:space="0"/>
              <w:left w:val="single" w:color="auto" w:sz="4" w:space="0"/>
              <w:bottom w:val="single" w:color="auto" w:sz="4" w:space="0"/>
              <w:right w:val="single" w:color="auto" w:sz="4" w:space="0"/>
            </w:tcBorders>
            <w:vAlign w:val="center"/>
          </w:tcPr>
          <w:p w14:paraId="3A7423AD">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项</w:t>
            </w:r>
          </w:p>
        </w:tc>
      </w:tr>
      <w:tr w14:paraId="7AA4E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 w:type="pct"/>
            <w:tcBorders>
              <w:top w:val="single" w:color="auto" w:sz="4" w:space="0"/>
              <w:left w:val="single" w:color="auto" w:sz="4" w:space="0"/>
              <w:bottom w:val="single" w:color="auto" w:sz="4" w:space="0"/>
              <w:right w:val="single" w:color="auto" w:sz="4" w:space="0"/>
            </w:tcBorders>
            <w:vAlign w:val="center"/>
          </w:tcPr>
          <w:p w14:paraId="4C9AC8CD">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9</w:t>
            </w:r>
          </w:p>
        </w:tc>
        <w:tc>
          <w:tcPr>
            <w:tcW w:w="1217" w:type="pct"/>
            <w:vMerge w:val="continue"/>
            <w:tcBorders>
              <w:left w:val="single" w:color="auto" w:sz="4" w:space="0"/>
              <w:right w:val="single" w:color="auto" w:sz="4" w:space="0"/>
            </w:tcBorders>
            <w:vAlign w:val="center"/>
          </w:tcPr>
          <w:p w14:paraId="69163CB5">
            <w:pPr>
              <w:rPr>
                <w:rFonts w:ascii="宋体" w:hAnsi="宋体" w:cs="宋体"/>
                <w:bCs/>
                <w:color w:val="auto"/>
                <w:sz w:val="24"/>
                <w:szCs w:val="24"/>
                <w:highlight w:val="none"/>
              </w:rPr>
            </w:pPr>
          </w:p>
        </w:tc>
        <w:tc>
          <w:tcPr>
            <w:tcW w:w="1567" w:type="pct"/>
            <w:tcBorders>
              <w:top w:val="single" w:color="auto" w:sz="4" w:space="0"/>
              <w:left w:val="single" w:color="auto" w:sz="4" w:space="0"/>
              <w:bottom w:val="single" w:color="auto" w:sz="4" w:space="0"/>
              <w:right w:val="single" w:color="auto" w:sz="4" w:space="0"/>
            </w:tcBorders>
            <w:shd w:val="clear" w:color="auto" w:fill="auto"/>
            <w:vAlign w:val="center"/>
          </w:tcPr>
          <w:p w14:paraId="67E76E10">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r>
              <w:rPr>
                <w:rFonts w:ascii="宋体" w:hAnsi="宋体" w:eastAsia="宋体" w:cs="宋体"/>
                <w:bCs/>
                <w:color w:val="auto"/>
                <w:sz w:val="24"/>
                <w:szCs w:val="24"/>
                <w:highlight w:val="none"/>
              </w:rPr>
              <w:t>全流威胁检测</w:t>
            </w:r>
            <w:r>
              <w:rPr>
                <w:rFonts w:hint="eastAsia" w:ascii="宋体" w:hAnsi="宋体" w:eastAsia="宋体" w:cs="宋体"/>
                <w:bCs/>
                <w:color w:val="auto"/>
                <w:sz w:val="24"/>
                <w:szCs w:val="24"/>
                <w:highlight w:val="none"/>
              </w:rPr>
              <w:t>服务</w:t>
            </w:r>
          </w:p>
        </w:tc>
        <w:tc>
          <w:tcPr>
            <w:tcW w:w="1085" w:type="pct"/>
            <w:tcBorders>
              <w:top w:val="single" w:color="auto" w:sz="4" w:space="0"/>
              <w:left w:val="single" w:color="auto" w:sz="4" w:space="0"/>
              <w:bottom w:val="single" w:color="auto" w:sz="4" w:space="0"/>
              <w:right w:val="single" w:color="auto" w:sz="4" w:space="0"/>
            </w:tcBorders>
            <w:vAlign w:val="center"/>
          </w:tcPr>
          <w:p w14:paraId="1523DC99">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w:t>
            </w:r>
          </w:p>
        </w:tc>
        <w:tc>
          <w:tcPr>
            <w:tcW w:w="659" w:type="pct"/>
            <w:tcBorders>
              <w:top w:val="single" w:color="auto" w:sz="4" w:space="0"/>
              <w:left w:val="single" w:color="auto" w:sz="4" w:space="0"/>
              <w:bottom w:val="single" w:color="auto" w:sz="4" w:space="0"/>
              <w:right w:val="single" w:color="auto" w:sz="4" w:space="0"/>
            </w:tcBorders>
            <w:vAlign w:val="center"/>
          </w:tcPr>
          <w:p w14:paraId="1BD2A231">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项</w:t>
            </w:r>
          </w:p>
        </w:tc>
      </w:tr>
      <w:tr w14:paraId="4D734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 w:type="pct"/>
            <w:tcBorders>
              <w:top w:val="single" w:color="auto" w:sz="4" w:space="0"/>
              <w:left w:val="single" w:color="auto" w:sz="4" w:space="0"/>
              <w:bottom w:val="single" w:color="auto" w:sz="4" w:space="0"/>
              <w:right w:val="single" w:color="auto" w:sz="4" w:space="0"/>
            </w:tcBorders>
            <w:vAlign w:val="center"/>
          </w:tcPr>
          <w:p w14:paraId="2CD978D4">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10</w:t>
            </w:r>
          </w:p>
        </w:tc>
        <w:tc>
          <w:tcPr>
            <w:tcW w:w="1217" w:type="pct"/>
            <w:vMerge w:val="continue"/>
            <w:tcBorders>
              <w:left w:val="single" w:color="auto" w:sz="4" w:space="0"/>
              <w:bottom w:val="single" w:color="auto" w:sz="4" w:space="0"/>
              <w:right w:val="single" w:color="auto" w:sz="4" w:space="0"/>
            </w:tcBorders>
            <w:vAlign w:val="center"/>
          </w:tcPr>
          <w:p w14:paraId="2DFD36FF">
            <w:pPr>
              <w:rPr>
                <w:rFonts w:ascii="宋体" w:hAnsi="宋体" w:cs="宋体"/>
                <w:bCs/>
                <w:color w:val="auto"/>
                <w:sz w:val="24"/>
                <w:szCs w:val="24"/>
                <w:highlight w:val="none"/>
              </w:rPr>
            </w:pPr>
          </w:p>
        </w:tc>
        <w:tc>
          <w:tcPr>
            <w:tcW w:w="1567" w:type="pct"/>
            <w:tcBorders>
              <w:top w:val="single" w:color="auto" w:sz="4" w:space="0"/>
              <w:left w:val="single" w:color="auto" w:sz="4" w:space="0"/>
              <w:bottom w:val="single" w:color="auto" w:sz="4" w:space="0"/>
              <w:right w:val="single" w:color="auto" w:sz="4" w:space="0"/>
            </w:tcBorders>
            <w:shd w:val="clear" w:color="auto" w:fill="auto"/>
            <w:vAlign w:val="center"/>
          </w:tcPr>
          <w:p w14:paraId="2358E6DB">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日志溯源与闭环处置服务</w:t>
            </w:r>
          </w:p>
        </w:tc>
        <w:tc>
          <w:tcPr>
            <w:tcW w:w="1085" w:type="pct"/>
            <w:tcBorders>
              <w:top w:val="single" w:color="auto" w:sz="4" w:space="0"/>
              <w:left w:val="single" w:color="auto" w:sz="4" w:space="0"/>
              <w:bottom w:val="single" w:color="auto" w:sz="4" w:space="0"/>
              <w:right w:val="single" w:color="auto" w:sz="4" w:space="0"/>
            </w:tcBorders>
            <w:vAlign w:val="center"/>
          </w:tcPr>
          <w:p w14:paraId="6633A4FF">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w:t>
            </w:r>
          </w:p>
        </w:tc>
        <w:tc>
          <w:tcPr>
            <w:tcW w:w="659" w:type="pct"/>
            <w:tcBorders>
              <w:top w:val="single" w:color="auto" w:sz="4" w:space="0"/>
              <w:left w:val="single" w:color="auto" w:sz="4" w:space="0"/>
              <w:bottom w:val="single" w:color="auto" w:sz="4" w:space="0"/>
              <w:right w:val="single" w:color="auto" w:sz="4" w:space="0"/>
            </w:tcBorders>
            <w:vAlign w:val="center"/>
          </w:tcPr>
          <w:p w14:paraId="664DB05A">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项</w:t>
            </w:r>
          </w:p>
        </w:tc>
      </w:tr>
      <w:tr w14:paraId="4139A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 w:type="pct"/>
            <w:tcBorders>
              <w:top w:val="single" w:color="auto" w:sz="4" w:space="0"/>
              <w:left w:val="single" w:color="auto" w:sz="4" w:space="0"/>
              <w:bottom w:val="single" w:color="auto" w:sz="4" w:space="0"/>
              <w:right w:val="single" w:color="auto" w:sz="4" w:space="0"/>
            </w:tcBorders>
            <w:vAlign w:val="center"/>
          </w:tcPr>
          <w:p w14:paraId="7A930F56">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11</w:t>
            </w:r>
          </w:p>
        </w:tc>
        <w:tc>
          <w:tcPr>
            <w:tcW w:w="1217" w:type="pct"/>
            <w:vMerge w:val="restart"/>
            <w:tcBorders>
              <w:top w:val="single" w:color="auto" w:sz="4" w:space="0"/>
              <w:left w:val="single" w:color="auto" w:sz="4" w:space="0"/>
              <w:right w:val="single" w:color="auto" w:sz="4" w:space="0"/>
            </w:tcBorders>
            <w:shd w:val="clear" w:color="auto" w:fill="auto"/>
            <w:vAlign w:val="center"/>
          </w:tcPr>
          <w:p w14:paraId="76C04163">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r>
              <w:rPr>
                <w:rFonts w:hint="eastAsia" w:ascii="宋体" w:eastAsia="宋体"/>
                <w:color w:val="auto"/>
                <w:sz w:val="24"/>
                <w:szCs w:val="24"/>
                <w:highlight w:val="none"/>
              </w:rPr>
              <w:t>运营支撑服务</w:t>
            </w:r>
          </w:p>
        </w:tc>
        <w:tc>
          <w:tcPr>
            <w:tcW w:w="1567" w:type="pct"/>
            <w:tcBorders>
              <w:top w:val="single" w:color="auto" w:sz="4" w:space="0"/>
              <w:left w:val="single" w:color="auto" w:sz="4" w:space="0"/>
              <w:bottom w:val="single" w:color="auto" w:sz="4" w:space="0"/>
              <w:right w:val="single" w:color="auto" w:sz="4" w:space="0"/>
            </w:tcBorders>
            <w:shd w:val="clear" w:color="auto" w:fill="auto"/>
            <w:vAlign w:val="center"/>
          </w:tcPr>
          <w:p w14:paraId="12883989">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运维审计管控服务</w:t>
            </w:r>
          </w:p>
        </w:tc>
        <w:tc>
          <w:tcPr>
            <w:tcW w:w="1085" w:type="pct"/>
            <w:tcBorders>
              <w:top w:val="single" w:color="auto" w:sz="4" w:space="0"/>
              <w:left w:val="single" w:color="auto" w:sz="4" w:space="0"/>
              <w:bottom w:val="single" w:color="auto" w:sz="4" w:space="0"/>
              <w:right w:val="single" w:color="auto" w:sz="4" w:space="0"/>
            </w:tcBorders>
            <w:vAlign w:val="center"/>
          </w:tcPr>
          <w:p w14:paraId="48996993">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w:t>
            </w:r>
          </w:p>
        </w:tc>
        <w:tc>
          <w:tcPr>
            <w:tcW w:w="659" w:type="pct"/>
            <w:tcBorders>
              <w:top w:val="single" w:color="auto" w:sz="4" w:space="0"/>
              <w:left w:val="single" w:color="auto" w:sz="4" w:space="0"/>
              <w:bottom w:val="single" w:color="auto" w:sz="4" w:space="0"/>
              <w:right w:val="single" w:color="auto" w:sz="4" w:space="0"/>
            </w:tcBorders>
            <w:vAlign w:val="center"/>
          </w:tcPr>
          <w:p w14:paraId="40741AEC">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项</w:t>
            </w:r>
          </w:p>
        </w:tc>
      </w:tr>
      <w:tr w14:paraId="38558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 w:type="pct"/>
            <w:tcBorders>
              <w:top w:val="single" w:color="auto" w:sz="4" w:space="0"/>
              <w:left w:val="single" w:color="auto" w:sz="4" w:space="0"/>
              <w:bottom w:val="single" w:color="auto" w:sz="4" w:space="0"/>
              <w:right w:val="single" w:color="auto" w:sz="4" w:space="0"/>
            </w:tcBorders>
            <w:vAlign w:val="center"/>
          </w:tcPr>
          <w:p w14:paraId="14CF2EEF">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12</w:t>
            </w:r>
          </w:p>
        </w:tc>
        <w:tc>
          <w:tcPr>
            <w:tcW w:w="1217" w:type="pct"/>
            <w:vMerge w:val="continue"/>
            <w:tcBorders>
              <w:left w:val="single" w:color="auto" w:sz="4" w:space="0"/>
              <w:bottom w:val="single" w:color="auto" w:sz="4" w:space="0"/>
              <w:right w:val="single" w:color="auto" w:sz="4" w:space="0"/>
            </w:tcBorders>
            <w:vAlign w:val="center"/>
          </w:tcPr>
          <w:p w14:paraId="6B484144">
            <w:pPr>
              <w:rPr>
                <w:rFonts w:ascii="宋体" w:hAnsi="宋体" w:cs="宋体"/>
                <w:bCs/>
                <w:color w:val="auto"/>
                <w:sz w:val="24"/>
                <w:szCs w:val="24"/>
                <w:highlight w:val="none"/>
              </w:rPr>
            </w:pPr>
          </w:p>
        </w:tc>
        <w:tc>
          <w:tcPr>
            <w:tcW w:w="1567" w:type="pct"/>
            <w:tcBorders>
              <w:top w:val="single" w:color="auto" w:sz="4" w:space="0"/>
              <w:left w:val="single" w:color="auto" w:sz="4" w:space="0"/>
              <w:bottom w:val="single" w:color="auto" w:sz="4" w:space="0"/>
              <w:right w:val="single" w:color="auto" w:sz="4" w:space="0"/>
            </w:tcBorders>
            <w:shd w:val="clear" w:color="auto" w:fill="auto"/>
            <w:vAlign w:val="center"/>
          </w:tcPr>
          <w:p w14:paraId="5A931CE4">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常态化运营服务</w:t>
            </w:r>
          </w:p>
        </w:tc>
        <w:tc>
          <w:tcPr>
            <w:tcW w:w="1085" w:type="pct"/>
            <w:tcBorders>
              <w:top w:val="single" w:color="auto" w:sz="4" w:space="0"/>
              <w:left w:val="single" w:color="auto" w:sz="4" w:space="0"/>
              <w:bottom w:val="single" w:color="auto" w:sz="4" w:space="0"/>
              <w:right w:val="single" w:color="auto" w:sz="4" w:space="0"/>
            </w:tcBorders>
            <w:vAlign w:val="center"/>
          </w:tcPr>
          <w:p w14:paraId="4DFCC19E">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w:t>
            </w:r>
          </w:p>
        </w:tc>
        <w:tc>
          <w:tcPr>
            <w:tcW w:w="659" w:type="pct"/>
            <w:tcBorders>
              <w:top w:val="single" w:color="auto" w:sz="4" w:space="0"/>
              <w:left w:val="single" w:color="auto" w:sz="4" w:space="0"/>
              <w:bottom w:val="single" w:color="auto" w:sz="4" w:space="0"/>
              <w:right w:val="single" w:color="auto" w:sz="4" w:space="0"/>
            </w:tcBorders>
            <w:vAlign w:val="center"/>
          </w:tcPr>
          <w:p w14:paraId="749CA43C">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项</w:t>
            </w:r>
          </w:p>
        </w:tc>
      </w:tr>
      <w:bookmarkEnd w:id="19"/>
    </w:tbl>
    <w:p w14:paraId="1D33040D">
      <w:pPr>
        <w:pStyle w:val="4"/>
        <w:spacing w:before="0" w:after="156" w:afterLines="50" w:line="360" w:lineRule="auto"/>
        <w:rPr>
          <w:rFonts w:asciiTheme="majorHAnsi" w:hAnsiTheme="majorHAnsi" w:eastAsiaTheme="majorEastAsia" w:cstheme="majorBidi"/>
          <w:color w:val="auto"/>
          <w:sz w:val="28"/>
          <w:szCs w:val="28"/>
          <w:highlight w:val="none"/>
        </w:rPr>
      </w:pPr>
      <w:r>
        <w:rPr>
          <w:rFonts w:hint="eastAsia" w:asciiTheme="majorHAnsi" w:hAnsiTheme="majorHAnsi" w:eastAsiaTheme="majorEastAsia" w:cstheme="majorBidi"/>
          <w:color w:val="auto"/>
          <w:sz w:val="28"/>
          <w:szCs w:val="28"/>
          <w:highlight w:val="none"/>
          <w:lang w:eastAsia="zh-CN"/>
        </w:rPr>
        <w:t>3.</w:t>
      </w:r>
      <w:r>
        <w:rPr>
          <w:rFonts w:hint="eastAsia" w:asciiTheme="majorHAnsi" w:hAnsiTheme="majorHAnsi" w:eastAsiaTheme="majorEastAsia" w:cstheme="majorBidi"/>
          <w:color w:val="auto"/>
          <w:sz w:val="28"/>
          <w:szCs w:val="28"/>
          <w:highlight w:val="none"/>
        </w:rPr>
        <w:t>服务技术指标</w:t>
      </w:r>
    </w:p>
    <w:tbl>
      <w:tblPr>
        <w:tblStyle w:val="42"/>
        <w:tblW w:w="99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
        <w:gridCol w:w="496"/>
        <w:gridCol w:w="1163"/>
        <w:gridCol w:w="5435"/>
        <w:gridCol w:w="1472"/>
        <w:gridCol w:w="495"/>
      </w:tblGrid>
      <w:tr w14:paraId="1845F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9962" w:type="dxa"/>
            <w:gridSpan w:val="6"/>
            <w:vAlign w:val="center"/>
          </w:tcPr>
          <w:p w14:paraId="1FDE2718">
            <w:pPr>
              <w:pStyle w:val="6"/>
              <w:numPr>
                <w:ilvl w:val="0"/>
                <w:numId w:val="2"/>
              </w:numPr>
              <w:spacing w:before="100" w:after="100" w:line="360" w:lineRule="auto"/>
              <w:rPr>
                <w:rFonts w:hint="eastAsia" w:ascii="宋体" w:hAnsi="宋体" w:cs="宋体"/>
                <w:b/>
                <w:bCs/>
                <w:color w:val="auto"/>
                <w:sz w:val="24"/>
                <w:szCs w:val="24"/>
                <w:highlight w:val="none"/>
              </w:rPr>
            </w:pPr>
            <w:r>
              <w:rPr>
                <w:rFonts w:hint="eastAsia" w:asciiTheme="minorEastAsia" w:hAnsiTheme="minorEastAsia" w:eastAsiaTheme="minorEastAsia"/>
                <w:color w:val="auto"/>
                <w:highlight w:val="none"/>
              </w:rPr>
              <w:t>学校/单位及食堂专线接入服务</w:t>
            </w:r>
          </w:p>
        </w:tc>
      </w:tr>
      <w:tr w14:paraId="5210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901" w:type="dxa"/>
            <w:vAlign w:val="center"/>
          </w:tcPr>
          <w:p w14:paraId="33935415">
            <w:pPr>
              <w:keepNext/>
              <w:snapToGrid w:val="0"/>
              <w:ind w:left="0" w:leftChars="0" w:right="0" w:rightChars="0" w:firstLine="0" w:firstLineChars="0"/>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序号</w:t>
            </w:r>
          </w:p>
        </w:tc>
        <w:tc>
          <w:tcPr>
            <w:tcW w:w="0" w:type="auto"/>
            <w:gridSpan w:val="2"/>
            <w:vAlign w:val="center"/>
          </w:tcPr>
          <w:p w14:paraId="05BF5E96">
            <w:pPr>
              <w:keepNext/>
              <w:snapToGrid w:val="0"/>
              <w:ind w:left="0" w:leftChars="0" w:right="0" w:rightChars="0" w:firstLine="0" w:firstLineChars="0"/>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lang w:val="en-US" w:eastAsia="zh-CN"/>
              </w:rPr>
              <w:t>服务内容</w:t>
            </w:r>
          </w:p>
        </w:tc>
        <w:tc>
          <w:tcPr>
            <w:tcW w:w="5435" w:type="dxa"/>
            <w:vAlign w:val="center"/>
          </w:tcPr>
          <w:p w14:paraId="6A66410A">
            <w:pPr>
              <w:keepNext/>
              <w:snapToGrid w:val="0"/>
              <w:ind w:left="0" w:leftChars="0" w:right="0" w:rightChars="0" w:firstLine="0" w:firstLineChars="0"/>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参数要求</w:t>
            </w:r>
          </w:p>
        </w:tc>
        <w:tc>
          <w:tcPr>
            <w:tcW w:w="0" w:type="auto"/>
            <w:vAlign w:val="center"/>
          </w:tcPr>
          <w:p w14:paraId="6FD9FD83">
            <w:pPr>
              <w:keepNext/>
              <w:snapToGrid w:val="0"/>
              <w:ind w:left="0" w:leftChars="0" w:right="0" w:rightChars="0" w:firstLine="0" w:firstLineChars="0"/>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数量</w:t>
            </w:r>
          </w:p>
        </w:tc>
        <w:tc>
          <w:tcPr>
            <w:tcW w:w="495" w:type="dxa"/>
            <w:vAlign w:val="center"/>
          </w:tcPr>
          <w:p w14:paraId="18DF857A">
            <w:pPr>
              <w:keepNext/>
              <w:snapToGrid w:val="0"/>
              <w:ind w:left="0" w:leftChars="0" w:right="0" w:rightChars="0" w:firstLine="0" w:firstLineChars="0"/>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单位</w:t>
            </w:r>
          </w:p>
        </w:tc>
      </w:tr>
      <w:tr w14:paraId="49AFB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1" w:type="dxa"/>
            <w:vAlign w:val="center"/>
          </w:tcPr>
          <w:p w14:paraId="55BE0706">
            <w:pPr>
              <w:keepNext/>
              <w:snapToGrid w:val="0"/>
              <w:ind w:left="0" w:leftChars="0" w:right="0" w:rightChars="0" w:firstLine="0" w:firstLineChars="0"/>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p>
        </w:tc>
        <w:tc>
          <w:tcPr>
            <w:tcW w:w="0" w:type="auto"/>
            <w:gridSpan w:val="2"/>
            <w:vAlign w:val="center"/>
          </w:tcPr>
          <w:p w14:paraId="008793A7">
            <w:pPr>
              <w:snapToGrid w:val="0"/>
              <w:ind w:left="0" w:leftChars="0" w:right="0" w:righ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学校/单位网络架构规划服务要求</w:t>
            </w:r>
          </w:p>
        </w:tc>
        <w:tc>
          <w:tcPr>
            <w:tcW w:w="5435" w:type="dxa"/>
            <w:vAlign w:val="center"/>
          </w:tcPr>
          <w:p w14:paraId="4FF0903B">
            <w:pPr>
              <w:snapToGrid w:val="0"/>
              <w:ind w:left="0" w:leftChars="0" w:right="0" w:righ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1.针对本项目中各学校/单位网络现状，提供整体科学的规划方案。实现实名认证统一管理。</w:t>
            </w:r>
          </w:p>
          <w:p w14:paraId="5AD9F894">
            <w:pPr>
              <w:snapToGrid w:val="0"/>
              <w:ind w:left="0" w:leftChars="0" w:right="0" w:righ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2.采用区级核心、街道汇聚、学校/单位接入层多层架构。核心级和汇聚级互联具有冗余性，能自动跳转至备用链路。</w:t>
            </w:r>
          </w:p>
          <w:p w14:paraId="77223B1A">
            <w:pPr>
              <w:snapToGrid w:val="0"/>
              <w:ind w:left="0" w:leftChars="0" w:right="0" w:righ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3.科学规划内网地址池，每所学校/单位合理分配地址资源，根据</w:t>
            </w:r>
            <w:r>
              <w:rPr>
                <w:rFonts w:hint="eastAsia" w:ascii="宋体" w:hAnsi="宋体" w:eastAsia="宋体" w:cs="宋体"/>
                <w:color w:val="auto"/>
                <w:sz w:val="24"/>
                <w:szCs w:val="24"/>
                <w:highlight w:val="none"/>
                <w:lang w:val="en-US" w:eastAsia="zh-CN"/>
              </w:rPr>
              <w:t>教学、办公、视频监控、明厨亮灶等</w:t>
            </w:r>
            <w:r>
              <w:rPr>
                <w:rFonts w:hint="eastAsia" w:ascii="宋体" w:hAnsi="宋体" w:eastAsia="宋体" w:cs="宋体"/>
                <w:color w:val="auto"/>
                <w:sz w:val="24"/>
                <w:szCs w:val="24"/>
                <w:highlight w:val="none"/>
              </w:rPr>
              <w:t>场景、应用、带宽进行有效隔离，兼顾有线无线环境，并具有扩展性。</w:t>
            </w:r>
          </w:p>
          <w:p w14:paraId="77423F84">
            <w:pPr>
              <w:snapToGrid w:val="0"/>
              <w:ind w:left="0" w:leftChars="0" w:right="0" w:rightChars="0" w:firstLine="0" w:firstLineChars="0"/>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w:t>
            </w:r>
            <w:r>
              <w:rPr>
                <w:rFonts w:hint="eastAsia" w:ascii="宋体" w:hAnsi="宋体" w:eastAsia="宋体" w:cs="宋体"/>
                <w:color w:val="auto"/>
                <w:sz w:val="24"/>
                <w:szCs w:val="24"/>
                <w:highlight w:val="none"/>
              </w:rPr>
              <w:t>4.总出口通过增加集中控制、负载均衡等服务，实现各学校/单位入口带宽动态分配、实时调整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班均互联网接入带宽不低于100M。</w:t>
            </w:r>
          </w:p>
          <w:p w14:paraId="438B9A85">
            <w:pPr>
              <w:snapToGrid w:val="0"/>
              <w:ind w:left="0" w:leftChars="0" w:right="0" w:righ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5.能根据规划方案，修改各学校/单位现有网络设备配置，使学校网络能正常接入。</w:t>
            </w:r>
          </w:p>
          <w:p w14:paraId="619B2AE9">
            <w:pPr>
              <w:snapToGrid w:val="0"/>
              <w:ind w:left="0" w:leftChars="0" w:right="0" w:rightChars="0" w:firstLine="0" w:firstLineChars="0"/>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以上需提供承诺函加盖投标人公章。</w:t>
            </w:r>
          </w:p>
        </w:tc>
        <w:tc>
          <w:tcPr>
            <w:tcW w:w="0" w:type="auto"/>
            <w:vAlign w:val="center"/>
          </w:tcPr>
          <w:p w14:paraId="5DB3CBFD">
            <w:pPr>
              <w:keepNext/>
              <w:snapToGrid w:val="0"/>
              <w:ind w:left="0" w:leftChars="0" w:right="0" w:rightChars="0" w:firstLine="0" w:firstLineChars="0"/>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p>
        </w:tc>
        <w:tc>
          <w:tcPr>
            <w:tcW w:w="495" w:type="dxa"/>
            <w:vAlign w:val="center"/>
          </w:tcPr>
          <w:p w14:paraId="55A5836C">
            <w:pPr>
              <w:keepNext/>
              <w:snapToGrid w:val="0"/>
              <w:ind w:left="0" w:leftChars="0" w:right="0" w:rightChars="0" w:firstLine="0" w:firstLineChars="0"/>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项</w:t>
            </w:r>
          </w:p>
        </w:tc>
      </w:tr>
      <w:tr w14:paraId="5E5F3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901" w:type="dxa"/>
            <w:vAlign w:val="center"/>
          </w:tcPr>
          <w:p w14:paraId="703ED5D6">
            <w:pPr>
              <w:keepNext/>
              <w:snapToGrid w:val="0"/>
              <w:ind w:left="0" w:leftChars="0" w:right="0" w:rightChars="0" w:firstLine="0" w:firstLineChars="0"/>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w:t>
            </w:r>
          </w:p>
        </w:tc>
        <w:tc>
          <w:tcPr>
            <w:tcW w:w="0" w:type="auto"/>
            <w:gridSpan w:val="2"/>
            <w:vAlign w:val="center"/>
          </w:tcPr>
          <w:p w14:paraId="0A18DF72">
            <w:pPr>
              <w:snapToGrid w:val="0"/>
              <w:ind w:left="0" w:leftChars="0" w:right="0" w:righ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rPr>
              <w:t>校园链路接入要求</w:t>
            </w:r>
          </w:p>
        </w:tc>
        <w:tc>
          <w:tcPr>
            <w:tcW w:w="5435" w:type="dxa"/>
            <w:shd w:val="clear" w:color="auto" w:fill="auto"/>
            <w:vAlign w:val="center"/>
          </w:tcPr>
          <w:p w14:paraId="136FAE31">
            <w:pPr>
              <w:snapToGrid w:val="0"/>
              <w:ind w:left="0" w:leftChars="0" w:right="0" w:rightChars="0"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rPr>
              <w:t>★每所学校/单位≥1000M上下行对等光纤链路，需提供承诺函</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未提供或提供性能不满足视为无效投标</w:t>
            </w:r>
            <w:r>
              <w:rPr>
                <w:rFonts w:hint="eastAsia" w:ascii="宋体" w:hAnsi="宋体" w:eastAsia="宋体" w:cs="宋体"/>
                <w:b/>
                <w:bCs/>
                <w:color w:val="auto"/>
                <w:sz w:val="24"/>
                <w:szCs w:val="24"/>
                <w:highlight w:val="none"/>
              </w:rPr>
              <w:t>。</w:t>
            </w:r>
          </w:p>
        </w:tc>
        <w:tc>
          <w:tcPr>
            <w:tcW w:w="0" w:type="auto"/>
            <w:shd w:val="clear" w:color="auto" w:fill="auto"/>
            <w:vAlign w:val="center"/>
          </w:tcPr>
          <w:p w14:paraId="26FD1D56">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131（预留每年增长5%）</w:t>
            </w:r>
          </w:p>
        </w:tc>
        <w:tc>
          <w:tcPr>
            <w:tcW w:w="495" w:type="dxa"/>
            <w:shd w:val="clear" w:color="auto" w:fill="auto"/>
            <w:vAlign w:val="center"/>
          </w:tcPr>
          <w:p w14:paraId="35A8D7E3">
            <w:pPr>
              <w:keepNext/>
              <w:snapToGrid w:val="0"/>
              <w:ind w:left="0" w:leftChars="0" w:right="0" w:rightChars="0" w:firstLine="0" w:firstLineChars="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条</w:t>
            </w:r>
          </w:p>
        </w:tc>
      </w:tr>
      <w:tr w14:paraId="699D2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901" w:type="dxa"/>
            <w:shd w:val="clear" w:color="auto" w:fill="auto"/>
            <w:vAlign w:val="center"/>
          </w:tcPr>
          <w:p w14:paraId="5A263EE8">
            <w:pPr>
              <w:keepNext/>
              <w:snapToGrid w:val="0"/>
              <w:ind w:left="0" w:leftChars="0" w:right="0" w:rightChars="0" w:firstLine="0" w:firstLineChars="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3</w:t>
            </w:r>
          </w:p>
        </w:tc>
        <w:tc>
          <w:tcPr>
            <w:tcW w:w="0" w:type="auto"/>
            <w:gridSpan w:val="2"/>
            <w:shd w:val="clear" w:color="auto" w:fill="auto"/>
            <w:vAlign w:val="center"/>
          </w:tcPr>
          <w:p w14:paraId="6CD7336C">
            <w:pPr>
              <w:snapToGrid w:val="0"/>
              <w:ind w:left="0" w:leftChars="0" w:right="0" w:righ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数字食堂</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链路接入要求</w:t>
            </w:r>
          </w:p>
        </w:tc>
        <w:tc>
          <w:tcPr>
            <w:tcW w:w="5435" w:type="dxa"/>
            <w:shd w:val="clear" w:color="auto" w:fill="auto"/>
            <w:vAlign w:val="center"/>
          </w:tcPr>
          <w:p w14:paraId="41C9B424">
            <w:pPr>
              <w:snapToGrid w:val="0"/>
              <w:ind w:left="0" w:leftChars="0" w:right="0" w:rightChars="0"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rPr>
              <w:t>★每个</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数字食堂</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点位</w:t>
            </w:r>
            <w:r>
              <w:rPr>
                <w:rFonts w:hint="eastAsia" w:ascii="宋体" w:hAnsi="宋体" w:eastAsia="宋体" w:cs="宋体"/>
                <w:b/>
                <w:bCs/>
                <w:color w:val="auto"/>
                <w:sz w:val="24"/>
                <w:szCs w:val="24"/>
                <w:highlight w:val="none"/>
              </w:rPr>
              <w:t>≥50Mbps上下行对等光纤链路，需提供承诺函</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未提供或提供性能不满足视为无效投标</w:t>
            </w:r>
            <w:r>
              <w:rPr>
                <w:rFonts w:hint="eastAsia" w:ascii="宋体" w:hAnsi="宋体" w:eastAsia="宋体" w:cs="宋体"/>
                <w:b/>
                <w:bCs/>
                <w:color w:val="auto"/>
                <w:sz w:val="24"/>
                <w:szCs w:val="24"/>
                <w:highlight w:val="none"/>
              </w:rPr>
              <w:t>。</w:t>
            </w:r>
          </w:p>
        </w:tc>
        <w:tc>
          <w:tcPr>
            <w:tcW w:w="0" w:type="auto"/>
            <w:shd w:val="clear" w:color="auto" w:fill="auto"/>
            <w:vAlign w:val="center"/>
          </w:tcPr>
          <w:p w14:paraId="0555D756">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71</w:t>
            </w:r>
            <w:r>
              <w:rPr>
                <w:rFonts w:hint="eastAsia" w:ascii="宋体" w:hAnsi="宋体" w:eastAsia="宋体" w:cs="宋体"/>
                <w:bCs/>
                <w:color w:val="auto"/>
                <w:sz w:val="24"/>
                <w:szCs w:val="24"/>
                <w:highlight w:val="none"/>
              </w:rPr>
              <w:t>（预留每年增长5%）</w:t>
            </w:r>
          </w:p>
        </w:tc>
        <w:tc>
          <w:tcPr>
            <w:tcW w:w="495" w:type="dxa"/>
            <w:shd w:val="clear" w:color="auto" w:fill="auto"/>
            <w:vAlign w:val="center"/>
          </w:tcPr>
          <w:p w14:paraId="0B6E8664">
            <w:pPr>
              <w:keepNext/>
              <w:snapToGrid w:val="0"/>
              <w:ind w:left="0" w:leftChars="0" w:right="0" w:rightChars="0" w:firstLine="0" w:firstLineChars="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条</w:t>
            </w:r>
          </w:p>
        </w:tc>
      </w:tr>
      <w:tr w14:paraId="157EB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9962" w:type="dxa"/>
            <w:gridSpan w:val="6"/>
            <w:shd w:val="clear" w:color="auto" w:fill="auto"/>
            <w:vAlign w:val="center"/>
          </w:tcPr>
          <w:p w14:paraId="44B6263B">
            <w:pPr>
              <w:pStyle w:val="6"/>
              <w:spacing w:before="100" w:after="100" w:line="360" w:lineRule="auto"/>
              <w:rPr>
                <w:rFonts w:hint="eastAsia" w:ascii="宋体" w:hAnsi="宋体" w:eastAsia="宋体" w:cs="宋体"/>
                <w:bCs/>
                <w:color w:val="auto"/>
                <w:sz w:val="24"/>
                <w:szCs w:val="24"/>
                <w:highlight w:val="none"/>
              </w:rPr>
            </w:pPr>
            <w:r>
              <w:rPr>
                <w:color w:val="auto"/>
                <w:highlight w:val="none"/>
              </w:rPr>
              <w:t>2</w:t>
            </w:r>
            <w:r>
              <w:rPr>
                <w:rFonts w:hint="eastAsia"/>
                <w:color w:val="auto"/>
                <w:highlight w:val="none"/>
              </w:rPr>
              <w:t>）网络及安全防护服务</w:t>
            </w:r>
          </w:p>
        </w:tc>
      </w:tr>
      <w:tr w14:paraId="7CCED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1" w:type="dxa"/>
            <w:vAlign w:val="center"/>
          </w:tcPr>
          <w:p w14:paraId="27DC2A4E">
            <w:pPr>
              <w:keepNext/>
              <w:snapToGrid w:val="0"/>
              <w:ind w:left="0" w:leftChars="0" w:right="0" w:rightChars="0" w:firstLine="0" w:firstLineChars="0"/>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w:t>
            </w:r>
          </w:p>
        </w:tc>
        <w:tc>
          <w:tcPr>
            <w:tcW w:w="0" w:type="auto"/>
            <w:vMerge w:val="restart"/>
            <w:shd w:val="clear" w:color="auto" w:fill="auto"/>
            <w:vAlign w:val="center"/>
          </w:tcPr>
          <w:p w14:paraId="2138F4AC">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r>
              <w:rPr>
                <w:rFonts w:hint="eastAsia" w:ascii="宋体" w:eastAsia="宋体"/>
                <w:color w:val="auto"/>
                <w:sz w:val="24"/>
                <w:szCs w:val="24"/>
                <w:highlight w:val="none"/>
              </w:rPr>
              <w:t>基础网络架构服务</w:t>
            </w:r>
          </w:p>
        </w:tc>
        <w:tc>
          <w:tcPr>
            <w:tcW w:w="0" w:type="auto"/>
            <w:shd w:val="clear" w:color="auto" w:fill="auto"/>
            <w:vAlign w:val="center"/>
          </w:tcPr>
          <w:p w14:paraId="341C1061">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负载均衡服务</w:t>
            </w:r>
          </w:p>
        </w:tc>
        <w:tc>
          <w:tcPr>
            <w:tcW w:w="5435" w:type="dxa"/>
            <w:shd w:val="clear" w:color="auto" w:fill="auto"/>
            <w:vAlign w:val="center"/>
          </w:tcPr>
          <w:p w14:paraId="7FA9F063">
            <w:pPr>
              <w:snapToGrid w:val="0"/>
              <w:ind w:left="0" w:leftChars="0" w:right="0" w:rightChars="0"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依托链路感知、节点健康巡检、智能调度等技术，对全网访问流量与业务请求进行统筹分发</w:t>
            </w:r>
            <w:r>
              <w:rPr>
                <w:rFonts w:hint="eastAsia" w:ascii="宋体" w:hAnsi="宋体" w:eastAsia="宋体" w:cs="宋体"/>
                <w:color w:val="auto"/>
                <w:sz w:val="24"/>
                <w:szCs w:val="24"/>
                <w:highlight w:val="none"/>
                <w:lang w:eastAsia="zh-CN"/>
              </w:rPr>
              <w:t>，</w:t>
            </w:r>
            <w:r>
              <w:rPr>
                <w:rFonts w:ascii="宋体" w:hAnsi="宋体" w:eastAsia="宋体" w:cs="宋体"/>
                <w:bCs/>
                <w:color w:val="auto"/>
                <w:sz w:val="24"/>
                <w:szCs w:val="24"/>
                <w:highlight w:val="none"/>
              </w:rPr>
              <w:t>实现各学校/单位</w:t>
            </w:r>
            <w:r>
              <w:rPr>
                <w:rFonts w:hint="eastAsia" w:ascii="宋体" w:hAnsi="宋体" w:eastAsia="宋体" w:cs="宋体"/>
                <w:bCs/>
                <w:color w:val="auto"/>
                <w:sz w:val="24"/>
                <w:szCs w:val="24"/>
                <w:highlight w:val="none"/>
              </w:rPr>
              <w:t>出口</w:t>
            </w:r>
            <w:r>
              <w:rPr>
                <w:rFonts w:ascii="宋体" w:hAnsi="宋体" w:eastAsia="宋体" w:cs="宋体"/>
                <w:bCs/>
                <w:color w:val="auto"/>
                <w:sz w:val="24"/>
                <w:szCs w:val="24"/>
                <w:highlight w:val="none"/>
              </w:rPr>
              <w:t>带宽动态分配、实时调整</w:t>
            </w:r>
            <w:r>
              <w:rPr>
                <w:rFonts w:hint="eastAsia" w:ascii="宋体" w:hAnsi="宋体" w:eastAsia="宋体" w:cs="宋体"/>
                <w:bCs/>
                <w:color w:val="auto"/>
                <w:sz w:val="24"/>
                <w:szCs w:val="24"/>
                <w:highlight w:val="none"/>
              </w:rPr>
              <w:t>，</w:t>
            </w:r>
            <w:r>
              <w:rPr>
                <w:rFonts w:ascii="宋体" w:hAnsi="宋体" w:eastAsia="宋体" w:cs="宋体"/>
                <w:bCs/>
                <w:color w:val="auto"/>
                <w:sz w:val="24"/>
                <w:szCs w:val="24"/>
                <w:highlight w:val="none"/>
              </w:rPr>
              <w:t>提升网络吞吐能力与访问效率</w:t>
            </w:r>
            <w:r>
              <w:rPr>
                <w:rFonts w:hint="eastAsia" w:ascii="宋体" w:hAnsi="宋体" w:eastAsia="宋体" w:cs="宋体"/>
                <w:bCs/>
                <w:color w:val="auto"/>
                <w:sz w:val="24"/>
                <w:szCs w:val="24"/>
                <w:highlight w:val="none"/>
              </w:rPr>
              <w:t>，</w:t>
            </w:r>
            <w:r>
              <w:rPr>
                <w:rFonts w:ascii="宋体" w:hAnsi="宋体" w:eastAsia="宋体" w:cs="宋体"/>
                <w:bCs/>
                <w:color w:val="auto"/>
                <w:sz w:val="24"/>
                <w:szCs w:val="24"/>
                <w:highlight w:val="none"/>
              </w:rPr>
              <w:t>自动规避故障节点，实现流量无缝迁移，保障业务不间断运行</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需提供产品说明书或产品功能截图加盖投标人公章。</w:t>
            </w:r>
          </w:p>
        </w:tc>
        <w:tc>
          <w:tcPr>
            <w:tcW w:w="0" w:type="auto"/>
            <w:shd w:val="clear" w:color="auto" w:fill="auto"/>
            <w:vAlign w:val="center"/>
          </w:tcPr>
          <w:p w14:paraId="562823B3">
            <w:pPr>
              <w:keepNext/>
              <w:snapToGrid w:val="0"/>
              <w:ind w:left="0" w:leftChars="0" w:right="0" w:rightChars="0" w:firstLine="0" w:firstLineChars="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1</w:t>
            </w:r>
          </w:p>
        </w:tc>
        <w:tc>
          <w:tcPr>
            <w:tcW w:w="495" w:type="dxa"/>
            <w:shd w:val="clear" w:color="auto" w:fill="auto"/>
            <w:vAlign w:val="center"/>
          </w:tcPr>
          <w:p w14:paraId="08C1455E">
            <w:pPr>
              <w:keepNext/>
              <w:snapToGrid w:val="0"/>
              <w:ind w:left="0" w:leftChars="0" w:right="0" w:rightChars="0" w:firstLine="0" w:firstLineChars="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项</w:t>
            </w:r>
          </w:p>
        </w:tc>
      </w:tr>
      <w:tr w14:paraId="0BDD0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1" w:type="dxa"/>
            <w:vAlign w:val="center"/>
          </w:tcPr>
          <w:p w14:paraId="6839FD71">
            <w:pPr>
              <w:keepNext/>
              <w:snapToGrid w:val="0"/>
              <w:ind w:left="0" w:leftChars="0" w:right="0" w:rightChars="0" w:firstLine="0" w:firstLineChars="0"/>
              <w:jc w:val="center"/>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w:t>
            </w:r>
          </w:p>
        </w:tc>
        <w:tc>
          <w:tcPr>
            <w:tcW w:w="0" w:type="auto"/>
            <w:vMerge w:val="continue"/>
            <w:shd w:val="clear" w:color="auto" w:fill="auto"/>
            <w:vAlign w:val="center"/>
          </w:tcPr>
          <w:p w14:paraId="6F5EFD83">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p>
        </w:tc>
        <w:tc>
          <w:tcPr>
            <w:tcW w:w="0" w:type="auto"/>
            <w:shd w:val="clear" w:color="auto" w:fill="auto"/>
            <w:vAlign w:val="center"/>
          </w:tcPr>
          <w:p w14:paraId="6C392675">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核心交换服务</w:t>
            </w:r>
          </w:p>
        </w:tc>
        <w:tc>
          <w:tcPr>
            <w:tcW w:w="5435" w:type="dxa"/>
            <w:shd w:val="clear" w:color="auto" w:fill="auto"/>
            <w:vAlign w:val="center"/>
          </w:tcPr>
          <w:p w14:paraId="4F149177">
            <w:pPr>
              <w:keepNext w:val="0"/>
              <w:keepLines w:val="0"/>
              <w:widowControl/>
              <w:suppressLineNumbers w:val="0"/>
              <w:jc w:val="left"/>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提供1套高性能的L2/L3/L4线速核心交换服务，融合IPv6、网络安全、流量分析、虚拟化等多种网络业务，结合不间断升级、不间断转发、优雅重启、冗余保护等多种高可靠性技术，确保核心网络的不间断通信能力。</w:t>
            </w:r>
            <w:r>
              <w:rPr>
                <w:rFonts w:hint="eastAsia" w:ascii="宋体" w:hAnsi="宋体" w:eastAsia="宋体" w:cs="宋体"/>
                <w:color w:val="auto"/>
                <w:sz w:val="24"/>
                <w:szCs w:val="24"/>
                <w:highlight w:val="none"/>
                <w:lang w:val="en-US" w:eastAsia="zh-CN"/>
              </w:rPr>
              <w:t>需提供产品说明书或产品功能截图加盖投标人公章。</w:t>
            </w:r>
          </w:p>
          <w:p w14:paraId="5C2E8DC9">
            <w:pPr>
              <w:keepNext w:val="0"/>
              <w:keepLines w:val="0"/>
              <w:widowControl/>
              <w:suppressLineNumbers w:val="0"/>
              <w:jc w:val="left"/>
              <w:rPr>
                <w:rFonts w:hint="eastAsia" w:ascii="宋体" w:hAnsi="宋体" w:cs="宋体" w:eastAsiaTheme="minorEastAsia"/>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▲（2）</w:t>
            </w:r>
            <w:r>
              <w:rPr>
                <w:rFonts w:hint="eastAsia" w:ascii="宋体" w:hAnsi="宋体" w:eastAsia="宋体" w:cs="宋体"/>
                <w:color w:val="auto"/>
                <w:sz w:val="24"/>
                <w:szCs w:val="24"/>
                <w:highlight w:val="none"/>
              </w:rPr>
              <w:t>总体交换容量不低于300Tbps，包转发率不低于57600Mpps，互联接口性能不低于万兆。</w:t>
            </w:r>
            <w:r>
              <w:rPr>
                <w:rFonts w:hint="eastAsia" w:ascii="宋体" w:hAnsi="宋体" w:eastAsia="宋体" w:cs="宋体"/>
                <w:color w:val="auto"/>
                <w:sz w:val="24"/>
                <w:szCs w:val="24"/>
                <w:highlight w:val="none"/>
                <w:lang w:val="en-US" w:eastAsia="zh-CN"/>
              </w:rPr>
              <w:t>需提供产品说明书或产品功能截图加盖投标人公章。</w:t>
            </w:r>
          </w:p>
        </w:tc>
        <w:tc>
          <w:tcPr>
            <w:tcW w:w="0" w:type="auto"/>
            <w:shd w:val="clear" w:color="auto" w:fill="auto"/>
            <w:vAlign w:val="center"/>
          </w:tcPr>
          <w:p w14:paraId="430CF403">
            <w:pPr>
              <w:keepNext/>
              <w:snapToGrid w:val="0"/>
              <w:ind w:left="0" w:leftChars="0" w:right="0" w:rightChars="0" w:firstLine="0" w:firstLineChars="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1</w:t>
            </w:r>
          </w:p>
        </w:tc>
        <w:tc>
          <w:tcPr>
            <w:tcW w:w="495" w:type="dxa"/>
            <w:shd w:val="clear" w:color="auto" w:fill="auto"/>
            <w:vAlign w:val="center"/>
          </w:tcPr>
          <w:p w14:paraId="56627FCC">
            <w:pPr>
              <w:keepNext/>
              <w:snapToGrid w:val="0"/>
              <w:ind w:left="0" w:leftChars="0" w:right="0" w:rightChars="0" w:firstLine="0" w:firstLineChars="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项</w:t>
            </w:r>
          </w:p>
        </w:tc>
      </w:tr>
      <w:tr w14:paraId="42E73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1" w:type="dxa"/>
            <w:vAlign w:val="center"/>
          </w:tcPr>
          <w:p w14:paraId="1D1086FC">
            <w:pPr>
              <w:keepNext/>
              <w:snapToGrid w:val="0"/>
              <w:ind w:left="0" w:leftChars="0" w:right="0" w:rightChars="0" w:firstLine="0" w:firstLineChars="0"/>
              <w:jc w:val="center"/>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w:t>
            </w:r>
          </w:p>
        </w:tc>
        <w:tc>
          <w:tcPr>
            <w:tcW w:w="0" w:type="auto"/>
            <w:vMerge w:val="continue"/>
            <w:shd w:val="clear" w:color="auto" w:fill="auto"/>
            <w:vAlign w:val="center"/>
          </w:tcPr>
          <w:p w14:paraId="3D26A1AE">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p>
        </w:tc>
        <w:tc>
          <w:tcPr>
            <w:tcW w:w="0" w:type="auto"/>
            <w:shd w:val="clear" w:color="auto" w:fill="auto"/>
            <w:vAlign w:val="center"/>
          </w:tcPr>
          <w:p w14:paraId="7D20DCD3">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汇聚交换服务</w:t>
            </w:r>
          </w:p>
        </w:tc>
        <w:tc>
          <w:tcPr>
            <w:tcW w:w="5435" w:type="dxa"/>
            <w:shd w:val="clear" w:color="auto" w:fill="auto"/>
            <w:vAlign w:val="center"/>
          </w:tcPr>
          <w:p w14:paraId="30607A52">
            <w:pPr>
              <w:snapToGrid w:val="0"/>
              <w:ind w:left="0" w:leftChars="0" w:right="0" w:rightChars="0"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为远距离街道提供汇聚设备，确保各学校/单位合理接入，配备数量根据投标方机房地理位置计算。汇聚设备与核心之间的互联链路需冗余，且能自动跳转，满足双路由电信级的倒换性能要求（50ms）。</w:t>
            </w:r>
            <w:r>
              <w:rPr>
                <w:rFonts w:hint="eastAsia" w:ascii="宋体" w:hAnsi="宋体" w:eastAsia="宋体" w:cs="宋体"/>
                <w:color w:val="auto"/>
                <w:sz w:val="24"/>
                <w:szCs w:val="24"/>
                <w:highlight w:val="none"/>
                <w:lang w:val="en-US" w:eastAsia="zh-CN"/>
              </w:rPr>
              <w:t>需提供产品说明书或产品功能截图加盖投标人公章。</w:t>
            </w:r>
          </w:p>
        </w:tc>
        <w:tc>
          <w:tcPr>
            <w:tcW w:w="0" w:type="auto"/>
            <w:shd w:val="clear" w:color="auto" w:fill="auto"/>
            <w:vAlign w:val="center"/>
          </w:tcPr>
          <w:p w14:paraId="013B55CB">
            <w:pPr>
              <w:keepNext/>
              <w:snapToGrid w:val="0"/>
              <w:ind w:left="0" w:leftChars="0" w:right="0" w:rightChars="0" w:firstLine="0" w:firstLineChars="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1</w:t>
            </w:r>
          </w:p>
        </w:tc>
        <w:tc>
          <w:tcPr>
            <w:tcW w:w="495" w:type="dxa"/>
            <w:shd w:val="clear" w:color="auto" w:fill="auto"/>
            <w:vAlign w:val="center"/>
          </w:tcPr>
          <w:p w14:paraId="40974727">
            <w:pPr>
              <w:keepNext/>
              <w:snapToGrid w:val="0"/>
              <w:ind w:left="0" w:leftChars="0" w:right="0" w:rightChars="0" w:firstLine="0" w:firstLineChars="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项</w:t>
            </w:r>
          </w:p>
        </w:tc>
      </w:tr>
      <w:tr w14:paraId="1351A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1" w:type="dxa"/>
            <w:vAlign w:val="center"/>
          </w:tcPr>
          <w:p w14:paraId="560CF363">
            <w:pPr>
              <w:keepNext/>
              <w:snapToGrid w:val="0"/>
              <w:ind w:left="0" w:leftChars="0" w:right="0" w:rightChars="0" w:firstLine="0" w:firstLineChars="0"/>
              <w:jc w:val="center"/>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w:t>
            </w:r>
          </w:p>
        </w:tc>
        <w:tc>
          <w:tcPr>
            <w:tcW w:w="0" w:type="auto"/>
            <w:vMerge w:val="continue"/>
            <w:shd w:val="clear" w:color="auto" w:fill="auto"/>
            <w:vAlign w:val="center"/>
          </w:tcPr>
          <w:p w14:paraId="2BE01823">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p>
        </w:tc>
        <w:tc>
          <w:tcPr>
            <w:tcW w:w="0" w:type="auto"/>
            <w:shd w:val="clear" w:color="auto" w:fill="auto"/>
            <w:vAlign w:val="center"/>
          </w:tcPr>
          <w:p w14:paraId="49C7F3B2">
            <w:pPr>
              <w:snapToGrid w:val="0"/>
              <w:ind w:left="0" w:leftChars="0" w:right="0" w:rightChars="0" w:firstLine="0" w:firstLineChars="0"/>
              <w:jc w:val="left"/>
              <w:rPr>
                <w:rFonts w:hint="default" w:ascii="宋体" w:eastAsia="宋体"/>
                <w:color w:val="auto"/>
                <w:sz w:val="24"/>
                <w:highlight w:val="none"/>
                <w:lang w:val="en-US" w:eastAsia="zh-CN"/>
              </w:rPr>
            </w:pPr>
            <w:r>
              <w:rPr>
                <w:rFonts w:hint="eastAsia" w:ascii="宋体" w:eastAsia="宋体"/>
                <w:color w:val="auto"/>
                <w:sz w:val="24"/>
                <w:highlight w:val="none"/>
                <w:lang w:val="en-US" w:eastAsia="zh-CN"/>
              </w:rPr>
              <w:t>接入交换服务</w:t>
            </w:r>
          </w:p>
        </w:tc>
        <w:tc>
          <w:tcPr>
            <w:tcW w:w="5435" w:type="dxa"/>
            <w:shd w:val="clear" w:color="auto" w:fill="auto"/>
            <w:vAlign w:val="center"/>
          </w:tcPr>
          <w:p w14:paraId="15262E87">
            <w:pPr>
              <w:snapToGrid w:val="0"/>
              <w:ind w:left="0" w:leftChars="0" w:right="0" w:rightChars="0" w:firstLine="0" w:firstLineChars="0"/>
              <w:jc w:val="left"/>
              <w:rPr>
                <w:rFonts w:hint="eastAsia" w:ascii="宋体" w:hAnsi="宋体" w:eastAsia="宋体" w:cs="宋体"/>
                <w:color w:val="auto"/>
                <w:sz w:val="24"/>
                <w:szCs w:val="24"/>
                <w:highlight w:val="none"/>
                <w:lang w:eastAsia="zh-CN"/>
              </w:rPr>
            </w:pPr>
            <w:r>
              <w:rPr>
                <w:rFonts w:ascii="宋体" w:hAnsi="宋体" w:cs="宋体"/>
                <w:bCs/>
                <w:color w:val="auto"/>
                <w:sz w:val="24"/>
                <w:szCs w:val="24"/>
                <w:highlight w:val="none"/>
              </w:rPr>
              <w:t>为每个</w:t>
            </w:r>
            <w:r>
              <w:rPr>
                <w:rFonts w:hint="eastAsia" w:ascii="宋体" w:hAnsi="宋体" w:eastAsia="宋体" w:cs="宋体"/>
                <w:color w:val="auto"/>
                <w:sz w:val="24"/>
                <w:szCs w:val="24"/>
                <w:highlight w:val="none"/>
              </w:rPr>
              <w:t>学校/单位</w:t>
            </w:r>
            <w:r>
              <w:rPr>
                <w:rFonts w:ascii="宋体" w:hAnsi="宋体" w:cs="宋体"/>
                <w:bCs/>
                <w:color w:val="auto"/>
                <w:sz w:val="24"/>
                <w:szCs w:val="24"/>
                <w:highlight w:val="none"/>
              </w:rPr>
              <w:t>配备1台</w:t>
            </w:r>
            <w:r>
              <w:rPr>
                <w:rFonts w:hint="eastAsia" w:ascii="宋体" w:hAnsi="宋体" w:cs="宋体"/>
                <w:bCs/>
                <w:color w:val="auto"/>
                <w:sz w:val="24"/>
                <w:szCs w:val="24"/>
                <w:highlight w:val="none"/>
              </w:rPr>
              <w:t>千兆全线速可管理</w:t>
            </w:r>
            <w:r>
              <w:rPr>
                <w:rFonts w:ascii="宋体" w:hAnsi="宋体" w:cs="宋体"/>
                <w:bCs/>
                <w:color w:val="auto"/>
                <w:sz w:val="24"/>
                <w:szCs w:val="24"/>
                <w:highlight w:val="none"/>
              </w:rPr>
              <w:t>交换机</w:t>
            </w:r>
            <w:r>
              <w:rPr>
                <w:rFonts w:hint="eastAsia" w:ascii="宋体" w:hAnsi="宋体" w:eastAsia="宋体" w:cs="宋体"/>
                <w:bCs/>
                <w:color w:val="auto"/>
                <w:sz w:val="24"/>
                <w:szCs w:val="24"/>
                <w:highlight w:val="none"/>
              </w:rPr>
              <w:t>，</w:t>
            </w:r>
            <w:r>
              <w:rPr>
                <w:rFonts w:ascii="宋体" w:hAnsi="宋体" w:eastAsia="宋体" w:cs="宋体"/>
                <w:bCs/>
                <w:color w:val="auto"/>
                <w:sz w:val="24"/>
                <w:szCs w:val="24"/>
                <w:highlight w:val="none"/>
              </w:rPr>
              <w:t>确保各学校</w:t>
            </w:r>
            <w:r>
              <w:rPr>
                <w:rFonts w:hint="eastAsia" w:ascii="宋体" w:hAnsi="宋体" w:eastAsia="宋体" w:cs="宋体"/>
                <w:bCs/>
                <w:color w:val="auto"/>
                <w:sz w:val="24"/>
                <w:szCs w:val="24"/>
                <w:highlight w:val="none"/>
              </w:rPr>
              <w:t>正常</w:t>
            </w:r>
            <w:r>
              <w:rPr>
                <w:rFonts w:ascii="宋体" w:hAnsi="宋体" w:eastAsia="宋体" w:cs="宋体"/>
                <w:bCs/>
                <w:color w:val="auto"/>
                <w:sz w:val="24"/>
                <w:szCs w:val="24"/>
                <w:highlight w:val="none"/>
              </w:rPr>
              <w:t>接入，</w:t>
            </w:r>
            <w:r>
              <w:rPr>
                <w:rFonts w:hint="eastAsia" w:ascii="宋体" w:hAnsi="宋体" w:eastAsia="宋体" w:cs="宋体"/>
                <w:bCs/>
                <w:color w:val="auto"/>
                <w:sz w:val="24"/>
                <w:szCs w:val="24"/>
                <w:highlight w:val="none"/>
              </w:rPr>
              <w:t>交换机规格性能</w:t>
            </w:r>
            <w:r>
              <w:rPr>
                <w:rFonts w:ascii="宋体" w:hAnsi="宋体" w:eastAsia="宋体" w:cs="宋体"/>
                <w:bCs/>
                <w:color w:val="auto"/>
                <w:sz w:val="24"/>
                <w:szCs w:val="24"/>
                <w:highlight w:val="none"/>
              </w:rPr>
              <w:t>根据</w:t>
            </w:r>
            <w:r>
              <w:rPr>
                <w:rFonts w:hint="eastAsia" w:ascii="宋体" w:hAnsi="宋体" w:eastAsia="宋体" w:cs="宋体"/>
                <w:bCs/>
                <w:color w:val="auto"/>
                <w:sz w:val="24"/>
                <w:szCs w:val="24"/>
                <w:highlight w:val="none"/>
              </w:rPr>
              <w:t>各学校实际需求配置</w:t>
            </w:r>
            <w:r>
              <w:rPr>
                <w:rFonts w:hint="eastAsia" w:ascii="宋体" w:hAnsi="宋体" w:eastAsia="宋体" w:cs="宋体"/>
                <w:bCs/>
                <w:color w:val="auto"/>
                <w:sz w:val="24"/>
                <w:szCs w:val="24"/>
                <w:highlight w:val="none"/>
                <w:lang w:eastAsia="zh-CN"/>
              </w:rPr>
              <w:t>。</w:t>
            </w:r>
            <w:r>
              <w:rPr>
                <w:rFonts w:hint="eastAsia" w:ascii="宋体" w:hAnsi="宋体" w:eastAsia="宋体" w:cs="宋体"/>
                <w:color w:val="auto"/>
                <w:sz w:val="24"/>
                <w:szCs w:val="24"/>
                <w:highlight w:val="none"/>
                <w:lang w:val="en-US" w:eastAsia="zh-CN"/>
              </w:rPr>
              <w:t>需提供产品说明书或产品功能截图加盖投标人公章。</w:t>
            </w:r>
          </w:p>
        </w:tc>
        <w:tc>
          <w:tcPr>
            <w:tcW w:w="0" w:type="auto"/>
            <w:shd w:val="clear" w:color="auto" w:fill="auto"/>
            <w:vAlign w:val="center"/>
          </w:tcPr>
          <w:p w14:paraId="6155CB67">
            <w:pPr>
              <w:keepNext/>
              <w:snapToGrid w:val="0"/>
              <w:ind w:left="0" w:leftChars="0" w:right="0" w:rightChars="0" w:firstLine="0" w:firstLineChars="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1</w:t>
            </w:r>
          </w:p>
        </w:tc>
        <w:tc>
          <w:tcPr>
            <w:tcW w:w="495" w:type="dxa"/>
            <w:shd w:val="clear" w:color="auto" w:fill="auto"/>
            <w:vAlign w:val="center"/>
          </w:tcPr>
          <w:p w14:paraId="24BEE04E">
            <w:pPr>
              <w:keepNext/>
              <w:snapToGrid w:val="0"/>
              <w:ind w:left="0" w:leftChars="0" w:right="0" w:rightChars="0" w:firstLine="0" w:firstLineChars="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项</w:t>
            </w:r>
          </w:p>
        </w:tc>
      </w:tr>
      <w:tr w14:paraId="31C4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1" w:type="dxa"/>
            <w:vAlign w:val="center"/>
          </w:tcPr>
          <w:p w14:paraId="1B083518">
            <w:pPr>
              <w:keepNext/>
              <w:snapToGrid w:val="0"/>
              <w:ind w:left="0" w:leftChars="0" w:right="0" w:rightChars="0" w:firstLine="0" w:firstLineChars="0"/>
              <w:jc w:val="center"/>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5</w:t>
            </w:r>
          </w:p>
        </w:tc>
        <w:tc>
          <w:tcPr>
            <w:tcW w:w="0" w:type="auto"/>
            <w:vMerge w:val="continue"/>
            <w:shd w:val="clear" w:color="auto" w:fill="auto"/>
            <w:vAlign w:val="center"/>
          </w:tcPr>
          <w:p w14:paraId="0AE5B6EE">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p>
        </w:tc>
        <w:tc>
          <w:tcPr>
            <w:tcW w:w="0" w:type="auto"/>
            <w:shd w:val="clear" w:color="auto" w:fill="auto"/>
            <w:vAlign w:val="center"/>
          </w:tcPr>
          <w:p w14:paraId="621CDD90">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网络集控管理系统服务</w:t>
            </w:r>
          </w:p>
        </w:tc>
        <w:tc>
          <w:tcPr>
            <w:tcW w:w="5435" w:type="dxa"/>
            <w:shd w:val="clear" w:color="auto" w:fill="auto"/>
            <w:vAlign w:val="center"/>
          </w:tcPr>
          <w:p w14:paraId="684C8D6A">
            <w:pPr>
              <w:snapToGrid w:val="0"/>
              <w:ind w:left="0" w:leftChars="0" w:right="0" w:rightChars="0" w:firstLine="0" w:firstLineChars="0"/>
              <w:jc w:val="left"/>
              <w:rPr>
                <w:rFonts w:hint="eastAsia" w:ascii="宋体" w:hAnsi="宋体" w:eastAsia="宋体" w:cs="宋体"/>
                <w:color w:val="auto"/>
                <w:kern w:val="2"/>
                <w:sz w:val="24"/>
                <w:szCs w:val="24"/>
                <w:highlight w:val="none"/>
                <w:lang w:val="en-US" w:eastAsia="zh-CN" w:bidi="ar-SA"/>
              </w:rPr>
            </w:pPr>
            <w:r>
              <w:rPr>
                <w:rFonts w:hint="eastAsia" w:ascii="宋体" w:hAnsi="宋体" w:cs="宋体"/>
                <w:bCs/>
                <w:color w:val="auto"/>
                <w:sz w:val="24"/>
                <w:szCs w:val="24"/>
                <w:highlight w:val="none"/>
              </w:rPr>
              <w:t>部署专业的网络集控管理系统，采用集中管控网络设备的模式，实现对学校现有或新增网络设备的集中管控能力。系统需能自动发现服务器与网络设备，实时监控设备状态，动态了解网络设备健康情况；能够通过WEB界面设置或查看监视结果，支持远程管理控制，能远程对整个网络进行图形化监视；支持特定日志的搜索查询，支持定位特定事件，支持人工和自动报表导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需提供产品说明书或产品功能截图加盖投标人公章。</w:t>
            </w:r>
          </w:p>
        </w:tc>
        <w:tc>
          <w:tcPr>
            <w:tcW w:w="0" w:type="auto"/>
            <w:shd w:val="clear" w:color="auto" w:fill="auto"/>
            <w:vAlign w:val="center"/>
          </w:tcPr>
          <w:p w14:paraId="16A51B76">
            <w:pPr>
              <w:keepNext/>
              <w:snapToGrid w:val="0"/>
              <w:ind w:left="0" w:leftChars="0" w:right="0" w:rightChars="0" w:firstLine="0" w:firstLineChars="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1</w:t>
            </w:r>
          </w:p>
        </w:tc>
        <w:tc>
          <w:tcPr>
            <w:tcW w:w="495" w:type="dxa"/>
            <w:shd w:val="clear" w:color="auto" w:fill="auto"/>
            <w:vAlign w:val="center"/>
          </w:tcPr>
          <w:p w14:paraId="209C88F6">
            <w:pPr>
              <w:keepNext/>
              <w:snapToGrid w:val="0"/>
              <w:ind w:left="0" w:leftChars="0" w:right="0" w:rightChars="0" w:firstLine="0" w:firstLineChars="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项</w:t>
            </w:r>
          </w:p>
        </w:tc>
      </w:tr>
      <w:tr w14:paraId="28FED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1" w:type="dxa"/>
            <w:vAlign w:val="center"/>
          </w:tcPr>
          <w:p w14:paraId="7AC20D07">
            <w:pPr>
              <w:keepNext/>
              <w:snapToGrid w:val="0"/>
              <w:ind w:left="0" w:leftChars="0" w:right="0" w:rightChars="0" w:firstLine="0" w:firstLineChars="0"/>
              <w:jc w:val="center"/>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6</w:t>
            </w:r>
          </w:p>
        </w:tc>
        <w:tc>
          <w:tcPr>
            <w:tcW w:w="0" w:type="auto"/>
            <w:vMerge w:val="restart"/>
            <w:shd w:val="clear" w:color="auto" w:fill="auto"/>
            <w:vAlign w:val="center"/>
          </w:tcPr>
          <w:p w14:paraId="26CEDD39">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r>
              <w:rPr>
                <w:rFonts w:hint="eastAsia" w:ascii="宋体" w:eastAsia="宋体"/>
                <w:color w:val="auto"/>
                <w:sz w:val="24"/>
                <w:szCs w:val="24"/>
                <w:highlight w:val="none"/>
              </w:rPr>
              <w:t>安全防护与管控服务</w:t>
            </w:r>
          </w:p>
        </w:tc>
        <w:tc>
          <w:tcPr>
            <w:tcW w:w="0" w:type="auto"/>
            <w:shd w:val="clear" w:color="auto" w:fill="auto"/>
            <w:vAlign w:val="center"/>
          </w:tcPr>
          <w:p w14:paraId="0E8A1C9D">
            <w:pPr>
              <w:snapToGrid w:val="0"/>
              <w:spacing w:line="240" w:lineRule="auto"/>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边界基础防护服务</w:t>
            </w:r>
          </w:p>
        </w:tc>
        <w:tc>
          <w:tcPr>
            <w:tcW w:w="5435" w:type="dxa"/>
            <w:shd w:val="clear" w:color="auto" w:fill="auto"/>
            <w:vAlign w:val="center"/>
          </w:tcPr>
          <w:p w14:paraId="74DDBF36">
            <w:pPr>
              <w:snapToGrid w:val="0"/>
              <w:ind w:left="0" w:leftChars="0" w:right="0" w:rightChars="0" w:firstLine="0" w:firstLine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
              </w:rPr>
              <w:t>▲</w:t>
            </w:r>
            <w:r>
              <w:rPr>
                <w:rFonts w:hint="eastAsia" w:ascii="宋体" w:hAnsi="宋体" w:eastAsia="宋体" w:cs="宋体"/>
                <w:color w:val="auto"/>
                <w:sz w:val="24"/>
                <w:szCs w:val="24"/>
                <w:highlight w:val="none"/>
              </w:rPr>
              <w:t>在互联网总出口部署1套专业的防护设备，实现入侵和病毒防护服务。对数据包进行拆包后深度检测，判断入侵行为，对网内应用、流量进行识别，有目的性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针对性地进行拦截和限制；同时</w:t>
            </w:r>
            <w:r>
              <w:rPr>
                <w:rFonts w:hint="eastAsia" w:ascii="宋体" w:hAnsi="宋体" w:eastAsia="宋体" w:cs="宋体"/>
                <w:color w:val="auto"/>
                <w:sz w:val="24"/>
                <w:szCs w:val="24"/>
                <w:highlight w:val="none"/>
                <w:lang w:eastAsia="zh-CN"/>
              </w:rPr>
              <w:t>对</w:t>
            </w:r>
            <w:r>
              <w:rPr>
                <w:rFonts w:hint="eastAsia" w:ascii="宋体" w:hAnsi="宋体" w:eastAsia="宋体" w:cs="宋体"/>
                <w:color w:val="auto"/>
                <w:sz w:val="24"/>
                <w:szCs w:val="24"/>
                <w:highlight w:val="none"/>
              </w:rPr>
              <w:t>网络病毒进行快速扫描，并查杀，降低网络安全风险。</w:t>
            </w:r>
            <w:r>
              <w:rPr>
                <w:rFonts w:hint="eastAsia" w:ascii="宋体" w:hAnsi="宋体" w:eastAsia="宋体" w:cs="宋体"/>
                <w:color w:val="auto"/>
                <w:sz w:val="24"/>
                <w:szCs w:val="24"/>
                <w:highlight w:val="none"/>
                <w:lang w:val="en-US" w:eastAsia="zh-CN"/>
              </w:rPr>
              <w:t>需提供产品说明书或产品功能截图，以及国家认可的第三方检测机构出具的检测报告复印件，以上均需加盖投标人公章。</w:t>
            </w:r>
          </w:p>
        </w:tc>
        <w:tc>
          <w:tcPr>
            <w:tcW w:w="0" w:type="auto"/>
            <w:shd w:val="clear" w:color="auto" w:fill="auto"/>
            <w:vAlign w:val="center"/>
          </w:tcPr>
          <w:p w14:paraId="6E79913E">
            <w:pPr>
              <w:keepNext/>
              <w:snapToGrid w:val="0"/>
              <w:ind w:left="0" w:leftChars="0" w:right="0" w:rightChars="0" w:firstLine="0" w:firstLineChars="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1</w:t>
            </w:r>
          </w:p>
        </w:tc>
        <w:tc>
          <w:tcPr>
            <w:tcW w:w="495" w:type="dxa"/>
            <w:shd w:val="clear" w:color="auto" w:fill="auto"/>
            <w:vAlign w:val="center"/>
          </w:tcPr>
          <w:p w14:paraId="2360391E">
            <w:pPr>
              <w:keepNext/>
              <w:snapToGrid w:val="0"/>
              <w:ind w:left="0" w:leftChars="0" w:right="0" w:rightChars="0" w:firstLine="0" w:firstLineChars="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项</w:t>
            </w:r>
          </w:p>
        </w:tc>
      </w:tr>
      <w:tr w14:paraId="3A7BA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1" w:type="dxa"/>
            <w:vAlign w:val="center"/>
          </w:tcPr>
          <w:p w14:paraId="2C4F9FCE">
            <w:pPr>
              <w:keepNext/>
              <w:snapToGrid w:val="0"/>
              <w:ind w:left="0" w:leftChars="0" w:right="0" w:rightChars="0" w:firstLine="0" w:firstLineChars="0"/>
              <w:jc w:val="center"/>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7</w:t>
            </w:r>
          </w:p>
        </w:tc>
        <w:tc>
          <w:tcPr>
            <w:tcW w:w="0" w:type="auto"/>
            <w:vMerge w:val="continue"/>
            <w:shd w:val="clear" w:color="auto" w:fill="auto"/>
            <w:vAlign w:val="center"/>
          </w:tcPr>
          <w:p w14:paraId="272A09A8">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p>
        </w:tc>
        <w:tc>
          <w:tcPr>
            <w:tcW w:w="0" w:type="auto"/>
            <w:shd w:val="clear" w:color="auto" w:fill="auto"/>
            <w:vAlign w:val="center"/>
          </w:tcPr>
          <w:p w14:paraId="41453BA4">
            <w:pPr>
              <w:snapToGrid w:val="0"/>
              <w:spacing w:line="240" w:lineRule="auto"/>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身份与上网行为管控服务</w:t>
            </w:r>
          </w:p>
        </w:tc>
        <w:tc>
          <w:tcPr>
            <w:tcW w:w="5435" w:type="dxa"/>
            <w:shd w:val="clear" w:color="auto" w:fill="auto"/>
            <w:vAlign w:val="center"/>
          </w:tcPr>
          <w:p w14:paraId="726B2978">
            <w:pPr>
              <w:snapToGrid w:val="0"/>
              <w:ind w:left="0" w:leftChars="0" w:right="0" w:righ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部署专业的上网行为审计系统，通过对访问数据的五元组会话</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URL信息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论坛发帖</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即时通讯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虚拟账号登录</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邮件收发等信息做记录留存，满足《</w:t>
            </w:r>
            <w:r>
              <w:rPr>
                <w:rFonts w:hint="eastAsia" w:ascii="宋体" w:hAnsi="宋体" w:eastAsia="宋体" w:cs="宋体"/>
                <w:color w:val="auto"/>
                <w:sz w:val="24"/>
                <w:szCs w:val="24"/>
                <w:highlight w:val="none"/>
                <w:lang w:eastAsia="zh-CN"/>
              </w:rPr>
              <w:t>中华人民共和国网络安全法</w:t>
            </w:r>
            <w:r>
              <w:rPr>
                <w:rFonts w:hint="eastAsia" w:ascii="宋体" w:hAnsi="宋体" w:eastAsia="宋体" w:cs="宋体"/>
                <w:color w:val="auto"/>
                <w:sz w:val="24"/>
                <w:szCs w:val="24"/>
                <w:highlight w:val="none"/>
              </w:rPr>
              <w:t>》、公安部51号令等关于用户行为审计和日志留存要求。</w:t>
            </w:r>
            <w:r>
              <w:rPr>
                <w:rFonts w:hint="eastAsia" w:ascii="宋体" w:hAnsi="宋体" w:eastAsia="宋体" w:cs="宋体"/>
                <w:color w:val="auto"/>
                <w:sz w:val="24"/>
                <w:szCs w:val="24"/>
                <w:highlight w:val="none"/>
                <w:lang w:val="en-US" w:eastAsia="zh-CN"/>
              </w:rPr>
              <w:t>需提供产品说明书或产品功能截图，以及国家认可的第三方检测机构出具的检测报告复印件，以上均需加盖投标人公章。</w:t>
            </w:r>
          </w:p>
          <w:p w14:paraId="0D692772">
            <w:pPr>
              <w:snapToGrid w:val="0"/>
              <w:ind w:left="0" w:leftChars="0" w:right="0" w:rightChars="0"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部署专业的实名认证系统，提供多种实名认证方式，对入不同网络区域、用户、终端进行入网校验，对不满足入网要求的终端进行隔离并提供入网指导。确保内部网络安全性，实现终端接入合规可信。最大支持终端同时在线数不少于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000。</w:t>
            </w:r>
            <w:r>
              <w:rPr>
                <w:rFonts w:hint="eastAsia" w:ascii="宋体" w:hAnsi="宋体" w:eastAsia="宋体" w:cs="宋体"/>
                <w:color w:val="auto"/>
                <w:sz w:val="24"/>
                <w:szCs w:val="24"/>
                <w:highlight w:val="none"/>
                <w:lang w:val="en-US" w:eastAsia="zh-CN"/>
              </w:rPr>
              <w:t>需提供产品说明书或产品功能截图，以及国家认可的第三方检测机构出具的检测报告复印件，以上均需加盖投标人公章。</w:t>
            </w:r>
          </w:p>
        </w:tc>
        <w:tc>
          <w:tcPr>
            <w:tcW w:w="0" w:type="auto"/>
            <w:shd w:val="clear" w:color="auto" w:fill="auto"/>
            <w:vAlign w:val="center"/>
          </w:tcPr>
          <w:p w14:paraId="191E99D1">
            <w:pPr>
              <w:keepNext/>
              <w:snapToGrid w:val="0"/>
              <w:ind w:left="0" w:leftChars="0" w:right="0" w:rightChars="0" w:firstLine="0" w:firstLineChars="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1</w:t>
            </w:r>
          </w:p>
        </w:tc>
        <w:tc>
          <w:tcPr>
            <w:tcW w:w="495" w:type="dxa"/>
            <w:shd w:val="clear" w:color="auto" w:fill="auto"/>
            <w:vAlign w:val="center"/>
          </w:tcPr>
          <w:p w14:paraId="2E98A927">
            <w:pPr>
              <w:keepNext/>
              <w:snapToGrid w:val="0"/>
              <w:ind w:left="0" w:leftChars="0" w:right="0" w:rightChars="0" w:firstLine="0" w:firstLineChars="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项</w:t>
            </w:r>
          </w:p>
        </w:tc>
      </w:tr>
      <w:tr w14:paraId="5AFA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1" w:type="dxa"/>
            <w:vAlign w:val="center"/>
          </w:tcPr>
          <w:p w14:paraId="11D0C20C">
            <w:pPr>
              <w:keepNext/>
              <w:snapToGrid w:val="0"/>
              <w:ind w:left="0" w:leftChars="0" w:right="0" w:rightChars="0" w:firstLine="0" w:firstLineChars="0"/>
              <w:jc w:val="center"/>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8</w:t>
            </w:r>
          </w:p>
        </w:tc>
        <w:tc>
          <w:tcPr>
            <w:tcW w:w="0" w:type="auto"/>
            <w:vMerge w:val="continue"/>
            <w:shd w:val="clear" w:color="auto" w:fill="auto"/>
            <w:vAlign w:val="center"/>
          </w:tcPr>
          <w:p w14:paraId="6E42F391">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p>
        </w:tc>
        <w:tc>
          <w:tcPr>
            <w:tcW w:w="0" w:type="auto"/>
            <w:shd w:val="clear" w:color="auto" w:fill="auto"/>
            <w:vAlign w:val="center"/>
          </w:tcPr>
          <w:p w14:paraId="44AED389">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r>
              <w:rPr>
                <w:rFonts w:ascii="宋体" w:hAnsi="宋体" w:eastAsia="宋体" w:cs="宋体"/>
                <w:bCs/>
                <w:color w:val="auto"/>
                <w:sz w:val="24"/>
                <w:szCs w:val="24"/>
                <w:highlight w:val="none"/>
              </w:rPr>
              <w:t>安全集中管理控制服务</w:t>
            </w:r>
          </w:p>
        </w:tc>
        <w:tc>
          <w:tcPr>
            <w:tcW w:w="5435" w:type="dxa"/>
            <w:shd w:val="clear" w:color="auto" w:fill="auto"/>
            <w:vAlign w:val="center"/>
          </w:tcPr>
          <w:p w14:paraId="25923E5D">
            <w:pPr>
              <w:snapToGrid w:val="0"/>
              <w:ind w:left="0" w:leftChars="0" w:right="0" w:rightChars="0" w:firstLine="0" w:firstLine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构建隔离、专用、可信的安全管理通道，将安全管理业务、设备运维业务与教学办公业务流量进行分层隔离，避免管理流量与业务流量混传带来的越权访问、恶意渗透、权限</w:t>
            </w:r>
            <w:r>
              <w:rPr>
                <w:rFonts w:hint="eastAsia" w:ascii="宋体" w:hAnsi="宋体" w:eastAsia="宋体" w:cs="宋体"/>
                <w:color w:val="auto"/>
                <w:sz w:val="24"/>
                <w:szCs w:val="24"/>
                <w:highlight w:val="none"/>
                <w:lang w:eastAsia="zh-CN"/>
              </w:rPr>
              <w:t>泄漏</w:t>
            </w:r>
            <w:r>
              <w:rPr>
                <w:rFonts w:hint="eastAsia" w:ascii="宋体" w:hAnsi="宋体" w:eastAsia="宋体" w:cs="宋体"/>
                <w:color w:val="auto"/>
                <w:sz w:val="24"/>
                <w:szCs w:val="24"/>
                <w:highlight w:val="none"/>
              </w:rPr>
              <w:t>等安全风险。</w:t>
            </w:r>
            <w:r>
              <w:rPr>
                <w:rFonts w:hint="eastAsia" w:ascii="宋体" w:hAnsi="宋体" w:eastAsia="宋体" w:cs="宋体"/>
                <w:color w:val="auto"/>
                <w:sz w:val="24"/>
                <w:szCs w:val="24"/>
                <w:highlight w:val="none"/>
                <w:lang w:val="en-US" w:eastAsia="zh-CN"/>
              </w:rPr>
              <w:t>需提供产品说明书或产品功能截图加盖投标人公章。</w:t>
            </w:r>
          </w:p>
        </w:tc>
        <w:tc>
          <w:tcPr>
            <w:tcW w:w="0" w:type="auto"/>
            <w:shd w:val="clear" w:color="auto" w:fill="auto"/>
            <w:vAlign w:val="center"/>
          </w:tcPr>
          <w:p w14:paraId="27A5D631">
            <w:pPr>
              <w:keepNext/>
              <w:snapToGrid w:val="0"/>
              <w:ind w:left="0" w:leftChars="0" w:right="0" w:rightChars="0" w:firstLine="0" w:firstLineChars="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1</w:t>
            </w:r>
          </w:p>
        </w:tc>
        <w:tc>
          <w:tcPr>
            <w:tcW w:w="495" w:type="dxa"/>
            <w:shd w:val="clear" w:color="auto" w:fill="auto"/>
            <w:vAlign w:val="center"/>
          </w:tcPr>
          <w:p w14:paraId="1E187AE7">
            <w:pPr>
              <w:keepNext/>
              <w:snapToGrid w:val="0"/>
              <w:ind w:left="0" w:leftChars="0" w:right="0" w:rightChars="0" w:firstLine="0" w:firstLineChars="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项</w:t>
            </w:r>
          </w:p>
        </w:tc>
      </w:tr>
      <w:tr w14:paraId="73515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1" w:type="dxa"/>
            <w:vAlign w:val="center"/>
          </w:tcPr>
          <w:p w14:paraId="10F4D2E8">
            <w:pPr>
              <w:keepNext/>
              <w:snapToGrid w:val="0"/>
              <w:ind w:left="0" w:leftChars="0" w:right="0" w:rightChars="0" w:firstLine="0" w:firstLineChars="0"/>
              <w:jc w:val="center"/>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9</w:t>
            </w:r>
          </w:p>
        </w:tc>
        <w:tc>
          <w:tcPr>
            <w:tcW w:w="0" w:type="auto"/>
            <w:vMerge w:val="continue"/>
            <w:shd w:val="clear" w:color="auto" w:fill="auto"/>
            <w:vAlign w:val="center"/>
          </w:tcPr>
          <w:p w14:paraId="484465A1">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p>
        </w:tc>
        <w:tc>
          <w:tcPr>
            <w:tcW w:w="0" w:type="auto"/>
            <w:shd w:val="clear" w:color="auto" w:fill="auto"/>
            <w:vAlign w:val="center"/>
          </w:tcPr>
          <w:p w14:paraId="6A64B2AC">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r>
              <w:rPr>
                <w:rFonts w:ascii="宋体" w:hAnsi="宋体" w:eastAsia="宋体" w:cs="宋体"/>
                <w:bCs/>
                <w:color w:val="auto"/>
                <w:sz w:val="24"/>
                <w:szCs w:val="24"/>
                <w:highlight w:val="none"/>
              </w:rPr>
              <w:t>全流威胁检测</w:t>
            </w:r>
            <w:r>
              <w:rPr>
                <w:rFonts w:hint="eastAsia" w:ascii="宋体" w:hAnsi="宋体" w:eastAsia="宋体" w:cs="宋体"/>
                <w:bCs/>
                <w:color w:val="auto"/>
                <w:sz w:val="24"/>
                <w:szCs w:val="24"/>
                <w:highlight w:val="none"/>
              </w:rPr>
              <w:t>服务</w:t>
            </w:r>
          </w:p>
        </w:tc>
        <w:tc>
          <w:tcPr>
            <w:tcW w:w="5435" w:type="dxa"/>
            <w:shd w:val="clear" w:color="auto" w:fill="auto"/>
            <w:vAlign w:val="center"/>
          </w:tcPr>
          <w:p w14:paraId="1D3E1D9C">
            <w:pPr>
              <w:snapToGrid w:val="0"/>
              <w:ind w:left="0" w:leftChars="0" w:right="0" w:righ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部署专业的全流威胁检测系统</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通过双向流量分析、威胁情报联动、YARA特征匹配与机器学习等检测技术，对全网流量（含跨学校东西向访问流量）进行全面检测与深度分析；既要对流量中的威胁进行检测，也要对文件中的威胁进行检测，实现威胁全生命周期防护。</w:t>
            </w:r>
            <w:r>
              <w:rPr>
                <w:rFonts w:hint="eastAsia" w:ascii="宋体" w:hAnsi="宋体" w:eastAsia="宋体" w:cs="宋体"/>
                <w:color w:val="auto"/>
                <w:sz w:val="24"/>
                <w:szCs w:val="24"/>
                <w:highlight w:val="none"/>
                <w:lang w:val="en-US" w:eastAsia="zh-CN"/>
              </w:rPr>
              <w:t>需提供产品说明书或产品功能截图，以及国家认可的第三方检测机构出具的检测报告复印件，以上均需加盖投标人公章。</w:t>
            </w:r>
          </w:p>
          <w:p w14:paraId="3448B4E5">
            <w:pPr>
              <w:snapToGrid w:val="0"/>
              <w:ind w:left="0" w:leftChars="0" w:right="0" w:rightChars="0" w:firstLine="0" w:firstLineChars="0"/>
              <w:jc w:val="left"/>
              <w:rPr>
                <w:rFonts w:hint="eastAsia" w:ascii="宋体" w:eastAsia="宋体"/>
                <w:color w:val="auto"/>
                <w:sz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部署专业的终端一体化管控系统，为PC、服务器提供合规检查、配置检查、主机病毒查杀等安全能力，管理终端授权数量不小于12000个。</w:t>
            </w:r>
            <w:r>
              <w:rPr>
                <w:rFonts w:ascii="宋体" w:hAnsi="宋体" w:eastAsia="宋体"/>
                <w:color w:val="auto"/>
                <w:sz w:val="24"/>
                <w:szCs w:val="24"/>
                <w:highlight w:val="none"/>
              </w:rPr>
              <w:t>具备对全网终端资产进行统一管理和资产画像能力：可提供基于</w:t>
            </w:r>
            <w:r>
              <w:rPr>
                <w:rFonts w:hint="eastAsia" w:ascii="宋体" w:hAnsi="宋体" w:eastAsia="宋体"/>
                <w:color w:val="auto"/>
                <w:sz w:val="24"/>
                <w:szCs w:val="24"/>
                <w:highlight w:val="none"/>
              </w:rPr>
              <w:t>大模型</w:t>
            </w:r>
            <w:r>
              <w:rPr>
                <w:rFonts w:ascii="宋体" w:hAnsi="宋体" w:eastAsia="宋体"/>
                <w:color w:val="auto"/>
                <w:sz w:val="24"/>
                <w:szCs w:val="24"/>
                <w:highlight w:val="none"/>
              </w:rPr>
              <w:t>的智能分析，实现单个终端与全网终端的风险解读，直观展示终端资产的综合健康状态，并为用户提供合理的优化策略与处置建议</w:t>
            </w:r>
            <w:r>
              <w:rPr>
                <w:rFonts w:hint="eastAsia" w:ascii="宋体" w:hAnsi="宋体" w:eastAsia="宋体"/>
                <w:color w:val="auto"/>
                <w:sz w:val="24"/>
                <w:szCs w:val="24"/>
                <w:highlight w:val="none"/>
                <w:lang w:eastAsia="zh-CN"/>
              </w:rPr>
              <w:t>；</w:t>
            </w:r>
            <w:r>
              <w:rPr>
                <w:rFonts w:ascii="宋体" w:eastAsia="宋体" w:hAnsiTheme="minorEastAsia"/>
                <w:bCs/>
                <w:color w:val="auto"/>
                <w:sz w:val="24"/>
                <w:szCs w:val="24"/>
                <w:highlight w:val="none"/>
              </w:rPr>
              <w:t>支持终端风险管理能力，至少包括漏洞检查、弱密码检查、暴露面管理能力；支持检测的漏洞类型应至少包括系统漏洞、应用漏洞、中间件漏洞、数据库漏洞等。</w:t>
            </w:r>
            <w:r>
              <w:rPr>
                <w:rFonts w:hint="eastAsia" w:ascii="宋体" w:hAnsi="宋体" w:eastAsia="宋体" w:cs="宋体"/>
                <w:color w:val="auto"/>
                <w:sz w:val="24"/>
                <w:szCs w:val="24"/>
                <w:highlight w:val="none"/>
                <w:lang w:val="en-US" w:eastAsia="zh-CN"/>
              </w:rPr>
              <w:t>需提供产品说明书或产品功能截图加盖投标人公章。</w:t>
            </w:r>
          </w:p>
        </w:tc>
        <w:tc>
          <w:tcPr>
            <w:tcW w:w="0" w:type="auto"/>
            <w:shd w:val="clear" w:color="auto" w:fill="auto"/>
            <w:vAlign w:val="center"/>
          </w:tcPr>
          <w:p w14:paraId="19E7069F">
            <w:pPr>
              <w:keepNext/>
              <w:snapToGrid w:val="0"/>
              <w:ind w:left="0" w:leftChars="0" w:right="0" w:rightChars="0" w:firstLine="0" w:firstLineChars="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1</w:t>
            </w:r>
          </w:p>
        </w:tc>
        <w:tc>
          <w:tcPr>
            <w:tcW w:w="495" w:type="dxa"/>
            <w:shd w:val="clear" w:color="auto" w:fill="auto"/>
            <w:vAlign w:val="center"/>
          </w:tcPr>
          <w:p w14:paraId="1B34CDBE">
            <w:pPr>
              <w:keepNext/>
              <w:snapToGrid w:val="0"/>
              <w:ind w:left="0" w:leftChars="0" w:right="0" w:rightChars="0" w:firstLine="0" w:firstLineChars="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项</w:t>
            </w:r>
          </w:p>
        </w:tc>
      </w:tr>
      <w:tr w14:paraId="5E216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1" w:type="dxa"/>
            <w:vAlign w:val="center"/>
          </w:tcPr>
          <w:p w14:paraId="01872855">
            <w:pPr>
              <w:keepNext/>
              <w:snapToGrid w:val="0"/>
              <w:ind w:left="0" w:leftChars="0" w:right="0" w:rightChars="0" w:firstLine="0" w:firstLineChars="0"/>
              <w:jc w:val="center"/>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10</w:t>
            </w:r>
          </w:p>
        </w:tc>
        <w:tc>
          <w:tcPr>
            <w:tcW w:w="0" w:type="auto"/>
            <w:vMerge w:val="continue"/>
            <w:shd w:val="clear" w:color="auto" w:fill="auto"/>
            <w:vAlign w:val="center"/>
          </w:tcPr>
          <w:p w14:paraId="3531C0E1">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p>
        </w:tc>
        <w:tc>
          <w:tcPr>
            <w:tcW w:w="0" w:type="auto"/>
            <w:shd w:val="clear" w:color="auto" w:fill="auto"/>
            <w:vAlign w:val="center"/>
          </w:tcPr>
          <w:p w14:paraId="522EACD3">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日志溯源与闭环处置服务</w:t>
            </w:r>
          </w:p>
        </w:tc>
        <w:tc>
          <w:tcPr>
            <w:tcW w:w="5435" w:type="dxa"/>
            <w:shd w:val="clear" w:color="auto" w:fill="auto"/>
            <w:vAlign w:val="center"/>
          </w:tcPr>
          <w:p w14:paraId="708369B1">
            <w:pPr>
              <w:snapToGrid w:val="0"/>
              <w:ind w:left="0" w:leftChars="0" w:right="0" w:rightChars="0" w:firstLine="0" w:firstLineChars="0"/>
              <w:jc w:val="left"/>
              <w:rPr>
                <w:rFonts w:ascii="宋体" w:hAnsi="宋体" w:eastAsia="宋体"/>
                <w:color w:val="auto"/>
                <w:sz w:val="24"/>
                <w:szCs w:val="24"/>
                <w:highlight w:val="none"/>
              </w:rPr>
            </w:pP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lang w:val="en-US" w:eastAsia="zh-CN"/>
              </w:rPr>
              <w:t>1</w:t>
            </w: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rPr>
              <w:t>部署专业的全量日志存储及取证系统，对全网路由交换设备、安全设备、终端设备及业务系统产生的全量运行日志、访问日志、操作日志、告警日志等进行统一采集、标准化处理、集中存储与合规留存。同时通过智能日志分析、关联检索、异常研判、事件复盘取证等能力，全方位提升网络安全可审计、可追溯、可取证能力。</w:t>
            </w:r>
            <w:r>
              <w:rPr>
                <w:rFonts w:hint="eastAsia" w:ascii="宋体" w:hAnsi="宋体" w:eastAsia="宋体" w:cs="宋体"/>
                <w:color w:val="auto"/>
                <w:sz w:val="24"/>
                <w:szCs w:val="24"/>
                <w:highlight w:val="none"/>
                <w:lang w:val="en-US" w:eastAsia="zh-CN"/>
              </w:rPr>
              <w:t>需提供产品说明书或产品功能截图加盖投标人公章。</w:t>
            </w:r>
          </w:p>
          <w:p w14:paraId="518757D7">
            <w:pPr>
              <w:snapToGrid w:val="0"/>
              <w:ind w:left="0" w:leftChars="0" w:right="0" w:rightChars="0" w:firstLine="0" w:firstLine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
              </w:rPr>
              <w:t>▲</w:t>
            </w: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lang w:val="en-US" w:eastAsia="zh-CN"/>
              </w:rPr>
              <w:t>2</w:t>
            </w: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rPr>
              <w:t>部署专业的协同联动与闭环处置系统，通过对全网安全数据的统一采集、汇聚治理与跨源关联分析，结合自动化编排与响应能力，实现安全事件从多源数据采集、智能研判、告警降噪到协同处置的高效自动化闭环；基于统一安全视图整合网络、终端、流量、日志等多维度安全数据，实现威胁的全局感知与精准溯源，并通过标准化处置流程与联动阻断能力，缩短安全事件响应时间，提升整体安全运营效率与处置能力。系统需提供一键封堵能力，对五元组信息快速联动安全设备下发处置策略。</w:t>
            </w:r>
            <w:r>
              <w:rPr>
                <w:rFonts w:hint="eastAsia" w:ascii="宋体" w:hAnsi="宋体" w:eastAsia="宋体" w:cs="宋体"/>
                <w:color w:val="auto"/>
                <w:sz w:val="24"/>
                <w:szCs w:val="24"/>
                <w:highlight w:val="none"/>
                <w:lang w:val="en-US" w:eastAsia="zh-CN"/>
              </w:rPr>
              <w:t>需提供产品说明书或产品功能截图，以及国家认可的第三方检测机构出具的检测报告复印件，以上均需加盖投标人公章。</w:t>
            </w:r>
          </w:p>
        </w:tc>
        <w:tc>
          <w:tcPr>
            <w:tcW w:w="0" w:type="auto"/>
            <w:shd w:val="clear" w:color="auto" w:fill="auto"/>
            <w:vAlign w:val="center"/>
          </w:tcPr>
          <w:p w14:paraId="2AB86740">
            <w:pPr>
              <w:keepNext/>
              <w:snapToGrid w:val="0"/>
              <w:ind w:left="0" w:leftChars="0" w:right="0" w:rightChars="0" w:firstLine="0" w:firstLineChars="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1</w:t>
            </w:r>
          </w:p>
        </w:tc>
        <w:tc>
          <w:tcPr>
            <w:tcW w:w="495" w:type="dxa"/>
            <w:shd w:val="clear" w:color="auto" w:fill="auto"/>
            <w:vAlign w:val="center"/>
          </w:tcPr>
          <w:p w14:paraId="7CE47EB0">
            <w:pPr>
              <w:keepNext/>
              <w:snapToGrid w:val="0"/>
              <w:ind w:left="0" w:leftChars="0" w:right="0" w:rightChars="0" w:firstLine="0" w:firstLineChars="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项</w:t>
            </w:r>
          </w:p>
        </w:tc>
      </w:tr>
      <w:tr w14:paraId="6111E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1" w:type="dxa"/>
            <w:vAlign w:val="center"/>
          </w:tcPr>
          <w:p w14:paraId="0A8E3B6A">
            <w:pPr>
              <w:keepNext/>
              <w:snapToGrid w:val="0"/>
              <w:ind w:left="0" w:leftChars="0" w:right="0" w:rightChars="0" w:firstLine="0" w:firstLineChars="0"/>
              <w:jc w:val="center"/>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11</w:t>
            </w:r>
          </w:p>
        </w:tc>
        <w:tc>
          <w:tcPr>
            <w:tcW w:w="0" w:type="auto"/>
            <w:vMerge w:val="restart"/>
            <w:shd w:val="clear" w:color="auto" w:fill="auto"/>
            <w:vAlign w:val="center"/>
          </w:tcPr>
          <w:p w14:paraId="578FF440">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r>
              <w:rPr>
                <w:rFonts w:hint="eastAsia" w:ascii="宋体" w:eastAsia="宋体"/>
                <w:color w:val="auto"/>
                <w:sz w:val="24"/>
                <w:szCs w:val="24"/>
                <w:highlight w:val="none"/>
              </w:rPr>
              <w:t>运营支撑服务</w:t>
            </w:r>
          </w:p>
        </w:tc>
        <w:tc>
          <w:tcPr>
            <w:tcW w:w="0" w:type="auto"/>
            <w:shd w:val="clear" w:color="auto" w:fill="auto"/>
            <w:vAlign w:val="center"/>
          </w:tcPr>
          <w:p w14:paraId="0501A32E">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运维审计管控服务</w:t>
            </w:r>
          </w:p>
        </w:tc>
        <w:tc>
          <w:tcPr>
            <w:tcW w:w="5435" w:type="dxa"/>
            <w:shd w:val="clear" w:color="auto" w:fill="auto"/>
            <w:vAlign w:val="center"/>
          </w:tcPr>
          <w:p w14:paraId="2A94ABC6">
            <w:pPr>
              <w:snapToGrid w:val="0"/>
              <w:ind w:left="0" w:leftChars="0" w:right="0" w:rightChars="0" w:firstLine="0" w:firstLine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构建一体化运维审计管控体系，整合各类软硬件资产运维入口，落实账号集中管理、权限最小化分配、访问身份鉴别。完整记录全量运维操作过程，支持操作回放、指令检索、行为审计及风险预警，对高危操作、违规行为实时阻断。</w:t>
            </w:r>
            <w:r>
              <w:rPr>
                <w:rFonts w:hint="eastAsia" w:ascii="宋体" w:hAnsi="宋体" w:eastAsia="宋体" w:cs="宋体"/>
                <w:color w:val="auto"/>
                <w:sz w:val="24"/>
                <w:szCs w:val="24"/>
                <w:highlight w:val="none"/>
                <w:lang w:val="en-US" w:eastAsia="zh-CN"/>
              </w:rPr>
              <w:t>需提供产品说明书或产品功能截图加盖投标人公章。</w:t>
            </w:r>
          </w:p>
        </w:tc>
        <w:tc>
          <w:tcPr>
            <w:tcW w:w="0" w:type="auto"/>
            <w:shd w:val="clear" w:color="auto" w:fill="auto"/>
            <w:vAlign w:val="center"/>
          </w:tcPr>
          <w:p w14:paraId="1AA517C0">
            <w:pPr>
              <w:keepNext/>
              <w:snapToGrid w:val="0"/>
              <w:ind w:left="0" w:leftChars="0" w:right="0" w:rightChars="0" w:firstLine="0" w:firstLineChars="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1</w:t>
            </w:r>
          </w:p>
        </w:tc>
        <w:tc>
          <w:tcPr>
            <w:tcW w:w="495" w:type="dxa"/>
            <w:shd w:val="clear" w:color="auto" w:fill="auto"/>
            <w:vAlign w:val="center"/>
          </w:tcPr>
          <w:p w14:paraId="0FB2E342">
            <w:pPr>
              <w:keepNext/>
              <w:snapToGrid w:val="0"/>
              <w:ind w:left="0" w:leftChars="0" w:right="0" w:rightChars="0" w:firstLine="0" w:firstLineChars="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项</w:t>
            </w:r>
          </w:p>
        </w:tc>
      </w:tr>
      <w:tr w14:paraId="06DEE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1" w:type="dxa"/>
            <w:vAlign w:val="center"/>
          </w:tcPr>
          <w:p w14:paraId="62CBFC17">
            <w:pPr>
              <w:keepNext/>
              <w:snapToGrid w:val="0"/>
              <w:ind w:left="0" w:leftChars="0" w:right="0" w:rightChars="0" w:firstLine="0" w:firstLineChars="0"/>
              <w:jc w:val="center"/>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12</w:t>
            </w:r>
            <w:bookmarkStart w:id="25" w:name="_GoBack"/>
            <w:bookmarkEnd w:id="25"/>
          </w:p>
        </w:tc>
        <w:tc>
          <w:tcPr>
            <w:tcW w:w="568" w:type="dxa"/>
            <w:vMerge w:val="continue"/>
            <w:shd w:val="clear" w:color="auto" w:fill="auto"/>
            <w:vAlign w:val="center"/>
          </w:tcPr>
          <w:p w14:paraId="45A06F03">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p>
        </w:tc>
        <w:tc>
          <w:tcPr>
            <w:tcW w:w="1091" w:type="dxa"/>
            <w:shd w:val="clear" w:color="auto" w:fill="auto"/>
            <w:vAlign w:val="center"/>
          </w:tcPr>
          <w:p w14:paraId="2FE704DE">
            <w:pPr>
              <w:keepNext/>
              <w:snapToGrid w:val="0"/>
              <w:ind w:left="0" w:leftChars="0" w:right="0" w:rightChars="0" w:firstLine="0" w:firstLineChars="0"/>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常态化运营服务</w:t>
            </w:r>
          </w:p>
        </w:tc>
        <w:tc>
          <w:tcPr>
            <w:tcW w:w="5435" w:type="dxa"/>
            <w:shd w:val="clear" w:color="auto" w:fill="auto"/>
            <w:vAlign w:val="center"/>
          </w:tcPr>
          <w:p w14:paraId="35C3B106">
            <w:pPr>
              <w:snapToGrid w:val="0"/>
              <w:ind w:left="0" w:leftChars="0" w:right="0" w:rightChars="0" w:firstLine="0" w:firstLine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健全网络资产管控体系，完成全域资产盘点建档、动态台账管理，实现资产全生命周期监管；落实日常运维保障，通过专人巡检、安全库定期升级、数据运维及堡垒机审计管控</w:t>
            </w:r>
            <w:r>
              <w:rPr>
                <w:rFonts w:hint="eastAsia" w:ascii="宋体" w:hAnsi="宋体" w:eastAsia="宋体" w:cs="宋体"/>
                <w:color w:val="auto"/>
                <w:sz w:val="24"/>
                <w:szCs w:val="24"/>
                <w:highlight w:val="none"/>
                <w:lang w:val="en-US" w:eastAsia="zh-CN"/>
              </w:rPr>
              <w:t>等</w:t>
            </w:r>
            <w:r>
              <w:rPr>
                <w:rFonts w:hint="eastAsia" w:ascii="宋体" w:hAnsi="宋体" w:eastAsia="宋体" w:cs="宋体"/>
                <w:color w:val="auto"/>
                <w:sz w:val="24"/>
                <w:szCs w:val="24"/>
                <w:highlight w:val="none"/>
              </w:rPr>
              <w:t>，保障设备稳定运行、运维行为合规；同时完善风险闭环处置机制，依托日常告警核查、上级通报快速响应、月度安全体检，实现安全隐患动态清零。频率：每月不少于1次。</w:t>
            </w:r>
            <w:r>
              <w:rPr>
                <w:rFonts w:hint="eastAsia" w:ascii="宋体" w:hAnsi="宋体" w:eastAsia="宋体" w:cs="宋体"/>
                <w:color w:val="auto"/>
                <w:sz w:val="24"/>
                <w:szCs w:val="24"/>
                <w:highlight w:val="none"/>
                <w:lang w:val="en-US" w:eastAsia="zh-CN"/>
              </w:rPr>
              <w:t>提供承诺函加盖投标人公章。</w:t>
            </w:r>
          </w:p>
        </w:tc>
        <w:tc>
          <w:tcPr>
            <w:tcW w:w="1472" w:type="dxa"/>
            <w:shd w:val="clear" w:color="auto" w:fill="auto"/>
            <w:vAlign w:val="center"/>
          </w:tcPr>
          <w:p w14:paraId="2012E0F5">
            <w:pPr>
              <w:keepNext/>
              <w:snapToGrid w:val="0"/>
              <w:ind w:left="0" w:leftChars="0" w:right="0" w:rightChars="0" w:firstLine="0" w:firstLineChars="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1</w:t>
            </w:r>
          </w:p>
        </w:tc>
        <w:tc>
          <w:tcPr>
            <w:tcW w:w="495" w:type="dxa"/>
            <w:shd w:val="clear" w:color="auto" w:fill="auto"/>
            <w:vAlign w:val="center"/>
          </w:tcPr>
          <w:p w14:paraId="0CE7E2F9">
            <w:pPr>
              <w:keepNext/>
              <w:snapToGrid w:val="0"/>
              <w:ind w:left="0" w:leftChars="0" w:right="0" w:rightChars="0" w:firstLine="0" w:firstLineChars="0"/>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项</w:t>
            </w:r>
          </w:p>
        </w:tc>
      </w:tr>
      <w:bookmarkEnd w:id="9"/>
      <w:bookmarkEnd w:id="10"/>
    </w:tbl>
    <w:p w14:paraId="2421C430">
      <w:pPr>
        <w:pStyle w:val="10"/>
        <w:numPr>
          <w:ilvl w:val="0"/>
          <w:numId w:val="0"/>
        </w:numPr>
        <w:tabs>
          <w:tab w:val="left" w:pos="1000"/>
        </w:tabs>
        <w:snapToGrid w:val="0"/>
        <w:spacing w:before="156" w:beforeLines="50" w:line="360" w:lineRule="auto"/>
        <w:rPr>
          <w:rFonts w:cs="Times New Roman" w:asciiTheme="minorEastAsia" w:hAnsiTheme="minorEastAsia"/>
          <w:b/>
          <w:bCs/>
          <w:color w:val="auto"/>
          <w:sz w:val="24"/>
          <w:szCs w:val="24"/>
          <w:highlight w:val="none"/>
        </w:rPr>
      </w:pPr>
    </w:p>
    <w:p w14:paraId="25368174">
      <w:pPr>
        <w:pStyle w:val="4"/>
        <w:spacing w:before="0" w:after="156" w:afterLines="50" w:line="360" w:lineRule="auto"/>
        <w:rPr>
          <w:rFonts w:asciiTheme="majorHAnsi" w:hAnsiTheme="majorHAnsi" w:eastAsiaTheme="majorEastAsia" w:cstheme="majorBidi"/>
          <w:color w:val="auto"/>
          <w:sz w:val="28"/>
          <w:szCs w:val="28"/>
          <w:highlight w:val="none"/>
        </w:rPr>
      </w:pPr>
      <w:r>
        <w:rPr>
          <w:rFonts w:hint="eastAsia" w:asciiTheme="majorHAnsi" w:hAnsiTheme="majorHAnsi" w:eastAsiaTheme="majorEastAsia" w:cstheme="majorBidi"/>
          <w:color w:val="auto"/>
          <w:sz w:val="28"/>
          <w:szCs w:val="28"/>
          <w:highlight w:val="none"/>
          <w:lang w:eastAsia="zh-CN"/>
        </w:rPr>
        <w:t>4.</w:t>
      </w:r>
      <w:r>
        <w:rPr>
          <w:rFonts w:hint="eastAsia" w:asciiTheme="majorHAnsi" w:hAnsiTheme="majorHAnsi" w:eastAsiaTheme="majorEastAsia" w:cstheme="majorBidi"/>
          <w:color w:val="auto"/>
          <w:sz w:val="28"/>
          <w:szCs w:val="28"/>
          <w:highlight w:val="none"/>
        </w:rPr>
        <w:t>学校</w:t>
      </w:r>
      <w:r>
        <w:rPr>
          <w:rFonts w:asciiTheme="majorHAnsi" w:hAnsiTheme="majorHAnsi" w:eastAsiaTheme="majorEastAsia" w:cstheme="majorBidi"/>
          <w:color w:val="auto"/>
          <w:sz w:val="28"/>
          <w:szCs w:val="28"/>
          <w:highlight w:val="none"/>
        </w:rPr>
        <w:t>/</w:t>
      </w:r>
      <w:r>
        <w:rPr>
          <w:rFonts w:hint="eastAsia" w:asciiTheme="majorHAnsi" w:hAnsiTheme="majorHAnsi" w:eastAsiaTheme="majorEastAsia" w:cstheme="majorBidi"/>
          <w:color w:val="auto"/>
          <w:sz w:val="28"/>
          <w:szCs w:val="28"/>
          <w:highlight w:val="none"/>
        </w:rPr>
        <w:t>单位明细清单</w:t>
      </w:r>
    </w:p>
    <w:tbl>
      <w:tblPr>
        <w:tblStyle w:val="42"/>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37"/>
        <w:gridCol w:w="5705"/>
        <w:gridCol w:w="1743"/>
        <w:gridCol w:w="1577"/>
      </w:tblGrid>
      <w:tr w14:paraId="11DB5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8D9405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序号</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519F0EB">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单位名称</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09025E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教育阶段</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10DB249">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街道</w:t>
            </w:r>
          </w:p>
        </w:tc>
      </w:tr>
      <w:tr w14:paraId="281D2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6100D7B">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AB0EBAE">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武汉市东西湖职业技术学校</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B5A65B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职校</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B6D53E2">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吴家山街</w:t>
            </w:r>
          </w:p>
        </w:tc>
      </w:tr>
      <w:tr w14:paraId="330B4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A10A3D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639B27B">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武汉市吴家山中学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31A1AC8">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B8FF692">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吴家山街</w:t>
            </w:r>
          </w:p>
        </w:tc>
      </w:tr>
      <w:tr w14:paraId="1F3AE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5D334E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3192B4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武汉市吴家山第四中学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EF6545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F5F526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吴家山街</w:t>
            </w:r>
          </w:p>
        </w:tc>
      </w:tr>
      <w:tr w14:paraId="647FE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60EBA9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E84EFA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武汉市吴家山第二中学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99EBC5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初中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360769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吴家山街</w:t>
            </w:r>
          </w:p>
        </w:tc>
      </w:tr>
      <w:tr w14:paraId="458DC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50F67BA">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9A4D32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武汉市吴家山第三中学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4684CF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初中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349518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吴家山街</w:t>
            </w:r>
          </w:p>
        </w:tc>
      </w:tr>
      <w:tr w14:paraId="564C4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4386D0A">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25EEA8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武汉市吴家山第五中学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E5C4AB0">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初中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B4B571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吴家山街</w:t>
            </w:r>
          </w:p>
        </w:tc>
      </w:tr>
      <w:tr w14:paraId="30C75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D79B5C2">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7</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B196BB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武汉市径河中学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B606B7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初中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A6A103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径河街</w:t>
            </w:r>
          </w:p>
        </w:tc>
      </w:tr>
      <w:tr w14:paraId="1A385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9CFDEF2">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A5F5F1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武汉市柏泉学校</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10B9C6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九年一贯制</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AB38A42">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柏泉街</w:t>
            </w:r>
          </w:p>
        </w:tc>
      </w:tr>
      <w:tr w14:paraId="1BDA2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E03D88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9</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84D07F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武汉市新沟中学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6918EB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初中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A3F2E7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新沟镇街</w:t>
            </w:r>
          </w:p>
        </w:tc>
      </w:tr>
      <w:tr w14:paraId="28DDD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F89425E">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10</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B7F346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武汉市辛安渡中学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8DB868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初中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746646A">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辛安渡街</w:t>
            </w:r>
          </w:p>
        </w:tc>
      </w:tr>
      <w:tr w14:paraId="4F468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82718E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30D405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武汉市慈惠中学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2217D5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初中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9FFF32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慈惠街</w:t>
            </w:r>
          </w:p>
        </w:tc>
      </w:tr>
      <w:tr w14:paraId="78C86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6C692F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12</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DBC56B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武汉市走马岭中学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75B96A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初中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B853B6E">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走马岭街</w:t>
            </w:r>
          </w:p>
        </w:tc>
      </w:tr>
      <w:tr w14:paraId="191BA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8B0E232">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13</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DC2760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武汉市东方红中学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11D1C40">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初中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771823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走马岭街</w:t>
            </w:r>
          </w:p>
        </w:tc>
      </w:tr>
      <w:tr w14:paraId="3289F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E3F55D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14</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EBB423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武汉市东山中学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9B0E79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初中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D78822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东山街</w:t>
            </w:r>
          </w:p>
        </w:tc>
      </w:tr>
      <w:tr w14:paraId="68E48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21652E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15</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8AAD2E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武汉市将军路中学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F5C9B58">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初中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AD0CD92">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将军路街</w:t>
            </w:r>
          </w:p>
        </w:tc>
      </w:tr>
      <w:tr w14:paraId="73362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9987A7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16</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0111638">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武汉市金银湖中学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54173E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初中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1309A4A">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金银湖街</w:t>
            </w:r>
          </w:p>
        </w:tc>
      </w:tr>
      <w:tr w14:paraId="34310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4369858">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17</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F60D07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武汉市三店学校</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A5A0B4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九年一贯制</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C9499D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径河街</w:t>
            </w:r>
          </w:p>
        </w:tc>
      </w:tr>
      <w:tr w14:paraId="203D3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DF1611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18</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7D4FC1E">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武汉市恒大嘉园学校</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9A3FC1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九年一贯制</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0F3791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径河街</w:t>
            </w:r>
          </w:p>
        </w:tc>
      </w:tr>
      <w:tr w14:paraId="18EB3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D98B219">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19</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2287D1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武汉市园博园学校</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A07B72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九年一贯制</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58BBD9A">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金银湖街</w:t>
            </w:r>
          </w:p>
        </w:tc>
      </w:tr>
      <w:tr w14:paraId="600E1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58DED0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20</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A05A24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武汉市恒大城学校</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09C9BD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九年一贯制</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B9FA9B2">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金银湖街</w:t>
            </w:r>
          </w:p>
        </w:tc>
      </w:tr>
      <w:tr w14:paraId="19768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BE95E2B">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21</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E05005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武汉市东西湖初级中学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C4C97E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初中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CF9EA1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吴家山街</w:t>
            </w:r>
          </w:p>
        </w:tc>
      </w:tr>
      <w:tr w14:paraId="2BF9D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49AF25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22</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8DF3F1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武汉市黄狮海学校</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2B93A08">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九年一贯制</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C23B68E">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径河街</w:t>
            </w:r>
          </w:p>
        </w:tc>
      </w:tr>
      <w:tr w14:paraId="14BB5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3EE91ECA">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23</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5F58BDC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武汉市百花学校</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784CB60">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九年一贯制</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849824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径河街</w:t>
            </w:r>
          </w:p>
        </w:tc>
      </w:tr>
      <w:tr w14:paraId="3C5DA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1E736B8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24</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4858594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华中师范大学临空港实验学校</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919462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九年一贯制</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42C061E">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径河街</w:t>
            </w:r>
          </w:p>
        </w:tc>
      </w:tr>
      <w:tr w14:paraId="6B8D8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2287DE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25</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BC494F9">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武汉市金银湖高级中学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B649B9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BD482A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金银湖街</w:t>
            </w:r>
          </w:p>
        </w:tc>
      </w:tr>
      <w:tr w14:paraId="4D845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459A8F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26</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6E1B0F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武汉市吴家山中学走马岭分校</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E5E00C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1D79CEB">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走马岭街</w:t>
            </w:r>
          </w:p>
        </w:tc>
      </w:tr>
      <w:tr w14:paraId="2B9B7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34868CE">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27</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9A273B0">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武汉市东西湖区启智学校</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51A558B">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特殊教育</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C9B39F2">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金银湖街</w:t>
            </w:r>
          </w:p>
        </w:tc>
      </w:tr>
      <w:tr w14:paraId="3F07E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4FCBBEB">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28</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DACFB9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武汉市东西湖区吴家山第一小学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DE5720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30029CE">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吴家山街</w:t>
            </w:r>
          </w:p>
        </w:tc>
      </w:tr>
      <w:tr w14:paraId="2D7DB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DB14B7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29</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BFEDEC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武汉市东西湖实验小学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34FC0C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EA13C59">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吴家山街</w:t>
            </w:r>
          </w:p>
        </w:tc>
      </w:tr>
      <w:tr w14:paraId="3F4A1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7AEEB6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30</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E4F36F9">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武汉市东西湖区吴家山第三小学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55753D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6F5BAA2">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吴家山街</w:t>
            </w:r>
          </w:p>
        </w:tc>
      </w:tr>
      <w:tr w14:paraId="7CA45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8407A9B">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31</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BB69CE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武汉市东西湖区吴家山第四小学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79C995B">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1E42C1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吴家山街</w:t>
            </w:r>
          </w:p>
        </w:tc>
      </w:tr>
      <w:tr w14:paraId="76D46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7C5D50E">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32</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3314C9A">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武汉市东西湖区吴家山第五小学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104E009">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C2C854E">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吴家山街</w:t>
            </w:r>
          </w:p>
        </w:tc>
      </w:tr>
      <w:tr w14:paraId="0A513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2127E52">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33</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53E2C9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武汉市东西湖区吴家山第六小学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2258519">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9B6FC8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吴家山街</w:t>
            </w:r>
          </w:p>
        </w:tc>
      </w:tr>
      <w:tr w14:paraId="3DAC5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5D02D7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34</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800E9EE">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武汉市东西湖区嘉禾园小学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0296BB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621423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吴家山街</w:t>
            </w:r>
          </w:p>
        </w:tc>
      </w:tr>
      <w:tr w14:paraId="11C7F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6AA03D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35</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DD269A0">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武汉市东西湖区万科西半岛小学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9B957B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BB2363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金银湖街</w:t>
            </w:r>
          </w:p>
        </w:tc>
      </w:tr>
      <w:tr w14:paraId="54043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CA21A9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36</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F87EAA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武汉市东西湖区万科高尔夫小学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B5B8532">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2A5A41A">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金银湖街</w:t>
            </w:r>
          </w:p>
        </w:tc>
      </w:tr>
      <w:tr w14:paraId="6D151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27BCD08">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37</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F36C13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武汉市东西湖区金口小学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A2369B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049364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金银湖街</w:t>
            </w:r>
          </w:p>
        </w:tc>
      </w:tr>
      <w:tr w14:paraId="0B265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8561680">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38</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03F2D5E">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武汉市东西湖区金银湖小学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ED286E8">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906B738">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金银湖街</w:t>
            </w:r>
          </w:p>
        </w:tc>
      </w:tr>
      <w:tr w14:paraId="14A92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C3EC24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39</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770A9C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武汉市东西湖区将军路小学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FB2AFE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4D40CAB">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将军路街</w:t>
            </w:r>
          </w:p>
        </w:tc>
      </w:tr>
      <w:tr w14:paraId="74C46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E900120">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40</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A7AA138">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武汉市东西湖区新沟镇小学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89E4FDE">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EED66E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新沟镇街</w:t>
            </w:r>
          </w:p>
        </w:tc>
      </w:tr>
      <w:tr w14:paraId="63FE5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5ABE7A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41</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8957AC0">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武汉市东西湖区燕岭小学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31F02B8">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9C5D71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新沟镇街</w:t>
            </w:r>
          </w:p>
        </w:tc>
      </w:tr>
      <w:tr w14:paraId="55DD6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F5FD04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42</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261CE1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武汉市东西湖区石榴红小学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19A76D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BE0F0C0">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慈惠街</w:t>
            </w:r>
          </w:p>
        </w:tc>
      </w:tr>
      <w:tr w14:paraId="5AC70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EFDC71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43</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F44189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武汉市东西湖区东方红小学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BCBB310">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D8E51B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走马岭街</w:t>
            </w:r>
          </w:p>
        </w:tc>
      </w:tr>
      <w:tr w14:paraId="3F23B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288397A0">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44</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1D64D89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武汉市东西湖区走马岭小学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CA6DB18">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D3E9640">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走马岭街</w:t>
            </w:r>
          </w:p>
        </w:tc>
      </w:tr>
      <w:tr w14:paraId="05070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A5A593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45</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E4A767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武汉市东西湖区幸福小学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17E765E">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07FDB2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长青街</w:t>
            </w:r>
          </w:p>
        </w:tc>
      </w:tr>
      <w:tr w14:paraId="15E77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63829AA">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46</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0DFF6F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武汉市东西湖区友谊小学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DB9ADB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119137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长青街</w:t>
            </w:r>
          </w:p>
        </w:tc>
      </w:tr>
      <w:tr w14:paraId="54A08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9D57F5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47</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495D7B2">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武汉市东西湖区辛安渡小学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EC90F0B">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A58C12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辛安渡街</w:t>
            </w:r>
          </w:p>
        </w:tc>
      </w:tr>
      <w:tr w14:paraId="3F8A6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B7F494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48</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068D66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武汉市东西湖区荷包湖小学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6744192">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6C25FD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新沟镇街</w:t>
            </w:r>
          </w:p>
        </w:tc>
      </w:tr>
      <w:tr w14:paraId="1FF67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8C45FE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49</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CAA6EF8">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武汉市东西湖区东山小学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327B8F8">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0FDB17B">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东山街</w:t>
            </w:r>
          </w:p>
        </w:tc>
      </w:tr>
      <w:tr w14:paraId="79F7C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8EB8EFB">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50</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FDE8F3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武汉市东西湖区慈惠小学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DA85E7A">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15284CE">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慈惠街</w:t>
            </w:r>
          </w:p>
        </w:tc>
      </w:tr>
      <w:tr w14:paraId="3F91C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D224FB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51</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D74EB2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武汉市东西湖区凌云小学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4550AA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A5721B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金银湖街</w:t>
            </w:r>
          </w:p>
        </w:tc>
      </w:tr>
      <w:tr w14:paraId="73033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D232DE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52</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86653B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武汉市东西湖区金银潭小学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6E92C4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B419D7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将军路街</w:t>
            </w:r>
          </w:p>
        </w:tc>
      </w:tr>
      <w:tr w14:paraId="16C45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8B57EA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53</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4460FE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武汉市东西湖区柏景湾小学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6AC88C0">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九年一贯制</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503DB3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金银湖街</w:t>
            </w:r>
          </w:p>
        </w:tc>
      </w:tr>
      <w:tr w14:paraId="1D65B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CAEAFBE">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54</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4E3B26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武汉市东西湖区远洋世界小学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AB0116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10CAE2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径河街</w:t>
            </w:r>
          </w:p>
        </w:tc>
      </w:tr>
      <w:tr w14:paraId="373C3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94FCF2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55</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B1986FA">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武汉市东西湖区恋湖小学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3A7796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D5D1CD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金银湖街</w:t>
            </w:r>
          </w:p>
        </w:tc>
      </w:tr>
      <w:tr w14:paraId="2BD03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9184D42">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56</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E6BF6B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武汉市东西湖区金银湖第二小学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C86898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9BFA52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金银湖街</w:t>
            </w:r>
          </w:p>
        </w:tc>
      </w:tr>
      <w:tr w14:paraId="64A70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E5C6CD2">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57</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351F87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武汉市东西湖区愿景小学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774855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73F5C3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将军路街</w:t>
            </w:r>
          </w:p>
        </w:tc>
      </w:tr>
      <w:tr w14:paraId="74FBE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BAE2F2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58</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FD1700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武汉市东西湖区莲花湖小学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68B7F1A">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9AC5AF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径河街</w:t>
            </w:r>
          </w:p>
        </w:tc>
      </w:tr>
      <w:tr w14:paraId="1DF6F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2FAF62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59</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0F94B0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湖北省武昌实验小学临空港分校</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F8D650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720ADAB">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长青街</w:t>
            </w:r>
          </w:p>
        </w:tc>
      </w:tr>
      <w:tr w14:paraId="59FA2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D35E6A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60</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A4DF8A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武汉市东西湖区将军路第三小学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3DA3C9B">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ABFAE6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将军路街</w:t>
            </w:r>
          </w:p>
        </w:tc>
      </w:tr>
      <w:tr w14:paraId="6428D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117066A">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61</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FA8A86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武汉市东西湖区将军路第四小学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4E490A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478B67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将军路街</w:t>
            </w:r>
          </w:p>
        </w:tc>
      </w:tr>
      <w:tr w14:paraId="570BF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6F5E33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62</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5942FE8">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武汉市东西湖区滨河小学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C7AE38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A9686C0">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径河街</w:t>
            </w:r>
          </w:p>
        </w:tc>
      </w:tr>
      <w:tr w14:paraId="68C1F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CB147E0">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63</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BF13A9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武汉市东西湖区环湖小学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5A3B0D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50F600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金银湖街</w:t>
            </w:r>
          </w:p>
        </w:tc>
      </w:tr>
      <w:tr w14:paraId="0C237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C948DE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64</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C0917B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武汉市东西湖区田园小学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D56B47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4C8CED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径河街</w:t>
            </w:r>
          </w:p>
        </w:tc>
      </w:tr>
      <w:tr w14:paraId="67E6C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055D768">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65</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4ADDA0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武汉市东西湖区育才小学</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E83B47B">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85DF06F">
            <w:pPr>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柏泉街</w:t>
            </w:r>
          </w:p>
        </w:tc>
      </w:tr>
      <w:tr w14:paraId="75842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025DFC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66</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95C6DF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武汉市东西湖区机关幼儿园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E234CF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4E2B502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吴家山街</w:t>
            </w:r>
          </w:p>
        </w:tc>
      </w:tr>
      <w:tr w14:paraId="1D31A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77924CA">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67</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F1C953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武汉市东西湖区凌云幼儿园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090830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7AD1B86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金银湖街</w:t>
            </w:r>
          </w:p>
        </w:tc>
      </w:tr>
      <w:tr w14:paraId="614EF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21D618B">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68</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427529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武汉市东西湖区柏泉实验幼儿园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332113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7C6425B9">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柏泉街</w:t>
            </w:r>
          </w:p>
        </w:tc>
      </w:tr>
      <w:tr w14:paraId="33315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D11F6B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69</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7D8432A">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武汉市东西湖区走马岭园林幼儿园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41A122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23C01C9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走马岭街</w:t>
            </w:r>
          </w:p>
        </w:tc>
      </w:tr>
      <w:tr w14:paraId="39D5D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04F059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70</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C5B94D9">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武汉市东西湖区九坤幼儿园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55CC92B">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2860DCF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长青街</w:t>
            </w:r>
          </w:p>
        </w:tc>
      </w:tr>
      <w:tr w14:paraId="1D2AE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049A22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71</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2BAFAA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武汉市东西湖区将军路幼儿园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2F0FB6E">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6091234A">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将军路街</w:t>
            </w:r>
          </w:p>
        </w:tc>
      </w:tr>
      <w:tr w14:paraId="506BB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6FF1F4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72</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609875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武汉市东西湖区慈惠中心幼儿园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4ED3E1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20FA34FA">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慈惠街</w:t>
            </w:r>
          </w:p>
        </w:tc>
      </w:tr>
      <w:tr w14:paraId="0CFAF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3ADB0B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73</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8BB7A82">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武汉市东西湖区辛安渡幼儿园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1ADC02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067A3D7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辛安渡街</w:t>
            </w:r>
          </w:p>
        </w:tc>
      </w:tr>
      <w:tr w14:paraId="5A984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050AE0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74</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1383AD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武汉市东西湖区乐佳幼儿园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1FBB77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6FD7415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走马岭街</w:t>
            </w:r>
          </w:p>
        </w:tc>
      </w:tr>
      <w:tr w14:paraId="14F47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DEF20C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75</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82C0C7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武汉市东西湖区长源幼儿园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353B3B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76588F5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金银湖街</w:t>
            </w:r>
          </w:p>
        </w:tc>
      </w:tr>
      <w:tr w14:paraId="2C250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0FA4600">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76</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2EBC5CB">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武汉市东西湖区莲花湖幼儿园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072E90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7A4A6EF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径河街</w:t>
            </w:r>
          </w:p>
        </w:tc>
      </w:tr>
      <w:tr w14:paraId="732CC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044690A">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77</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7B86989">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武汉市东西湖区美联德玛假日幼儿园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43C9E7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0ECB9E7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径河街</w:t>
            </w:r>
          </w:p>
        </w:tc>
      </w:tr>
      <w:tr w14:paraId="257E5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A47325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78</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18189AA">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武汉市东西湖区新沟镇幼儿园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6AF5530">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2B170B5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新沟镇街</w:t>
            </w:r>
          </w:p>
        </w:tc>
      </w:tr>
      <w:tr w14:paraId="09001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4DC751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79</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0F6486B">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武汉市东西湖区恒大城致雅幼儿园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4EA313E">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5A5DC97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金银湖街</w:t>
            </w:r>
          </w:p>
        </w:tc>
      </w:tr>
      <w:tr w14:paraId="2DE12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29D19A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80</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64F9BE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武汉市东西湖区径河启星幼儿园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C666D7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0F0610A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径河街</w:t>
            </w:r>
          </w:p>
        </w:tc>
      </w:tr>
      <w:tr w14:paraId="048CE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59271D9">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81</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B1F5EE0">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武汉市东西湖区径河启慧幼儿园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51230E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15A34CA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径河街</w:t>
            </w:r>
          </w:p>
        </w:tc>
      </w:tr>
      <w:tr w14:paraId="4A3A6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4571FA9">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82</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A827A10">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武汉市东西湖区荷花苑幼儿园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BB2C65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72CD1BD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新沟镇街</w:t>
            </w:r>
          </w:p>
        </w:tc>
      </w:tr>
      <w:tr w14:paraId="668BD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819E57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83</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EC79E9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武汉市东西湖区八方明珠幼儿园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31FBBF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6D67B1F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吴家山街</w:t>
            </w:r>
          </w:p>
        </w:tc>
      </w:tr>
      <w:tr w14:paraId="7A52D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A72886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84</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E1920A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武汉市东西湖区美联奥林匹克幼儿园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E65C902">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229A84A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将军路街</w:t>
            </w:r>
          </w:p>
        </w:tc>
      </w:tr>
      <w:tr w14:paraId="3D6B2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891A1DB">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85</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E5EF859">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武汉市东西湖区幸福幼儿园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35828F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000B341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长青街</w:t>
            </w:r>
          </w:p>
        </w:tc>
      </w:tr>
      <w:tr w14:paraId="16D4B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05C4C7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86</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D9EC16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武汉市东西湖区花样城幼儿园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5FD69F9">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5DDD1D98">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金银湖街</w:t>
            </w:r>
          </w:p>
        </w:tc>
      </w:tr>
      <w:tr w14:paraId="4345F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A68110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87</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15CC6C8">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武汉市东西湖区东山第二幼儿园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446169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1CD7E61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东山街</w:t>
            </w:r>
          </w:p>
        </w:tc>
      </w:tr>
      <w:tr w14:paraId="0D240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A58DBB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88</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FC52FDA">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武汉市东西湖区径河启蒙幼儿园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97CB4F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6EBD5C3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径河街</w:t>
            </w:r>
          </w:p>
        </w:tc>
      </w:tr>
      <w:tr w14:paraId="1771F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260F3E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89</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1EE3A3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武汉市东西湖区将军路尚雅幼儿园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A43BD1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3402C64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将军路街</w:t>
            </w:r>
          </w:p>
        </w:tc>
      </w:tr>
      <w:tr w14:paraId="796F9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F5F7129">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90</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35E23D2">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武汉市东西湖区金银湖尚美幼儿园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7DCAA2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7E0DD23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金银湖街</w:t>
            </w:r>
          </w:p>
        </w:tc>
      </w:tr>
      <w:tr w14:paraId="5057C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601AC4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91</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B88E8C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武汉市东西湖区金银湖尚品幼儿园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DBA28B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13B61E1E">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金银湖街</w:t>
            </w:r>
          </w:p>
        </w:tc>
      </w:tr>
      <w:tr w14:paraId="770C3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ED427F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92</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D63D7D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武汉市东西湖区径河启明幼儿园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E13BA8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01DF5C5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径河街</w:t>
            </w:r>
          </w:p>
        </w:tc>
      </w:tr>
      <w:tr w14:paraId="14518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E73058A">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93</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89506E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武汉市东西湖区径河启航幼儿园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4FDD19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2918A11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径河街</w:t>
            </w:r>
          </w:p>
        </w:tc>
      </w:tr>
      <w:tr w14:paraId="454B3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5C37F2B">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94</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A794EF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武汉市东西湖区径河启美幼儿园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FBF3C2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15D7B599">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径河街</w:t>
            </w:r>
          </w:p>
        </w:tc>
      </w:tr>
      <w:tr w14:paraId="25BE5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332F48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95</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0CD4C3B">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武汉市东西湖区走马岭智美幼儿园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1C5AAB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4FAA5259">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走马岭街</w:t>
            </w:r>
          </w:p>
        </w:tc>
      </w:tr>
      <w:tr w14:paraId="0E4B5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1F0BBE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96</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85C322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武汉市东西湖区实验幼儿园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CB82BB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23398E1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常青花园街</w:t>
            </w:r>
          </w:p>
        </w:tc>
      </w:tr>
      <w:tr w14:paraId="2D49B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8FE4E30">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97</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7DC8492">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武汉市东西湖区德才幼儿园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994062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3061526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吴家山街</w:t>
            </w:r>
          </w:p>
        </w:tc>
      </w:tr>
      <w:tr w14:paraId="55B6D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2F7D410">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98</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6A27248">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武汉市东西湖区将军路尚合幼儿园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9BCD50B">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0415D4A2">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将军路街</w:t>
            </w:r>
          </w:p>
        </w:tc>
      </w:tr>
      <w:tr w14:paraId="5E777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D8425D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99</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37519B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武汉市东西湖区青年城德艺幼儿园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46F752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4048367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慈惠街</w:t>
            </w:r>
          </w:p>
        </w:tc>
      </w:tr>
      <w:tr w14:paraId="2A9CF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F85C50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100</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FE7F45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武汉市东西湖区赛洛城启迪幼儿园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BE1AA6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14EDFF22">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径河街</w:t>
            </w:r>
          </w:p>
        </w:tc>
      </w:tr>
      <w:tr w14:paraId="1DF99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BFF80B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101</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5B2CAE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武汉市东西湖区金银湖家美尚好幼儿园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9F7F0C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7D14922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金银湖街</w:t>
            </w:r>
          </w:p>
        </w:tc>
      </w:tr>
      <w:tr w14:paraId="0A773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ACF9A9E">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102</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54722A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武汉市东西湖区慈惠云水湾德汇幼儿园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01EDC1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0C2FA9F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慈惠街</w:t>
            </w:r>
          </w:p>
        </w:tc>
      </w:tr>
      <w:tr w14:paraId="13FE7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9EC1F1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103</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6F2B3C0">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武汉市东西湖区径河观澜启辰幼儿园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9085118">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AC3716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径河街</w:t>
            </w:r>
          </w:p>
        </w:tc>
      </w:tr>
      <w:tr w14:paraId="1C28B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6D11A10">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104</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038DC3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武汉市东西湖区将军路阅风华尚稚幼儿园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EFEE5C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08D5130">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将军路街</w:t>
            </w:r>
          </w:p>
        </w:tc>
      </w:tr>
      <w:tr w14:paraId="573AB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0EA312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105</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D411AB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武汉市东西湖区径河启睿幼儿园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353455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77B88F3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径河街</w:t>
            </w:r>
          </w:p>
        </w:tc>
      </w:tr>
      <w:tr w14:paraId="3AF38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FBD24B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106</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BD773F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武汉临空港育才幼儿园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62488E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45E7C668">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径河街</w:t>
            </w:r>
          </w:p>
        </w:tc>
      </w:tr>
      <w:tr w14:paraId="37257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DD00518">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107</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158B89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武汉市东西湖区启正幼儿园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7354D2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AC6327E">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径河街</w:t>
            </w:r>
          </w:p>
        </w:tc>
      </w:tr>
      <w:tr w14:paraId="0D78E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94AFA2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108</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9E60CEE">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武汉市东西湖区启行幼儿园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C32EBA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2F42205B">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径河街</w:t>
            </w:r>
          </w:p>
        </w:tc>
      </w:tr>
      <w:tr w14:paraId="56783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E62DC6A">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109</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4715D02">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武汉市东西湖区尚德幼儿园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52D255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0EC5D4F9">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金银湖街</w:t>
            </w:r>
          </w:p>
        </w:tc>
      </w:tr>
      <w:tr w14:paraId="32FAD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7C454B8">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110</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33BFB1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武汉市东西湖区尚然幼儿园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F1FECD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4138984E">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金银湖街</w:t>
            </w:r>
          </w:p>
        </w:tc>
      </w:tr>
      <w:tr w14:paraId="5DDD0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7D8F8B8">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111</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496F498">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武汉市东西湖区长青德馨幼儿园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77EECD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3B5C529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长青街</w:t>
            </w:r>
          </w:p>
        </w:tc>
      </w:tr>
      <w:tr w14:paraId="7F4E7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E2CD209">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112</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4C38BF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武汉市东西湖区吴家山德文幼儿园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8799CE8">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val="0"/>
            <w:tcMar>
              <w:left w:w="108" w:type="dxa"/>
              <w:right w:w="108" w:type="dxa"/>
            </w:tcMar>
            <w:vAlign w:val="center"/>
          </w:tcPr>
          <w:p w14:paraId="2BA0879E">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吴家山街</w:t>
            </w:r>
          </w:p>
        </w:tc>
      </w:tr>
      <w:tr w14:paraId="6A9D5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CEB67A8">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113</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979B32A">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武汉市东西湖区尚荣幼儿园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FF3D82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4E1C4F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金银湖街</w:t>
            </w:r>
          </w:p>
        </w:tc>
      </w:tr>
      <w:tr w14:paraId="1BD3B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3C146A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114</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D3FD7E9">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武汉市东西湖区尚同幼儿园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D7CF25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51AE87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金银湖街</w:t>
            </w:r>
          </w:p>
        </w:tc>
      </w:tr>
      <w:tr w14:paraId="05A3A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A3C1C1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115</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8625AC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武汉市东西湖区尚友幼儿园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6D29120">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DE247D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金银湖街</w:t>
            </w:r>
          </w:p>
        </w:tc>
      </w:tr>
      <w:tr w14:paraId="2C0E8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BE09FC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116</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0AFC9EA">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武汉市东西湖区尚志幼儿园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085CA9B">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85F8BA8">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金银湖街</w:t>
            </w:r>
          </w:p>
        </w:tc>
      </w:tr>
      <w:tr w14:paraId="19DBC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F453120">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117</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D008FB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武汉市东西湖区德佑幼儿园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EB595C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1FDB41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吴家山街</w:t>
            </w:r>
          </w:p>
        </w:tc>
      </w:tr>
      <w:tr w14:paraId="566E4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D3EC1BB">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118</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63B5E0E">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武汉市东西湖区启德幼儿园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785DA7A">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A78A95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径河街</w:t>
            </w:r>
          </w:p>
        </w:tc>
      </w:tr>
      <w:tr w14:paraId="6493C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AC21C3B">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119</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282C54E">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武汉市东西湖区启复幼儿园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D5EABA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C3D95D8">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径河街</w:t>
            </w:r>
          </w:p>
        </w:tc>
      </w:tr>
      <w:tr w14:paraId="2B540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EABFE6B">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120</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F12035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武汉市东西湖区地铁尚城幼儿园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B685CFA">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E57072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将军路街</w:t>
            </w:r>
          </w:p>
        </w:tc>
      </w:tr>
      <w:tr w14:paraId="2F95A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948296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121</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7229B20">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武汉市东西湖区莲花湖幼儿园分园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2D3DBC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8A6073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径河街</w:t>
            </w:r>
          </w:p>
        </w:tc>
      </w:tr>
      <w:tr w14:paraId="2D7E2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1CEE3B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122</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740817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东西湖区金银湖家美尚好幼儿园分园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097CD9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2654A22">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金银湖街</w:t>
            </w:r>
          </w:p>
        </w:tc>
      </w:tr>
      <w:tr w14:paraId="1D597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591790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123</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E6CF110">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武汉市东西湖区柏泉实验幼儿园分园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FE903E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B63F9A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柏泉街</w:t>
            </w:r>
          </w:p>
        </w:tc>
      </w:tr>
      <w:tr w14:paraId="70C7A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B568E1E">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124</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BF865B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武汉市东西湖区临空港育才幼儿园桃李郡分园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04102E0">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幼儿园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7CA5F61">
            <w:pPr>
              <w:keepNext w:val="0"/>
              <w:keepLines w:val="0"/>
              <w:pageBreakBefore w:val="0"/>
              <w:widowControl w:val="0"/>
              <w:kinsoku/>
              <w:wordWrap/>
              <w:overflowPunct/>
              <w:topLinePunct w:val="0"/>
              <w:autoSpaceDE/>
              <w:autoSpaceDN/>
              <w:bidi w:val="0"/>
              <w:adjustRightInd w:val="0"/>
              <w:snapToGrid w:val="0"/>
              <w:ind w:left="0" w:leftChars="0" w:right="0" w:rightChars="0" w:firstLine="0" w:firstLineChars="0"/>
              <w:jc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径河街</w:t>
            </w:r>
          </w:p>
        </w:tc>
      </w:tr>
      <w:tr w14:paraId="0EF66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F7C983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125</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47DBF8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金银湖二小丰泽园校区</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50B08A1">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19AD48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bidi="ar"/>
              </w:rPr>
              <w:t>金银湖街</w:t>
            </w:r>
          </w:p>
        </w:tc>
      </w:tr>
      <w:tr w14:paraId="67FE0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9B5B67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126</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A734DB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天纵半岛蓝湾初中（暂定名）</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0F5B52E">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初中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5A8D0FC">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将军路街</w:t>
            </w:r>
          </w:p>
        </w:tc>
      </w:tr>
      <w:tr w14:paraId="2A967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027539F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127</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9DB3BF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华师临空港实验学校初中部（莲花湖初中）</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06E10A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初中</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29D3722">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径河街</w:t>
            </w:r>
          </w:p>
        </w:tc>
      </w:tr>
      <w:tr w14:paraId="4BB5D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9480DD2">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128</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389DCA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武汉外国语学校临空港分校（暂定名）</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4BA9F2E">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一贯制学校</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43F0612">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径河街</w:t>
            </w:r>
          </w:p>
        </w:tc>
      </w:tr>
      <w:tr w14:paraId="37759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15E04252">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129</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88D330D">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径河第五小学（暂定名）</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A59D80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小学</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6E6E08A">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径河街</w:t>
            </w:r>
          </w:p>
        </w:tc>
      </w:tr>
      <w:tr w14:paraId="41C5A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2A30A839">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130</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3C911014">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东西湖区教育局</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9F5BFA5">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其他</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6F229EB6">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金银湖街</w:t>
            </w:r>
          </w:p>
        </w:tc>
      </w:tr>
      <w:tr w14:paraId="23CCD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6308EF3">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131</w:t>
            </w:r>
          </w:p>
        </w:tc>
        <w:tc>
          <w:tcPr>
            <w:tcW w:w="2863"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56034972">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公安联网专线</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7698A80F">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其他</w:t>
            </w:r>
          </w:p>
        </w:tc>
        <w:tc>
          <w:tcPr>
            <w:tcW w:w="791" w:type="pct"/>
            <w:tcBorders>
              <w:top w:val="single" w:color="000000" w:sz="4" w:space="0"/>
              <w:left w:val="single" w:color="000000" w:sz="4" w:space="0"/>
              <w:bottom w:val="single" w:color="000000" w:sz="4" w:space="0"/>
              <w:right w:val="single" w:color="000000" w:sz="4" w:space="0"/>
            </w:tcBorders>
            <w:shd w:val="clear" w:color="auto" w:fill="FFFFFF"/>
            <w:noWrap/>
            <w:tcMar>
              <w:left w:w="108" w:type="dxa"/>
              <w:right w:w="108" w:type="dxa"/>
            </w:tcMar>
            <w:vAlign w:val="center"/>
          </w:tcPr>
          <w:p w14:paraId="4BE28DF7">
            <w:pPr>
              <w:keepNext w:val="0"/>
              <w:keepLines w:val="0"/>
              <w:pageBreakBefore w:val="0"/>
              <w:widowControl w:val="0"/>
              <w:suppressLineNumbers w:val="0"/>
              <w:kinsoku/>
              <w:wordWrap/>
              <w:overflowPunct/>
              <w:topLinePunct w:val="0"/>
              <w:autoSpaceDE/>
              <w:autoSpaceDN/>
              <w:bidi w:val="0"/>
              <w:adjustRightInd w:val="0"/>
              <w:snapToGrid w:val="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bl>
    <w:p w14:paraId="32D7E9AA">
      <w:pPr>
        <w:pStyle w:val="10"/>
        <w:tabs>
          <w:tab w:val="left" w:pos="1000"/>
        </w:tabs>
        <w:snapToGrid w:val="0"/>
        <w:spacing w:before="156" w:beforeLines="50" w:line="360" w:lineRule="auto"/>
        <w:rPr>
          <w:rFonts w:ascii="宋体" w:hAnsi="宋体" w:cs="宋体"/>
          <w:bCs/>
          <w:color w:val="auto"/>
          <w:sz w:val="24"/>
          <w:szCs w:val="24"/>
          <w:highlight w:val="none"/>
        </w:rPr>
      </w:pPr>
      <w:r>
        <w:rPr>
          <w:rFonts w:hint="eastAsia" w:ascii="宋体" w:hAnsi="宋体" w:cs="宋体"/>
          <w:bCs/>
          <w:color w:val="auto"/>
          <w:sz w:val="24"/>
          <w:szCs w:val="24"/>
          <w:highlight w:val="none"/>
        </w:rPr>
        <w:t>按需接入新增单位，每年新增接入数量不高于初次</w:t>
      </w:r>
      <w:r>
        <w:rPr>
          <w:rFonts w:hint="eastAsia" w:ascii="宋体" w:hAnsi="宋体" w:cs="宋体"/>
          <w:bCs/>
          <w:color w:val="auto"/>
          <w:sz w:val="24"/>
          <w:szCs w:val="24"/>
          <w:highlight w:val="none"/>
          <w:lang w:eastAsia="zh-CN"/>
        </w:rPr>
        <w:t>接入单位</w:t>
      </w:r>
      <w:r>
        <w:rPr>
          <w:rFonts w:hint="eastAsia" w:ascii="宋体" w:hAnsi="宋体" w:cs="宋体"/>
          <w:bCs/>
          <w:color w:val="auto"/>
          <w:sz w:val="24"/>
          <w:szCs w:val="24"/>
          <w:highlight w:val="none"/>
        </w:rPr>
        <w:t>总数</w:t>
      </w:r>
      <w:r>
        <w:rPr>
          <w:rFonts w:hint="eastAsia" w:ascii="宋体" w:hAnsi="宋体" w:cs="宋体"/>
          <w:bCs/>
          <w:color w:val="auto"/>
          <w:sz w:val="24"/>
          <w:szCs w:val="24"/>
          <w:highlight w:val="none"/>
          <w:lang w:eastAsia="zh-CN"/>
        </w:rPr>
        <w:t>的5</w:t>
      </w:r>
      <w:r>
        <w:rPr>
          <w:rFonts w:hint="eastAsia" w:ascii="宋体" w:hAnsi="宋体" w:cs="宋体"/>
          <w:bCs/>
          <w:color w:val="auto"/>
          <w:sz w:val="24"/>
          <w:szCs w:val="24"/>
          <w:highlight w:val="none"/>
        </w:rPr>
        <w:t>%，并提供同等服务。</w:t>
      </w:r>
      <w:bookmarkStart w:id="20" w:name="_Toc24770"/>
    </w:p>
    <w:p w14:paraId="35648E1D">
      <w:pPr>
        <w:pStyle w:val="4"/>
        <w:spacing w:before="0" w:after="156" w:afterLines="50" w:line="360" w:lineRule="auto"/>
        <w:rPr>
          <w:rFonts w:hint="default" w:asciiTheme="majorHAnsi" w:hAnsiTheme="majorHAnsi" w:eastAsiaTheme="majorEastAsia" w:cstheme="majorBidi"/>
          <w:color w:val="auto"/>
          <w:sz w:val="28"/>
          <w:szCs w:val="28"/>
          <w:highlight w:val="none"/>
          <w:lang w:val="en-US" w:eastAsia="zh-CN"/>
        </w:rPr>
      </w:pPr>
      <w:r>
        <w:rPr>
          <w:rFonts w:hint="eastAsia" w:asciiTheme="majorHAnsi" w:hAnsiTheme="majorHAnsi" w:eastAsiaTheme="majorEastAsia" w:cstheme="majorBidi"/>
          <w:color w:val="auto"/>
          <w:sz w:val="28"/>
          <w:szCs w:val="28"/>
          <w:highlight w:val="none"/>
          <w:lang w:eastAsia="zh-CN"/>
        </w:rPr>
        <w:t>5.“</w:t>
      </w:r>
      <w:r>
        <w:rPr>
          <w:rFonts w:hint="eastAsia" w:asciiTheme="majorHAnsi" w:hAnsiTheme="majorHAnsi" w:eastAsiaTheme="majorEastAsia" w:cstheme="majorBidi"/>
          <w:color w:val="auto"/>
          <w:sz w:val="28"/>
          <w:szCs w:val="28"/>
          <w:highlight w:val="none"/>
          <w:lang w:val="en-US" w:eastAsia="zh-CN"/>
        </w:rPr>
        <w:t>数字食堂</w:t>
      </w:r>
      <w:r>
        <w:rPr>
          <w:rFonts w:hint="eastAsia" w:asciiTheme="majorHAnsi" w:hAnsiTheme="majorHAnsi" w:eastAsiaTheme="majorEastAsia" w:cstheme="majorBidi"/>
          <w:color w:val="auto"/>
          <w:sz w:val="28"/>
          <w:szCs w:val="28"/>
          <w:highlight w:val="none"/>
          <w:lang w:eastAsia="zh-CN"/>
        </w:rPr>
        <w:t>”</w:t>
      </w:r>
      <w:r>
        <w:rPr>
          <w:rFonts w:hint="eastAsia" w:asciiTheme="majorHAnsi" w:hAnsiTheme="majorHAnsi" w:eastAsiaTheme="majorEastAsia" w:cstheme="majorBidi"/>
          <w:color w:val="auto"/>
          <w:sz w:val="28"/>
          <w:szCs w:val="28"/>
          <w:highlight w:val="none"/>
          <w:lang w:val="en-US" w:eastAsia="zh-CN"/>
        </w:rPr>
        <w:t>点位明细清单</w:t>
      </w:r>
    </w:p>
    <w:tbl>
      <w:tblPr>
        <w:tblStyle w:val="42"/>
        <w:tblW w:w="99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05"/>
        <w:gridCol w:w="4694"/>
        <w:gridCol w:w="1578"/>
        <w:gridCol w:w="2781"/>
      </w:tblGrid>
      <w:tr w14:paraId="39886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F0E7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292F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学校名称（全称）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448C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教育阶段</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A0E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“数字食堂”点位个数</w:t>
            </w:r>
          </w:p>
        </w:tc>
      </w:tr>
      <w:tr w14:paraId="7246A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321C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6B6E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武汉市东西湖职业技术学校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162E7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中职</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90B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r>
      <w:tr w14:paraId="1AB66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7E83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7D41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武汉市吴家山中学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6020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高中</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C92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16202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8546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357D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武汉市吴家山第四中学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890C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高中</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29B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4C3F8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EA6E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A1AB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武汉市吴家山第二中学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DBEE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初中</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398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176FA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D761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0252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武汉市吴家山第三中学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F87D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初中</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BD3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45769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9834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E6EF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武汉市吴家山第五中学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9C25E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初中</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20F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37063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1426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8F4F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武汉市径河中学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84D6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初中</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97A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11DF7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BEFB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ED70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武汉市柏泉学校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70A2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九年一贯制</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B4A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08E25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D88E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DD55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武汉市新沟中学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1306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初中</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37A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54C53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1FD5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A6B1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武汉市辛安渡中学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E7DA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初中</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C11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16C6F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BFEC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AF9D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武汉市慈惠中学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C6FE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初中</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9F8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61F18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5BE8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96EB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武汉市走马岭中学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0BD2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初中</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A7A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30FE6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0BAA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6A2B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武汉市东方红中学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EEEA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初中</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4B8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42446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0433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7F1B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武汉市东山中学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ADC8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初中</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7C4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5C580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5EED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0809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武汉市将军路中学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1007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初中</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882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67A84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F056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AB5CF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武汉市金银湖中学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0895F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初中</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C50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5DE06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EC88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DAF3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武汉市三店学校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27F1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九年一贯制</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D45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72046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1307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C156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武汉市恒大嘉园学校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C345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九年一贯制</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C0A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3CE69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0F63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1560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武汉市园博园学校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8DC4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九年一贯制</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7B4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249FF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5ED1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145D0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武汉市恒大城学校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1C65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九年一贯制</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593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r>
      <w:tr w14:paraId="318DD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08DD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609E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武汉市东西湖初级中学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FFC7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初中</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F18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6ED12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D328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F79E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武汉市东西湖区黄狮海学校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8EB8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九年一贯制</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E66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36864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058A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05201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武汉市东西湖区百花学校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B888B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九年一贯制</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65C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37906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9662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7438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华中师范大学临空港实验学校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5CE9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九年一贯制</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496E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r>
      <w:tr w14:paraId="74B44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3B7D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78A7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武汉市金银湖高级中学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9DB25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高中</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D9F2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2C501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5F18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3EC5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武汉市东西湖区吴家山第一小学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FF10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2D5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r>
      <w:tr w14:paraId="279A3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926E86">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CC24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武汉市东西湖实验小学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2AE9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64A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346D8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A2CC11">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F813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武汉市东西湖区吴家山第三小学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B43F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204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07FE9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05AF4F">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523A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武汉市东西湖区吴家山第四小学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06B9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54A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742AF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B61034">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24B0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武汉市东西湖区吴家山第六小学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F4BC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D72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7D104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D51E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083E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武汉市东西湖区嘉禾园小学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DF72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0C2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2386F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382E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9537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武汉市东西湖区万科西半岛小学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5847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3F9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6AD9D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C819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46FE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武汉市东西湖区金口小学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FA4B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452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6979C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6FA4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1E38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武汉市东西湖区金银湖小学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E011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FAC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4D932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431B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EEF0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武汉市东西湖区将军路小学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D99D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626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0C1A5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85C113">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8D5D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武汉市东西湖区新沟镇小学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5D06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846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1D083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6EDC9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93CD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武汉市东西湖区燕岭小学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A6D7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B28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4A655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5CD2AC">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3EB37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武汉市东西湖区石榴红小学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0B5E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4462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5C108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80EE60">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186C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武汉市东西湖区东方红小学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A089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4C9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17178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C019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3A5B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武汉市东西湖区走马岭小学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AE4C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604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4D605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4B00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B94F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武汉市东西湖区幸福小学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CFA7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0E0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7D2AE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44BC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3CFB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武汉市东西湖区友谊小学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8F97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A36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4CC47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21AD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9EDA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武汉市东西湖区辛安渡小学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E32C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ECF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44CAF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1351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C759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武汉市东西湖区荷包湖小学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FA71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BB7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76676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FC83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E9D9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武汉市东西湖区东山小学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4A96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05B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68496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86718C">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34B5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武汉市东西湖区慈惠小学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0AB1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DC8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025A6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9824CF">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696B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武汉市东西湖区凌云小学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D9EF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918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7F81C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172C5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9B66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武汉市东西湖区金银潭小学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F6D3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7CF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5CEA1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3796FB">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46BD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武汉市东西湖区柏景湾小学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9BAD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九年一贯制</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2F3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6ED43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E246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C9FC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武汉市东西湖区远洋世界小学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22FC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E89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4CCD0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B9C5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4A06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武汉市东西湖区恋湖小学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7C93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803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1BA12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86B7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B903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武汉市东西湖区金银湖第二小学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9369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66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r>
      <w:tr w14:paraId="5FFD6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D503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3BC0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武汉市东西湖区愿景小学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0880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B61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6F6FF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E6F8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B085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武汉市东西湖区莲花湖小学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5B147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768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53D98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C5EA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4C87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湖北省武昌实验小学临空港分校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796E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011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79D19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C4C9B4">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BABA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武汉市东西湖区将军路第三小学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DAA6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D47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52FB8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A5999D">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2A15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武汉市东西湖区将军路第四小学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8ED0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20A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00F55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94EFA0">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94E1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武汉市东西湖区滨河小学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2146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B4F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66AFF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FB5167">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D01D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武汉市东西湖区环湖小学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9FCE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897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01317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B12B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390D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武汉市东西湖区田园小学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6351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A58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5BE40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5B2F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D0FD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武汉市东西湖区吴家山第五小学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6BFE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20B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225F2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6AD8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C5E25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武汉市吴家山中学走马岭分校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1DB8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高中</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832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r>
      <w:tr w14:paraId="3DDBE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9118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4A0B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天纵半岛蓝湾初中（暂定名）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493E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初中</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65B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2F30F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154C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BEED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武汉外国语学校临空港分校（暂定名）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38BD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一贯制</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2CB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5AF00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940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65</w:t>
            </w:r>
          </w:p>
        </w:tc>
        <w:tc>
          <w:tcPr>
            <w:tcW w:w="4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EBA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径河第五小学（暂定名）</w:t>
            </w:r>
          </w:p>
        </w:tc>
        <w:tc>
          <w:tcPr>
            <w:tcW w:w="1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623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小学</w:t>
            </w:r>
          </w:p>
        </w:tc>
        <w:tc>
          <w:tcPr>
            <w:tcW w:w="2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968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bl>
    <w:p w14:paraId="4188C748">
      <w:pPr>
        <w:pStyle w:val="10"/>
        <w:tabs>
          <w:tab w:val="left" w:pos="1000"/>
        </w:tabs>
        <w:snapToGrid w:val="0"/>
        <w:spacing w:before="156" w:beforeLines="50" w:line="360" w:lineRule="auto"/>
        <w:ind w:left="0" w:leftChars="0"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按需接入新增</w:t>
      </w:r>
      <w:r>
        <w:rPr>
          <w:rFonts w:hint="eastAsia" w:ascii="宋体" w:hAnsi="宋体" w:cs="宋体"/>
          <w:bCs/>
          <w:color w:val="auto"/>
          <w:sz w:val="24"/>
          <w:szCs w:val="24"/>
          <w:highlight w:val="none"/>
          <w:lang w:val="en-US" w:eastAsia="zh-CN"/>
        </w:rPr>
        <w:t>点位</w:t>
      </w:r>
      <w:r>
        <w:rPr>
          <w:rFonts w:hint="eastAsia" w:ascii="宋体" w:hAnsi="宋体" w:cs="宋体"/>
          <w:bCs/>
          <w:color w:val="auto"/>
          <w:sz w:val="24"/>
          <w:szCs w:val="24"/>
          <w:highlight w:val="none"/>
        </w:rPr>
        <w:t>，每年新增接入数量不高于初次</w:t>
      </w:r>
      <w:r>
        <w:rPr>
          <w:rFonts w:hint="eastAsia" w:ascii="宋体" w:hAnsi="宋体" w:cs="宋体"/>
          <w:bCs/>
          <w:color w:val="auto"/>
          <w:sz w:val="24"/>
          <w:szCs w:val="24"/>
          <w:highlight w:val="none"/>
          <w:lang w:eastAsia="zh-CN"/>
        </w:rPr>
        <w:t>接入单位</w:t>
      </w:r>
      <w:r>
        <w:rPr>
          <w:rFonts w:hint="eastAsia" w:ascii="宋体" w:hAnsi="宋体" w:cs="宋体"/>
          <w:bCs/>
          <w:color w:val="auto"/>
          <w:sz w:val="24"/>
          <w:szCs w:val="24"/>
          <w:highlight w:val="none"/>
        </w:rPr>
        <w:t>总数</w:t>
      </w:r>
      <w:r>
        <w:rPr>
          <w:rFonts w:hint="eastAsia" w:ascii="宋体" w:hAnsi="宋体" w:cs="宋体"/>
          <w:bCs/>
          <w:color w:val="auto"/>
          <w:sz w:val="24"/>
          <w:szCs w:val="24"/>
          <w:highlight w:val="none"/>
          <w:lang w:eastAsia="zh-CN"/>
        </w:rPr>
        <w:t>的5</w:t>
      </w:r>
      <w:r>
        <w:rPr>
          <w:rFonts w:hint="eastAsia" w:ascii="宋体" w:hAnsi="宋体" w:cs="宋体"/>
          <w:bCs/>
          <w:color w:val="auto"/>
          <w:sz w:val="24"/>
          <w:szCs w:val="24"/>
          <w:highlight w:val="none"/>
        </w:rPr>
        <w:t>%，并提供同等服务</w:t>
      </w:r>
      <w:r>
        <w:rPr>
          <w:rFonts w:hint="eastAsia" w:ascii="宋体" w:hAnsi="宋体" w:cs="宋体"/>
          <w:bCs/>
          <w:color w:val="auto"/>
          <w:sz w:val="24"/>
          <w:szCs w:val="24"/>
          <w:highlight w:val="none"/>
          <w:lang w:eastAsia="zh-CN"/>
        </w:rPr>
        <w:t>。</w:t>
      </w:r>
    </w:p>
    <w:p w14:paraId="457AA876">
      <w:pPr>
        <w:pStyle w:val="3"/>
        <w:numPr>
          <w:ilvl w:val="0"/>
          <w:numId w:val="1"/>
        </w:numPr>
        <w:spacing w:before="156" w:beforeLines="50" w:after="156" w:afterLines="50" w:line="360" w:lineRule="auto"/>
        <w:ind w:left="0" w:firstLine="0"/>
        <w:rPr>
          <w:rFonts w:ascii="宋体" w:hAnsi="宋体" w:eastAsia="宋体" w:cs="宋体"/>
          <w:color w:val="auto"/>
          <w:highlight w:val="none"/>
        </w:rPr>
      </w:pPr>
      <w:bookmarkStart w:id="21" w:name="_Toc1230018979"/>
      <w:bookmarkStart w:id="22" w:name="_Toc23773"/>
      <w:r>
        <w:rPr>
          <w:rFonts w:hint="eastAsia" w:ascii="宋体" w:hAnsi="宋体" w:eastAsia="宋体" w:cs="宋体"/>
          <w:color w:val="auto"/>
          <w:highlight w:val="none"/>
          <w:lang w:eastAsia="zh-CN"/>
        </w:rPr>
        <w:t>商务要求</w:t>
      </w:r>
    </w:p>
    <w:p w14:paraId="202BF11B">
      <w:pPr>
        <w:pStyle w:val="3"/>
        <w:numPr>
          <w:ilvl w:val="0"/>
          <w:numId w:val="0"/>
        </w:numPr>
        <w:spacing w:before="156" w:beforeLines="50" w:after="156" w:afterLines="50" w:line="360" w:lineRule="auto"/>
        <w:ind w:leftChars="0"/>
        <w:rPr>
          <w:rFonts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服务</w:t>
      </w:r>
      <w:bookmarkEnd w:id="20"/>
      <w:r>
        <w:rPr>
          <w:rFonts w:hint="eastAsia" w:ascii="宋体" w:hAnsi="宋体" w:eastAsia="宋体" w:cs="宋体"/>
          <w:color w:val="auto"/>
          <w:highlight w:val="none"/>
        </w:rPr>
        <w:t>要求</w:t>
      </w:r>
      <w:bookmarkEnd w:id="21"/>
      <w:bookmarkEnd w:id="22"/>
    </w:p>
    <w:p w14:paraId="50CD6430">
      <w:pPr>
        <w:pStyle w:val="10"/>
        <w:tabs>
          <w:tab w:val="left" w:pos="1000"/>
        </w:tabs>
        <w:snapToGrid w:val="0"/>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1</w:t>
      </w:r>
      <w:r>
        <w:rPr>
          <w:rFonts w:hint="eastAsia" w:ascii="宋体" w:hAnsi="宋体" w:cs="宋体"/>
          <w:bCs/>
          <w:color w:val="auto"/>
          <w:sz w:val="24"/>
          <w:szCs w:val="24"/>
          <w:highlight w:val="none"/>
          <w:lang w:eastAsia="zh-CN"/>
        </w:rPr>
        <w:t>）投标人</w:t>
      </w:r>
      <w:r>
        <w:rPr>
          <w:rFonts w:hint="eastAsia" w:ascii="宋体" w:hAnsi="宋体" w:cs="宋体"/>
          <w:bCs/>
          <w:color w:val="auto"/>
          <w:sz w:val="24"/>
          <w:szCs w:val="24"/>
          <w:highlight w:val="none"/>
        </w:rPr>
        <w:t>提供的服务应符合国家法律法规，具体标准满足工业和信息化部颁布的《电信服务规范》和采购人的需求，保证采购人使用通信业务安全畅通。</w:t>
      </w:r>
      <w:r>
        <w:rPr>
          <w:rFonts w:hint="eastAsia" w:ascii="宋体" w:hAnsi="宋体" w:cs="宋体"/>
          <w:bCs/>
          <w:color w:val="auto"/>
          <w:sz w:val="24"/>
          <w:szCs w:val="24"/>
          <w:highlight w:val="none"/>
          <w:lang w:eastAsia="zh-CN"/>
        </w:rPr>
        <w:t>投标人</w:t>
      </w:r>
      <w:r>
        <w:rPr>
          <w:rFonts w:hint="eastAsia" w:ascii="宋体" w:hAnsi="宋体" w:cs="宋体"/>
          <w:bCs/>
          <w:color w:val="auto"/>
          <w:sz w:val="24"/>
          <w:szCs w:val="24"/>
          <w:highlight w:val="none"/>
        </w:rPr>
        <w:t>应按照国家规定的通信服务质量标准，为采购人提供各类通信业务咨询、查询、组网建议和障碍申告等服务，同时接受采购人的服务质量监督。</w:t>
      </w:r>
    </w:p>
    <w:p w14:paraId="728954EF">
      <w:pPr>
        <w:pStyle w:val="10"/>
        <w:tabs>
          <w:tab w:val="left" w:pos="1000"/>
        </w:tabs>
        <w:snapToGrid w:val="0"/>
        <w:spacing w:line="360" w:lineRule="auto"/>
        <w:rPr>
          <w:rFonts w:ascii="宋体" w:hAnsi="宋体" w:cs="宋体"/>
          <w:bCs/>
          <w:color w:val="auto"/>
          <w:sz w:val="24"/>
          <w:szCs w:val="24"/>
          <w:highlight w:val="none"/>
        </w:rPr>
      </w:pP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2</w:t>
      </w:r>
      <w:r>
        <w:rPr>
          <w:rFonts w:hint="eastAsia" w:ascii="宋体" w:hAnsi="宋体" w:cs="宋体"/>
          <w:bCs/>
          <w:color w:val="auto"/>
          <w:sz w:val="24"/>
          <w:szCs w:val="24"/>
          <w:highlight w:val="none"/>
          <w:lang w:eastAsia="zh-CN"/>
        </w:rPr>
        <w:t>）中标供应商</w:t>
      </w:r>
      <w:r>
        <w:rPr>
          <w:rFonts w:hint="eastAsia" w:ascii="宋体" w:hAnsi="宋体" w:cs="宋体"/>
          <w:bCs/>
          <w:color w:val="auto"/>
          <w:sz w:val="24"/>
          <w:szCs w:val="24"/>
          <w:highlight w:val="none"/>
        </w:rPr>
        <w:t>应在项目验收后提供链路维护保障工作。服务期内，投标方应向采购人提供售后服务，在服务期限内，供应商负责对本合同约定范</w:t>
      </w:r>
      <w:r>
        <w:rPr>
          <w:rFonts w:hint="eastAsia" w:ascii="宋体" w:hAnsi="宋体" w:cs="宋体"/>
          <w:bCs/>
          <w:color w:val="auto"/>
          <w:sz w:val="24"/>
          <w:szCs w:val="24"/>
          <w:highlight w:val="none"/>
          <w:lang w:eastAsia="zh-CN"/>
        </w:rPr>
        <w:t>围内</w:t>
      </w:r>
      <w:r>
        <w:rPr>
          <w:rFonts w:hint="eastAsia" w:ascii="宋体" w:hAnsi="宋体" w:cs="宋体"/>
          <w:bCs/>
          <w:color w:val="auto"/>
          <w:sz w:val="24"/>
          <w:szCs w:val="24"/>
          <w:highlight w:val="none"/>
        </w:rPr>
        <w:t>的传输线路进行维护与维修及更换零部件，不收取额外费用。</w:t>
      </w:r>
    </w:p>
    <w:p w14:paraId="198C4A50">
      <w:pPr>
        <w:pStyle w:val="10"/>
        <w:tabs>
          <w:tab w:val="left" w:pos="1000"/>
        </w:tabs>
        <w:snapToGrid w:val="0"/>
        <w:spacing w:line="360" w:lineRule="auto"/>
        <w:rPr>
          <w:rFonts w:hint="default" w:ascii="宋体" w:hAnsi="宋体" w:cs="宋体" w:eastAsiaTheme="minorEastAsia"/>
          <w:bCs/>
          <w:color w:val="auto"/>
          <w:sz w:val="24"/>
          <w:szCs w:val="24"/>
          <w:highlight w:val="none"/>
          <w:lang w:val="en-US" w:eastAsia="zh-CN"/>
        </w:rPr>
      </w:pP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3</w:t>
      </w:r>
      <w:r>
        <w:rPr>
          <w:rFonts w:hint="eastAsia" w:ascii="宋体" w:hAnsi="宋体" w:cs="宋体"/>
          <w:bCs/>
          <w:color w:val="auto"/>
          <w:sz w:val="24"/>
          <w:szCs w:val="24"/>
          <w:highlight w:val="none"/>
          <w:lang w:eastAsia="zh-CN"/>
        </w:rPr>
        <w:t>）中标供应商</w:t>
      </w:r>
      <w:r>
        <w:rPr>
          <w:rFonts w:hint="eastAsia" w:ascii="宋体" w:hAnsi="宋体" w:cs="宋体"/>
          <w:bCs/>
          <w:color w:val="auto"/>
          <w:sz w:val="24"/>
          <w:szCs w:val="24"/>
          <w:highlight w:val="none"/>
        </w:rPr>
        <w:t>在接到采购人故障投诉后，</w:t>
      </w:r>
      <w:r>
        <w:rPr>
          <w:rFonts w:hint="eastAsia" w:ascii="宋体" w:hAnsi="宋体" w:cs="宋体"/>
          <w:bCs/>
          <w:color w:val="auto"/>
          <w:sz w:val="24"/>
          <w:szCs w:val="24"/>
          <w:highlight w:val="none"/>
          <w:lang w:eastAsia="zh-CN"/>
        </w:rPr>
        <w:t>在采购</w:t>
      </w:r>
      <w:r>
        <w:rPr>
          <w:rFonts w:hint="eastAsia" w:ascii="宋体" w:hAnsi="宋体" w:cs="宋体"/>
          <w:bCs/>
          <w:color w:val="auto"/>
          <w:sz w:val="24"/>
          <w:szCs w:val="24"/>
          <w:highlight w:val="none"/>
        </w:rPr>
        <w:t>人的配合下查明原因，处理故障，恢复采购人业务的正常使用。</w:t>
      </w:r>
      <w:r>
        <w:rPr>
          <w:rFonts w:hint="eastAsia" w:ascii="宋体" w:hAnsi="宋体" w:cs="宋体"/>
          <w:bCs/>
          <w:color w:val="auto"/>
          <w:sz w:val="24"/>
          <w:szCs w:val="24"/>
          <w:highlight w:val="none"/>
          <w:lang w:eastAsia="zh-CN"/>
        </w:rPr>
        <w:t>中标供应商</w:t>
      </w:r>
      <w:r>
        <w:rPr>
          <w:rFonts w:hint="eastAsia" w:ascii="宋体" w:hAnsi="宋体" w:cs="宋体"/>
          <w:bCs/>
          <w:color w:val="auto"/>
          <w:sz w:val="24"/>
          <w:szCs w:val="24"/>
          <w:highlight w:val="none"/>
        </w:rPr>
        <w:t>应能在采购人提出技术服务要求60分钟内做出实质性反应，并在采购人报修后</w:t>
      </w:r>
      <w:r>
        <w:rPr>
          <w:rFonts w:hint="eastAsia" w:ascii="宋体" w:hAnsi="宋体" w:cs="宋体"/>
          <w:bCs/>
          <w:color w:val="auto"/>
          <w:sz w:val="24"/>
          <w:szCs w:val="24"/>
          <w:highlight w:val="none"/>
          <w:lang w:val="en-US" w:eastAsia="zh-CN"/>
        </w:rPr>
        <w:t>6</w:t>
      </w:r>
      <w:r>
        <w:rPr>
          <w:rFonts w:hint="eastAsia" w:ascii="宋体" w:hAnsi="宋体" w:cs="宋体"/>
          <w:bCs/>
          <w:color w:val="auto"/>
          <w:sz w:val="24"/>
          <w:szCs w:val="24"/>
          <w:highlight w:val="none"/>
        </w:rPr>
        <w:t>小时内解决问题</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涉及安全事件，收到预警信息后应能在2小时内实现定位溯源，并在6小时内解决问题。</w:t>
      </w:r>
    </w:p>
    <w:p w14:paraId="360BB1B6">
      <w:pPr>
        <w:pStyle w:val="10"/>
        <w:tabs>
          <w:tab w:val="left" w:pos="1000"/>
        </w:tabs>
        <w:snapToGrid w:val="0"/>
        <w:spacing w:line="360" w:lineRule="auto"/>
        <w:rPr>
          <w:rFonts w:ascii="宋体" w:hAnsi="宋体" w:cs="宋体"/>
          <w:bCs/>
          <w:color w:val="auto"/>
          <w:sz w:val="24"/>
          <w:szCs w:val="24"/>
          <w:highlight w:val="none"/>
        </w:rPr>
      </w:pPr>
      <w:r>
        <w:rPr>
          <w:rFonts w:hint="eastAsia" w:ascii="宋体" w:hAnsi="宋体" w:cs="宋体"/>
          <w:bCs/>
          <w:color w:val="auto"/>
          <w:sz w:val="24"/>
          <w:szCs w:val="24"/>
          <w:highlight w:val="none"/>
          <w:lang w:val="en-US" w:eastAsia="zh-CN"/>
        </w:rPr>
        <w:t>（4）</w:t>
      </w:r>
      <w:r>
        <w:rPr>
          <w:rFonts w:hint="eastAsia" w:ascii="宋体" w:hAnsi="宋体" w:cs="宋体"/>
          <w:bCs/>
          <w:color w:val="auto"/>
          <w:sz w:val="24"/>
          <w:szCs w:val="24"/>
          <w:highlight w:val="none"/>
          <w:lang w:eastAsia="zh-CN"/>
        </w:rPr>
        <w:t>中标供应商</w:t>
      </w:r>
      <w:r>
        <w:rPr>
          <w:rFonts w:hint="eastAsia" w:ascii="宋体" w:hAnsi="宋体" w:cs="宋体"/>
          <w:bCs/>
          <w:color w:val="auto"/>
          <w:sz w:val="24"/>
          <w:szCs w:val="24"/>
          <w:highlight w:val="none"/>
        </w:rPr>
        <w:t>应保证网络7x24小时安全运行，并提供7x24小时维护服务（含节假日），提供24小时专享服务热线，并依据规程和规范进行维护。</w:t>
      </w:r>
    </w:p>
    <w:p w14:paraId="79AD5400">
      <w:pPr>
        <w:pStyle w:val="10"/>
        <w:tabs>
          <w:tab w:val="left" w:pos="1000"/>
        </w:tabs>
        <w:snapToGrid w:val="0"/>
        <w:spacing w:line="360" w:lineRule="auto"/>
        <w:rPr>
          <w:rFonts w:ascii="宋体" w:hAnsi="宋体" w:cs="宋体"/>
          <w:bCs/>
          <w:color w:val="auto"/>
          <w:sz w:val="24"/>
          <w:szCs w:val="24"/>
          <w:highlight w:val="none"/>
        </w:rPr>
      </w:pPr>
      <w:r>
        <w:rPr>
          <w:rFonts w:hint="eastAsia" w:ascii="宋体" w:hAnsi="宋体" w:cs="宋体"/>
          <w:bCs/>
          <w:color w:val="auto"/>
          <w:sz w:val="24"/>
          <w:szCs w:val="24"/>
          <w:highlight w:val="none"/>
          <w:lang w:val="en-US" w:eastAsia="zh-CN"/>
        </w:rPr>
        <w:t>（5）</w:t>
      </w:r>
      <w:r>
        <w:rPr>
          <w:rFonts w:hint="eastAsia" w:ascii="宋体" w:hAnsi="宋体" w:cs="宋体"/>
          <w:bCs/>
          <w:color w:val="auto"/>
          <w:sz w:val="24"/>
          <w:szCs w:val="24"/>
          <w:highlight w:val="none"/>
          <w:lang w:eastAsia="zh-CN"/>
        </w:rPr>
        <w:t>中标供应商</w:t>
      </w:r>
      <w:r>
        <w:rPr>
          <w:rFonts w:hint="eastAsia" w:ascii="宋体" w:hAnsi="宋体" w:cs="宋体"/>
          <w:bCs/>
          <w:color w:val="auto"/>
          <w:sz w:val="24"/>
          <w:szCs w:val="24"/>
          <w:highlight w:val="none"/>
        </w:rPr>
        <w:t>应对网络运行情况进行实时监控，定期对网络链路设备进行巡检，每月定期向采购人提供网络运行情况报告。</w:t>
      </w:r>
    </w:p>
    <w:p w14:paraId="097C8FBF">
      <w:pPr>
        <w:pStyle w:val="10"/>
        <w:tabs>
          <w:tab w:val="left" w:pos="1000"/>
        </w:tabs>
        <w:snapToGrid w:val="0"/>
        <w:spacing w:line="360" w:lineRule="auto"/>
        <w:rPr>
          <w:rFonts w:ascii="宋体" w:hAnsi="宋体" w:cs="宋体"/>
          <w:bCs/>
          <w:color w:val="auto"/>
          <w:sz w:val="24"/>
          <w:szCs w:val="24"/>
          <w:highlight w:val="none"/>
        </w:rPr>
      </w:pPr>
      <w:r>
        <w:rPr>
          <w:rFonts w:hint="eastAsia" w:ascii="宋体" w:hAnsi="宋体" w:cs="宋体"/>
          <w:bCs/>
          <w:color w:val="auto"/>
          <w:sz w:val="24"/>
          <w:szCs w:val="24"/>
          <w:highlight w:val="none"/>
          <w:lang w:val="en-US" w:eastAsia="zh-CN"/>
        </w:rPr>
        <w:t>（6）</w:t>
      </w:r>
      <w:r>
        <w:rPr>
          <w:rFonts w:hint="eastAsia" w:ascii="宋体" w:hAnsi="宋体" w:cs="宋体"/>
          <w:bCs/>
          <w:color w:val="auto"/>
          <w:sz w:val="24"/>
          <w:szCs w:val="24"/>
          <w:highlight w:val="none"/>
          <w:lang w:eastAsia="zh-CN"/>
        </w:rPr>
        <w:t>中标供应商</w:t>
      </w:r>
      <w:r>
        <w:rPr>
          <w:rFonts w:hint="eastAsia" w:ascii="宋体" w:hAnsi="宋体" w:cs="宋体"/>
          <w:bCs/>
          <w:color w:val="auto"/>
          <w:sz w:val="24"/>
          <w:szCs w:val="24"/>
          <w:highlight w:val="none"/>
        </w:rPr>
        <w:t>应向采购人提供必要的业务和技术支持，并对采购人的各类服务需求实行客户经理制。客户经理应对需求方所有业务的新增、变更、撤销，以及费用结算、故障跟踪等需求，进行统一受理、统一协调。当采购人因单位撤并、新建等原因，需要调整服务时，客户经理应积极响应，全程配合。</w:t>
      </w:r>
    </w:p>
    <w:p w14:paraId="0AA33CBA">
      <w:pPr>
        <w:pStyle w:val="10"/>
        <w:tabs>
          <w:tab w:val="left" w:pos="1000"/>
        </w:tabs>
        <w:snapToGrid w:val="0"/>
        <w:spacing w:line="360" w:lineRule="auto"/>
        <w:rPr>
          <w:rFonts w:ascii="宋体" w:hAnsi="宋体" w:cs="宋体"/>
          <w:bCs/>
          <w:color w:val="auto"/>
          <w:sz w:val="24"/>
          <w:szCs w:val="24"/>
          <w:highlight w:val="none"/>
        </w:rPr>
      </w:pPr>
      <w:r>
        <w:rPr>
          <w:rFonts w:hint="eastAsia" w:ascii="宋体" w:hAnsi="宋体" w:cs="宋体"/>
          <w:bCs/>
          <w:color w:val="auto"/>
          <w:sz w:val="24"/>
          <w:szCs w:val="24"/>
          <w:highlight w:val="none"/>
          <w:lang w:val="en-US" w:eastAsia="zh-CN"/>
        </w:rPr>
        <w:t>（7）</w:t>
      </w:r>
      <w:r>
        <w:rPr>
          <w:rFonts w:hint="eastAsia" w:ascii="宋体" w:hAnsi="宋体" w:cs="宋体"/>
          <w:bCs/>
          <w:color w:val="auto"/>
          <w:sz w:val="24"/>
          <w:szCs w:val="24"/>
          <w:highlight w:val="none"/>
          <w:lang w:eastAsia="zh-CN"/>
        </w:rPr>
        <w:t>中标供应商</w:t>
      </w:r>
      <w:r>
        <w:rPr>
          <w:rFonts w:hint="eastAsia" w:ascii="宋体" w:hAnsi="宋体" w:cs="宋体"/>
          <w:bCs/>
          <w:color w:val="auto"/>
          <w:sz w:val="24"/>
          <w:szCs w:val="24"/>
          <w:highlight w:val="none"/>
        </w:rPr>
        <w:t>应提供面向全体学校/单位网管员的培训，包括使用培训和维护培训，确保日常正常使用。验收完成后，</w:t>
      </w:r>
      <w:r>
        <w:rPr>
          <w:rFonts w:hint="eastAsia" w:ascii="宋体" w:hAnsi="宋体" w:cs="宋体"/>
          <w:bCs/>
          <w:color w:val="auto"/>
          <w:sz w:val="24"/>
          <w:szCs w:val="24"/>
          <w:highlight w:val="none"/>
          <w:lang w:eastAsia="zh-CN"/>
        </w:rPr>
        <w:t>中标供应商</w:t>
      </w:r>
      <w:r>
        <w:rPr>
          <w:rFonts w:hint="eastAsia" w:ascii="宋体" w:hAnsi="宋体" w:cs="宋体"/>
          <w:bCs/>
          <w:color w:val="auto"/>
          <w:sz w:val="24"/>
          <w:szCs w:val="24"/>
          <w:highlight w:val="none"/>
        </w:rPr>
        <w:t>向采购人交付以下资料：</w:t>
      </w:r>
    </w:p>
    <w:p w14:paraId="335D50BC">
      <w:pPr>
        <w:pStyle w:val="10"/>
        <w:tabs>
          <w:tab w:val="left" w:pos="1000"/>
        </w:tabs>
        <w:snapToGrid w:val="0"/>
        <w:spacing w:line="360" w:lineRule="auto"/>
        <w:ind w:left="420" w:firstLine="429" w:firstLineChars="179"/>
        <w:rPr>
          <w:rFonts w:ascii="宋体" w:hAnsi="宋体" w:cs="宋体"/>
          <w:bCs/>
          <w:color w:val="auto"/>
          <w:sz w:val="24"/>
          <w:szCs w:val="24"/>
          <w:highlight w:val="none"/>
        </w:rPr>
      </w:pPr>
      <w:r>
        <w:rPr>
          <w:rFonts w:hint="eastAsia" w:ascii="宋体" w:hAnsi="宋体" w:cs="宋体"/>
          <w:bCs/>
          <w:color w:val="auto"/>
          <w:sz w:val="24"/>
          <w:szCs w:val="24"/>
          <w:highlight w:val="none"/>
        </w:rPr>
        <w:t>a.网络拓扑图、IP规划表；</w:t>
      </w:r>
    </w:p>
    <w:p w14:paraId="1DEF19BC">
      <w:pPr>
        <w:pStyle w:val="10"/>
        <w:tabs>
          <w:tab w:val="left" w:pos="1000"/>
        </w:tabs>
        <w:snapToGrid w:val="0"/>
        <w:spacing w:line="360" w:lineRule="auto"/>
        <w:ind w:left="420" w:firstLine="429" w:firstLineChars="179"/>
        <w:rPr>
          <w:rFonts w:ascii="宋体" w:hAnsi="宋体" w:cs="宋体"/>
          <w:bCs/>
          <w:color w:val="auto"/>
          <w:sz w:val="24"/>
          <w:szCs w:val="24"/>
          <w:highlight w:val="none"/>
        </w:rPr>
      </w:pPr>
      <w:r>
        <w:rPr>
          <w:rFonts w:hint="eastAsia" w:ascii="宋体" w:hAnsi="宋体" w:cs="宋体"/>
          <w:bCs/>
          <w:color w:val="auto"/>
          <w:sz w:val="24"/>
          <w:szCs w:val="24"/>
          <w:highlight w:val="none"/>
        </w:rPr>
        <w:t>b.设备和平台的远程管理权限和使用说明；</w:t>
      </w:r>
    </w:p>
    <w:p w14:paraId="78BB082D">
      <w:pPr>
        <w:pStyle w:val="10"/>
        <w:tabs>
          <w:tab w:val="left" w:pos="1000"/>
        </w:tabs>
        <w:snapToGrid w:val="0"/>
        <w:spacing w:line="360" w:lineRule="auto"/>
        <w:ind w:left="420" w:firstLine="429" w:firstLineChars="179"/>
        <w:rPr>
          <w:rFonts w:ascii="宋体" w:hAnsi="宋体" w:cs="宋体"/>
          <w:bCs/>
          <w:color w:val="auto"/>
          <w:sz w:val="24"/>
          <w:szCs w:val="24"/>
          <w:highlight w:val="none"/>
        </w:rPr>
      </w:pPr>
      <w:r>
        <w:rPr>
          <w:rFonts w:hint="eastAsia" w:ascii="宋体" w:hAnsi="宋体" w:cs="宋体"/>
          <w:bCs/>
          <w:color w:val="auto"/>
          <w:sz w:val="24"/>
          <w:szCs w:val="24"/>
          <w:highlight w:val="none"/>
        </w:rPr>
        <w:t>c.核心设备的质检、认证资料；</w:t>
      </w:r>
    </w:p>
    <w:p w14:paraId="3A35A01B">
      <w:pPr>
        <w:pStyle w:val="10"/>
        <w:tabs>
          <w:tab w:val="left" w:pos="1000"/>
        </w:tabs>
        <w:snapToGrid w:val="0"/>
        <w:spacing w:line="360" w:lineRule="auto"/>
        <w:ind w:left="420" w:firstLine="429" w:firstLineChars="179"/>
        <w:rPr>
          <w:rFonts w:ascii="宋体" w:hAnsi="宋体" w:cs="宋体"/>
          <w:bCs/>
          <w:color w:val="auto"/>
          <w:sz w:val="24"/>
          <w:szCs w:val="24"/>
          <w:highlight w:val="none"/>
        </w:rPr>
      </w:pPr>
      <w:r>
        <w:rPr>
          <w:rFonts w:hint="eastAsia" w:ascii="宋体" w:hAnsi="宋体" w:cs="宋体"/>
          <w:bCs/>
          <w:color w:val="auto"/>
          <w:sz w:val="24"/>
          <w:szCs w:val="24"/>
          <w:highlight w:val="none"/>
        </w:rPr>
        <w:t>d.链路的流量测试、故障测试、抗压测试、安全测试等报告；</w:t>
      </w:r>
    </w:p>
    <w:p w14:paraId="364C0C18">
      <w:pPr>
        <w:pStyle w:val="10"/>
        <w:tabs>
          <w:tab w:val="left" w:pos="1000"/>
        </w:tabs>
        <w:snapToGrid w:val="0"/>
        <w:spacing w:line="360" w:lineRule="auto"/>
        <w:ind w:left="420" w:firstLine="429" w:firstLineChars="179"/>
        <w:rPr>
          <w:rFonts w:ascii="宋体" w:hAnsi="宋体" w:cs="宋体"/>
          <w:bCs/>
          <w:color w:val="auto"/>
          <w:sz w:val="24"/>
          <w:szCs w:val="24"/>
          <w:highlight w:val="none"/>
        </w:rPr>
      </w:pPr>
      <w:bookmarkStart w:id="23" w:name="_Toc8856"/>
      <w:bookmarkStart w:id="24" w:name="_Toc16356"/>
      <w:r>
        <w:rPr>
          <w:rFonts w:hint="eastAsia" w:ascii="宋体" w:hAnsi="宋体" w:cs="宋体"/>
          <w:bCs/>
          <w:color w:val="auto"/>
          <w:sz w:val="24"/>
          <w:szCs w:val="24"/>
          <w:highlight w:val="none"/>
        </w:rPr>
        <w:t>e.</w:t>
      </w:r>
      <w:r>
        <w:rPr>
          <w:rFonts w:hint="eastAsia" w:ascii="宋体" w:hAnsi="宋体" w:cs="宋体"/>
          <w:bCs/>
          <w:color w:val="auto"/>
          <w:sz w:val="24"/>
          <w:szCs w:val="24"/>
          <w:highlight w:val="none"/>
          <w:lang w:eastAsia="zh-CN"/>
        </w:rPr>
        <w:t>安全</w:t>
      </w:r>
      <w:r>
        <w:rPr>
          <w:rFonts w:hint="eastAsia" w:ascii="宋体" w:hAnsi="宋体" w:cs="宋体"/>
          <w:bCs/>
          <w:color w:val="auto"/>
          <w:sz w:val="24"/>
          <w:szCs w:val="24"/>
          <w:highlight w:val="none"/>
        </w:rPr>
        <w:t>功能的</w:t>
      </w:r>
      <w:r>
        <w:rPr>
          <w:rFonts w:hint="eastAsia" w:ascii="宋体" w:hAnsi="宋体" w:cs="宋体"/>
          <w:bCs/>
          <w:color w:val="auto"/>
          <w:sz w:val="24"/>
          <w:szCs w:val="24"/>
          <w:highlight w:val="none"/>
          <w:lang w:eastAsia="zh-CN"/>
        </w:rPr>
        <w:t>测试报告；</w:t>
      </w:r>
      <w:bookmarkEnd w:id="23"/>
      <w:bookmarkEnd w:id="24"/>
    </w:p>
    <w:p w14:paraId="1E78B7DB">
      <w:pPr>
        <w:pStyle w:val="10"/>
        <w:tabs>
          <w:tab w:val="left" w:pos="1000"/>
        </w:tabs>
        <w:snapToGrid w:val="0"/>
        <w:spacing w:line="360" w:lineRule="auto"/>
        <w:ind w:left="420" w:firstLine="429" w:firstLineChars="179"/>
        <w:rPr>
          <w:rFonts w:hint="eastAsia" w:ascii="宋体" w:hAnsi="宋体" w:cs="宋体" w:eastAsiaTheme="minorEastAsia"/>
          <w:bCs/>
          <w:color w:val="auto"/>
          <w:sz w:val="24"/>
          <w:szCs w:val="24"/>
          <w:highlight w:val="none"/>
          <w:lang w:eastAsia="zh-CN"/>
        </w:rPr>
      </w:pPr>
      <w:r>
        <w:rPr>
          <w:rFonts w:hint="eastAsia" w:ascii="宋体" w:hAnsi="宋体" w:cs="宋体"/>
          <w:bCs/>
          <w:color w:val="auto"/>
          <w:sz w:val="24"/>
          <w:szCs w:val="24"/>
          <w:highlight w:val="none"/>
        </w:rPr>
        <w:t>f.操作、使用及维修说明书</w:t>
      </w:r>
      <w:r>
        <w:rPr>
          <w:rFonts w:hint="eastAsia" w:ascii="宋体" w:hAnsi="宋体" w:cs="宋体"/>
          <w:bCs/>
          <w:color w:val="auto"/>
          <w:sz w:val="24"/>
          <w:szCs w:val="24"/>
          <w:highlight w:val="none"/>
          <w:lang w:eastAsia="zh-CN"/>
        </w:rPr>
        <w:t>；</w:t>
      </w:r>
    </w:p>
    <w:p w14:paraId="18321CCF">
      <w:pPr>
        <w:pStyle w:val="10"/>
        <w:tabs>
          <w:tab w:val="left" w:pos="1000"/>
        </w:tabs>
        <w:snapToGrid w:val="0"/>
        <w:spacing w:line="360" w:lineRule="auto"/>
        <w:ind w:left="420" w:firstLine="429" w:firstLineChars="179"/>
        <w:rPr>
          <w:rFonts w:ascii="宋体" w:hAnsi="宋体" w:cs="宋体"/>
          <w:bCs/>
          <w:color w:val="auto"/>
          <w:sz w:val="24"/>
          <w:szCs w:val="24"/>
          <w:highlight w:val="none"/>
        </w:rPr>
      </w:pPr>
      <w:r>
        <w:rPr>
          <w:rFonts w:hint="eastAsia" w:ascii="宋体" w:hAnsi="宋体" w:cs="宋体"/>
          <w:bCs/>
          <w:color w:val="auto"/>
          <w:sz w:val="24"/>
          <w:szCs w:val="24"/>
          <w:highlight w:val="none"/>
        </w:rPr>
        <w:t>g.售后服务的职责范围、服务品质、联系方式。</w:t>
      </w:r>
    </w:p>
    <w:p w14:paraId="5587F947">
      <w:pPr>
        <w:pStyle w:val="10"/>
        <w:tabs>
          <w:tab w:val="left" w:pos="1000"/>
        </w:tabs>
        <w:snapToGrid w:val="0"/>
        <w:spacing w:line="360" w:lineRule="auto"/>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（8）</w:t>
      </w:r>
      <w:r>
        <w:rPr>
          <w:rFonts w:hint="eastAsia" w:ascii="宋体" w:hAnsi="宋体" w:cs="宋体"/>
          <w:bCs/>
          <w:color w:val="auto"/>
          <w:sz w:val="24"/>
          <w:szCs w:val="24"/>
          <w:highlight w:val="none"/>
        </w:rPr>
        <w:t>本项目投标报价为包干价，根据《关于推进和完善服务项目政府采购有关问题的通知（财库</w:t>
      </w:r>
      <w:r>
        <w:rPr>
          <w:rFonts w:hint="eastAsia" w:ascii="宋体" w:hAnsi="宋体" w:cs="宋体"/>
          <w:bCs/>
          <w:color w:val="auto"/>
          <w:sz w:val="24"/>
          <w:szCs w:val="24"/>
          <w:highlight w:val="none"/>
          <w:lang w:eastAsia="zh-CN"/>
        </w:rPr>
        <w:t>〔2014〕37号</w:t>
      </w:r>
      <w:r>
        <w:rPr>
          <w:rFonts w:hint="eastAsia" w:ascii="宋体" w:hAnsi="宋体" w:cs="宋体"/>
          <w:bCs/>
          <w:color w:val="auto"/>
          <w:sz w:val="24"/>
          <w:szCs w:val="24"/>
          <w:highlight w:val="none"/>
        </w:rPr>
        <w:t>）》相关规定，“采购需求具有相对固定性、延续性且价格变化幅度小的服务项目，在年度预算能保障的前提下，采购人可以签订不超过三年履行期限的政府采购合同”，本项目服务期满后，采购人将根据考核办法确定是否和中标人继续</w:t>
      </w:r>
      <w:r>
        <w:rPr>
          <w:rFonts w:hint="eastAsia" w:ascii="宋体" w:hAnsi="宋体" w:cs="宋体"/>
          <w:bCs/>
          <w:color w:val="auto"/>
          <w:sz w:val="24"/>
          <w:szCs w:val="24"/>
          <w:highlight w:val="none"/>
          <w:lang w:eastAsia="zh-CN"/>
        </w:rPr>
        <w:t>签订</w:t>
      </w:r>
      <w:r>
        <w:rPr>
          <w:rFonts w:hint="eastAsia" w:ascii="宋体" w:hAnsi="宋体" w:cs="宋体"/>
          <w:bCs/>
          <w:color w:val="auto"/>
          <w:sz w:val="24"/>
          <w:szCs w:val="24"/>
          <w:highlight w:val="none"/>
        </w:rPr>
        <w:t>第二、三年合同，若中标人未通过考核</w:t>
      </w:r>
      <w:r>
        <w:rPr>
          <w:rFonts w:hint="eastAsia" w:ascii="宋体" w:hAnsi="宋体" w:cs="宋体"/>
          <w:bCs/>
          <w:color w:val="auto"/>
          <w:sz w:val="24"/>
          <w:szCs w:val="24"/>
          <w:highlight w:val="none"/>
          <w:lang w:eastAsia="zh-CN"/>
        </w:rPr>
        <w:t>，采购</w:t>
      </w:r>
      <w:r>
        <w:rPr>
          <w:rFonts w:hint="eastAsia" w:ascii="宋体" w:hAnsi="宋体" w:cs="宋体"/>
          <w:bCs/>
          <w:color w:val="auto"/>
          <w:sz w:val="24"/>
          <w:szCs w:val="24"/>
          <w:highlight w:val="none"/>
        </w:rPr>
        <w:t>人将不与其续签。</w:t>
      </w:r>
      <w:r>
        <w:rPr>
          <w:rFonts w:hint="eastAsia" w:ascii="宋体" w:hAnsi="宋体" w:cs="宋体"/>
          <w:bCs/>
          <w:color w:val="auto"/>
          <w:sz w:val="24"/>
          <w:szCs w:val="24"/>
          <w:highlight w:val="none"/>
          <w:lang w:val="en-US" w:eastAsia="zh-CN"/>
        </w:rPr>
        <w:t>付款方式：</w:t>
      </w:r>
      <w:r>
        <w:rPr>
          <w:rFonts w:hint="eastAsia" w:ascii="宋体" w:hAnsi="宋体" w:cs="宋体"/>
          <w:bCs/>
          <w:color w:val="auto"/>
          <w:sz w:val="24"/>
          <w:szCs w:val="24"/>
          <w:highlight w:val="none"/>
          <w:lang w:eastAsia="zh-CN"/>
        </w:rPr>
        <w:t>项目验收合格</w:t>
      </w:r>
      <w:r>
        <w:rPr>
          <w:rFonts w:hint="eastAsia" w:ascii="宋体" w:hAnsi="宋体" w:cs="宋体"/>
          <w:bCs/>
          <w:color w:val="auto"/>
          <w:sz w:val="24"/>
          <w:szCs w:val="24"/>
          <w:highlight w:val="none"/>
          <w:lang w:val="en-US" w:eastAsia="zh-CN"/>
        </w:rPr>
        <w:t>同时提供服务满七个月后的30个工作日内</w:t>
      </w:r>
      <w:r>
        <w:rPr>
          <w:rFonts w:hint="eastAsia" w:ascii="宋体" w:hAnsi="宋体" w:cs="宋体"/>
          <w:bCs/>
          <w:color w:val="auto"/>
          <w:sz w:val="24"/>
          <w:szCs w:val="24"/>
          <w:highlight w:val="none"/>
          <w:lang w:eastAsia="zh-CN"/>
        </w:rPr>
        <w:t>支付总服务费的</w:t>
      </w:r>
      <w:r>
        <w:rPr>
          <w:rFonts w:hint="eastAsia" w:ascii="宋体" w:hAnsi="宋体" w:cs="宋体"/>
          <w:bCs/>
          <w:color w:val="auto"/>
          <w:sz w:val="24"/>
          <w:szCs w:val="24"/>
          <w:highlight w:val="none"/>
          <w:lang w:val="en-US" w:eastAsia="zh-CN"/>
        </w:rPr>
        <w:t>7</w:t>
      </w:r>
      <w:r>
        <w:rPr>
          <w:rFonts w:hint="eastAsia" w:ascii="宋体" w:hAnsi="宋体" w:cs="宋体"/>
          <w:bCs/>
          <w:color w:val="auto"/>
          <w:sz w:val="24"/>
          <w:szCs w:val="24"/>
          <w:highlight w:val="none"/>
          <w:lang w:val="en-US"/>
        </w:rPr>
        <w:t>0%</w:t>
      </w:r>
      <w:r>
        <w:rPr>
          <w:rFonts w:hint="eastAsia" w:ascii="宋体" w:hAnsi="宋体" w:cs="宋体"/>
          <w:bCs/>
          <w:color w:val="auto"/>
          <w:sz w:val="24"/>
          <w:szCs w:val="24"/>
          <w:highlight w:val="none"/>
          <w:lang w:val="en-US" w:eastAsia="zh-CN"/>
        </w:rPr>
        <w:t>；</w:t>
      </w:r>
      <w:r>
        <w:rPr>
          <w:rFonts w:hint="eastAsia" w:ascii="宋体" w:hAnsi="宋体" w:cs="宋体"/>
          <w:bCs/>
          <w:color w:val="auto"/>
          <w:sz w:val="24"/>
          <w:szCs w:val="24"/>
          <w:highlight w:val="none"/>
          <w:lang w:eastAsia="zh-CN"/>
        </w:rPr>
        <w:t>合同期满后</w:t>
      </w:r>
      <w:r>
        <w:rPr>
          <w:rFonts w:hint="eastAsia" w:ascii="宋体" w:hAnsi="宋体" w:cs="宋体"/>
          <w:bCs/>
          <w:color w:val="auto"/>
          <w:sz w:val="24"/>
          <w:szCs w:val="24"/>
          <w:highlight w:val="none"/>
          <w:lang w:val="en-US" w:eastAsia="zh-CN"/>
        </w:rPr>
        <w:t>的</w:t>
      </w:r>
      <w:r>
        <w:rPr>
          <w:rFonts w:hint="eastAsia" w:ascii="宋体" w:hAnsi="宋体" w:cs="宋体"/>
          <w:bCs/>
          <w:color w:val="auto"/>
          <w:sz w:val="24"/>
          <w:szCs w:val="24"/>
          <w:highlight w:val="none"/>
          <w:lang w:val="en-US"/>
        </w:rPr>
        <w:t>30</w:t>
      </w:r>
      <w:r>
        <w:rPr>
          <w:rFonts w:hint="eastAsia" w:ascii="宋体" w:hAnsi="宋体" w:cs="宋体"/>
          <w:bCs/>
          <w:color w:val="auto"/>
          <w:sz w:val="24"/>
          <w:szCs w:val="24"/>
          <w:highlight w:val="none"/>
          <w:lang w:val="en-US" w:eastAsia="zh-CN"/>
        </w:rPr>
        <w:t>个工作</w:t>
      </w:r>
      <w:r>
        <w:rPr>
          <w:rFonts w:hint="eastAsia" w:ascii="宋体" w:hAnsi="宋体" w:cs="宋体"/>
          <w:bCs/>
          <w:color w:val="auto"/>
          <w:sz w:val="24"/>
          <w:szCs w:val="24"/>
          <w:highlight w:val="none"/>
          <w:lang w:eastAsia="zh-CN"/>
        </w:rPr>
        <w:t>日付余下的</w:t>
      </w:r>
      <w:r>
        <w:rPr>
          <w:rFonts w:hint="eastAsia" w:ascii="宋体" w:hAnsi="宋体" w:cs="宋体"/>
          <w:bCs/>
          <w:color w:val="auto"/>
          <w:sz w:val="24"/>
          <w:szCs w:val="24"/>
          <w:highlight w:val="none"/>
          <w:lang w:val="en-US" w:eastAsia="zh-CN"/>
        </w:rPr>
        <w:t>3</w:t>
      </w:r>
      <w:r>
        <w:rPr>
          <w:rFonts w:hint="eastAsia" w:ascii="宋体" w:hAnsi="宋体" w:cs="宋体"/>
          <w:bCs/>
          <w:color w:val="auto"/>
          <w:sz w:val="24"/>
          <w:szCs w:val="24"/>
          <w:highlight w:val="none"/>
          <w:lang w:val="en-US"/>
        </w:rPr>
        <w:t>0</w:t>
      </w:r>
      <w:r>
        <w:rPr>
          <w:rFonts w:hint="eastAsia" w:ascii="宋体" w:hAnsi="宋体" w:cs="宋体"/>
          <w:bCs/>
          <w:color w:val="auto"/>
          <w:sz w:val="24"/>
          <w:szCs w:val="24"/>
          <w:highlight w:val="none"/>
          <w:lang w:val="en-US" w:eastAsia="zh-CN"/>
        </w:rPr>
        <w:t>%。</w:t>
      </w:r>
    </w:p>
    <w:p w14:paraId="5C730EF4">
      <w:pPr>
        <w:pStyle w:val="10"/>
        <w:tabs>
          <w:tab w:val="left" w:pos="1000"/>
        </w:tabs>
        <w:snapToGrid w:val="0"/>
        <w:spacing w:line="360" w:lineRule="auto"/>
        <w:ind w:firstLine="417" w:firstLineChars="174"/>
        <w:rPr>
          <w:rFonts w:ascii="宋体" w:hAnsi="宋体" w:cs="宋体"/>
          <w:bCs/>
          <w:color w:val="auto"/>
          <w:sz w:val="24"/>
          <w:szCs w:val="24"/>
          <w:highlight w:val="none"/>
        </w:rPr>
      </w:pPr>
      <w:r>
        <w:rPr>
          <w:rFonts w:hint="eastAsia" w:ascii="宋体" w:hAnsi="宋体" w:cs="宋体"/>
          <w:bCs/>
          <w:color w:val="auto"/>
          <w:sz w:val="24"/>
          <w:szCs w:val="24"/>
          <w:highlight w:val="none"/>
          <w:lang w:val="en-US" w:eastAsia="zh-CN"/>
        </w:rPr>
        <w:t>（9）</w:t>
      </w:r>
      <w:r>
        <w:rPr>
          <w:rFonts w:hint="eastAsia" w:ascii="宋体" w:hAnsi="宋体" w:cs="宋体"/>
          <w:bCs/>
          <w:color w:val="auto"/>
          <w:sz w:val="24"/>
          <w:szCs w:val="24"/>
          <w:highlight w:val="none"/>
        </w:rPr>
        <w:t>投标人提供类似项目</w:t>
      </w:r>
      <w:r>
        <w:rPr>
          <w:rFonts w:hint="eastAsia" w:ascii="宋体" w:hAnsi="宋体" w:cs="宋体"/>
          <w:bCs/>
          <w:color w:val="auto"/>
          <w:sz w:val="24"/>
          <w:szCs w:val="24"/>
          <w:highlight w:val="none"/>
          <w:lang w:eastAsia="zh-CN"/>
        </w:rPr>
        <w:t>业绩。</w:t>
      </w:r>
    </w:p>
    <w:p w14:paraId="7889946F">
      <w:pPr>
        <w:pStyle w:val="10"/>
        <w:tabs>
          <w:tab w:val="left" w:pos="1000"/>
        </w:tabs>
        <w:snapToGrid w:val="0"/>
        <w:spacing w:line="360" w:lineRule="auto"/>
        <w:ind w:firstLine="417" w:firstLineChars="174"/>
        <w:rPr>
          <w:rFonts w:ascii="宋体" w:hAnsi="宋体" w:cs="宋体"/>
          <w:bCs/>
          <w:color w:val="auto"/>
          <w:sz w:val="24"/>
          <w:szCs w:val="24"/>
          <w:highlight w:val="none"/>
        </w:rPr>
      </w:pPr>
      <w:r>
        <w:rPr>
          <w:rFonts w:hint="eastAsia" w:ascii="宋体" w:hAnsi="宋体" w:cs="宋体"/>
          <w:bCs/>
          <w:color w:val="auto"/>
          <w:sz w:val="24"/>
          <w:szCs w:val="24"/>
          <w:highlight w:val="none"/>
          <w:lang w:val="en-US" w:eastAsia="zh-CN"/>
        </w:rPr>
        <w:t>（10）</w:t>
      </w:r>
      <w:r>
        <w:rPr>
          <w:rFonts w:hint="eastAsia" w:ascii="宋体" w:hAnsi="宋体" w:cs="宋体"/>
          <w:bCs/>
          <w:color w:val="auto"/>
          <w:sz w:val="24"/>
          <w:szCs w:val="24"/>
          <w:highlight w:val="none"/>
        </w:rPr>
        <w:t>投标人为本项目安排具有资质的</w:t>
      </w:r>
      <w:r>
        <w:rPr>
          <w:rFonts w:hint="eastAsia" w:ascii="宋体" w:hAnsi="宋体" w:cs="宋体"/>
          <w:bCs/>
          <w:color w:val="auto"/>
          <w:sz w:val="24"/>
          <w:szCs w:val="24"/>
          <w:highlight w:val="none"/>
          <w:lang w:eastAsia="zh-CN"/>
        </w:rPr>
        <w:t>项目经理。</w:t>
      </w:r>
    </w:p>
    <w:p w14:paraId="5110579D">
      <w:pPr>
        <w:pStyle w:val="10"/>
        <w:tabs>
          <w:tab w:val="left" w:pos="1000"/>
        </w:tabs>
        <w:snapToGrid w:val="0"/>
        <w:spacing w:line="360" w:lineRule="auto"/>
        <w:ind w:firstLine="417" w:firstLineChars="174"/>
        <w:rPr>
          <w:rFonts w:ascii="宋体" w:hAnsi="宋体" w:cs="宋体"/>
          <w:bCs/>
          <w:color w:val="auto"/>
          <w:sz w:val="24"/>
          <w:szCs w:val="24"/>
          <w:highlight w:val="none"/>
        </w:rPr>
      </w:pPr>
      <w:r>
        <w:rPr>
          <w:rFonts w:hint="eastAsia" w:ascii="宋体" w:hAnsi="宋体" w:cs="宋体"/>
          <w:bCs/>
          <w:color w:val="auto"/>
          <w:sz w:val="24"/>
          <w:szCs w:val="24"/>
          <w:highlight w:val="none"/>
          <w:lang w:val="en-US" w:eastAsia="zh-CN"/>
        </w:rPr>
        <w:t>（11）</w:t>
      </w:r>
      <w:r>
        <w:rPr>
          <w:rFonts w:hint="eastAsia" w:ascii="宋体" w:hAnsi="宋体" w:cs="宋体"/>
          <w:bCs/>
          <w:color w:val="auto"/>
          <w:sz w:val="24"/>
          <w:szCs w:val="24"/>
          <w:highlight w:val="none"/>
        </w:rPr>
        <w:t>投标人需为本项目安排具有资质的技术</w:t>
      </w:r>
      <w:r>
        <w:rPr>
          <w:rFonts w:hint="eastAsia" w:ascii="宋体" w:hAnsi="宋体" w:cs="宋体"/>
          <w:bCs/>
          <w:color w:val="auto"/>
          <w:sz w:val="24"/>
          <w:szCs w:val="24"/>
          <w:highlight w:val="none"/>
          <w:lang w:eastAsia="zh-CN"/>
        </w:rPr>
        <w:t>负责人。</w:t>
      </w:r>
    </w:p>
    <w:p w14:paraId="7AFE1473">
      <w:pPr>
        <w:pStyle w:val="10"/>
        <w:tabs>
          <w:tab w:val="left" w:pos="1000"/>
        </w:tabs>
        <w:snapToGrid w:val="0"/>
        <w:spacing w:line="360" w:lineRule="auto"/>
        <w:ind w:firstLine="417" w:firstLineChars="174"/>
        <w:rPr>
          <w:rFonts w:ascii="宋体" w:hAnsi="宋体" w:cs="宋体"/>
          <w:bCs/>
          <w:color w:val="auto"/>
          <w:sz w:val="24"/>
          <w:szCs w:val="24"/>
          <w:highlight w:val="none"/>
        </w:rPr>
      </w:pPr>
      <w:r>
        <w:rPr>
          <w:rFonts w:hint="eastAsia" w:ascii="宋体" w:hAnsi="宋体" w:cs="宋体"/>
          <w:bCs/>
          <w:color w:val="auto"/>
          <w:sz w:val="24"/>
          <w:szCs w:val="24"/>
          <w:highlight w:val="none"/>
          <w:lang w:val="en-US" w:eastAsia="zh-CN"/>
        </w:rPr>
        <w:t>（12）</w:t>
      </w:r>
      <w:r>
        <w:rPr>
          <w:rFonts w:hint="eastAsia" w:ascii="宋体" w:hAnsi="宋体" w:cs="宋体"/>
          <w:bCs/>
          <w:color w:val="auto"/>
          <w:sz w:val="24"/>
          <w:szCs w:val="24"/>
          <w:highlight w:val="none"/>
        </w:rPr>
        <w:t>投标人为本项目安排有资质的团队实施</w:t>
      </w:r>
      <w:r>
        <w:rPr>
          <w:rFonts w:hint="eastAsia" w:ascii="宋体" w:hAnsi="宋体" w:cs="宋体"/>
          <w:bCs/>
          <w:color w:val="auto"/>
          <w:sz w:val="24"/>
          <w:szCs w:val="24"/>
          <w:highlight w:val="none"/>
          <w:lang w:eastAsia="zh-CN"/>
        </w:rPr>
        <w:t>人员。</w:t>
      </w:r>
    </w:p>
    <w:p w14:paraId="006367A2">
      <w:pPr>
        <w:pStyle w:val="10"/>
        <w:tabs>
          <w:tab w:val="left" w:pos="1000"/>
        </w:tabs>
        <w:snapToGrid w:val="0"/>
        <w:spacing w:line="360" w:lineRule="auto"/>
        <w:ind w:firstLine="417" w:firstLineChars="174"/>
        <w:rPr>
          <w:rFonts w:ascii="宋体" w:hAnsi="宋体" w:cs="宋体"/>
          <w:bCs/>
          <w:color w:val="auto"/>
          <w:sz w:val="24"/>
          <w:szCs w:val="24"/>
          <w:highlight w:val="none"/>
        </w:rPr>
      </w:pP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13</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投标人提供网络架构规划和</w:t>
      </w:r>
      <w:r>
        <w:rPr>
          <w:rFonts w:hint="eastAsia" w:ascii="宋体" w:hAnsi="宋体" w:cs="宋体"/>
          <w:bCs/>
          <w:color w:val="auto"/>
          <w:sz w:val="24"/>
          <w:szCs w:val="24"/>
          <w:highlight w:val="none"/>
          <w:lang w:eastAsia="zh-CN"/>
        </w:rPr>
        <w:t>实施方案。</w:t>
      </w:r>
    </w:p>
    <w:p w14:paraId="008B5C0A">
      <w:pPr>
        <w:pStyle w:val="10"/>
        <w:tabs>
          <w:tab w:val="left" w:pos="1000"/>
        </w:tabs>
        <w:snapToGrid w:val="0"/>
        <w:spacing w:line="360" w:lineRule="auto"/>
        <w:ind w:firstLine="417" w:firstLineChars="174"/>
        <w:rPr>
          <w:rFonts w:ascii="宋体" w:hAnsi="宋体" w:cs="宋体"/>
          <w:bCs/>
          <w:color w:val="auto"/>
          <w:sz w:val="24"/>
          <w:szCs w:val="24"/>
          <w:highlight w:val="none"/>
        </w:rPr>
      </w:pPr>
      <w:r>
        <w:rPr>
          <w:rFonts w:hint="eastAsia" w:ascii="宋体" w:hAnsi="宋体" w:cs="宋体"/>
          <w:bCs/>
          <w:color w:val="auto"/>
          <w:sz w:val="24"/>
          <w:szCs w:val="24"/>
          <w:highlight w:val="none"/>
          <w:lang w:val="en-US" w:eastAsia="zh-CN"/>
        </w:rPr>
        <w:t>（14）</w:t>
      </w:r>
      <w:r>
        <w:rPr>
          <w:rFonts w:hint="eastAsia" w:ascii="宋体" w:hAnsi="宋体" w:cs="宋体"/>
          <w:bCs/>
          <w:color w:val="auto"/>
          <w:sz w:val="24"/>
          <w:szCs w:val="24"/>
          <w:highlight w:val="none"/>
        </w:rPr>
        <w:t>投标人提供交付时间和售后服务</w:t>
      </w:r>
      <w:r>
        <w:rPr>
          <w:rFonts w:hint="eastAsia" w:ascii="宋体" w:hAnsi="宋体" w:cs="宋体"/>
          <w:bCs/>
          <w:color w:val="auto"/>
          <w:sz w:val="24"/>
          <w:szCs w:val="24"/>
          <w:highlight w:val="none"/>
          <w:lang w:eastAsia="zh-CN"/>
        </w:rPr>
        <w:t>承诺书。</w:t>
      </w:r>
    </w:p>
    <w:p w14:paraId="7D56A939">
      <w:pPr>
        <w:pStyle w:val="10"/>
        <w:tabs>
          <w:tab w:val="left" w:pos="1000"/>
        </w:tabs>
        <w:snapToGrid w:val="0"/>
        <w:spacing w:line="360" w:lineRule="auto"/>
        <w:ind w:firstLine="417" w:firstLineChars="174"/>
        <w:rPr>
          <w:rFonts w:hint="eastAsia" w:ascii="宋体" w:hAnsi="宋体" w:cs="宋体" w:eastAsiaTheme="minorEastAsia"/>
          <w:bCs/>
          <w:color w:val="auto"/>
          <w:sz w:val="24"/>
          <w:szCs w:val="24"/>
          <w:highlight w:val="none"/>
          <w:lang w:eastAsia="zh-CN"/>
        </w:rPr>
      </w:pPr>
      <w:r>
        <w:rPr>
          <w:rFonts w:hint="eastAsia" w:ascii="宋体" w:hAnsi="宋体" w:cs="宋体"/>
          <w:bCs/>
          <w:color w:val="auto"/>
          <w:sz w:val="24"/>
          <w:szCs w:val="24"/>
          <w:highlight w:val="none"/>
          <w:lang w:val="en-US" w:eastAsia="zh-CN"/>
        </w:rPr>
        <w:t>（15）投标人</w:t>
      </w:r>
      <w:r>
        <w:rPr>
          <w:rFonts w:hint="eastAsia" w:ascii="宋体" w:hAnsi="宋体" w:cs="宋体"/>
          <w:bCs/>
          <w:color w:val="auto"/>
          <w:sz w:val="24"/>
          <w:szCs w:val="24"/>
          <w:highlight w:val="none"/>
        </w:rPr>
        <w:t>提供割接方案</w:t>
      </w:r>
      <w:r>
        <w:rPr>
          <w:rFonts w:hint="eastAsia" w:ascii="宋体" w:hAnsi="宋体" w:cs="宋体"/>
          <w:bCs/>
          <w:color w:val="auto"/>
          <w:sz w:val="24"/>
          <w:szCs w:val="24"/>
          <w:highlight w:val="none"/>
          <w:lang w:eastAsia="zh-CN"/>
        </w:rPr>
        <w:t>。</w:t>
      </w:r>
    </w:p>
    <w:p w14:paraId="00A6E3C3">
      <w:pPr>
        <w:pStyle w:val="10"/>
        <w:tabs>
          <w:tab w:val="left" w:pos="1000"/>
        </w:tabs>
        <w:snapToGrid w:val="0"/>
        <w:spacing w:line="360" w:lineRule="auto"/>
        <w:ind w:firstLine="417" w:firstLineChars="174"/>
        <w:rPr>
          <w:rFonts w:ascii="宋体" w:hAnsi="宋体" w:cs="宋体"/>
          <w:bCs/>
          <w:color w:val="auto"/>
          <w:sz w:val="24"/>
          <w:szCs w:val="24"/>
          <w:highlight w:val="none"/>
        </w:rPr>
      </w:pPr>
      <w:r>
        <w:rPr>
          <w:rFonts w:hint="eastAsia" w:ascii="宋体" w:hAnsi="宋体" w:cs="宋体"/>
          <w:bCs/>
          <w:color w:val="auto"/>
          <w:sz w:val="24"/>
          <w:szCs w:val="24"/>
          <w:highlight w:val="none"/>
          <w:lang w:val="en-US" w:eastAsia="zh-CN"/>
        </w:rPr>
        <w:t>（16）</w:t>
      </w:r>
      <w:r>
        <w:rPr>
          <w:rFonts w:hint="eastAsia" w:ascii="宋体" w:hAnsi="宋体" w:cs="宋体"/>
          <w:bCs/>
          <w:color w:val="auto"/>
          <w:sz w:val="24"/>
          <w:szCs w:val="24"/>
          <w:highlight w:val="none"/>
        </w:rPr>
        <w:t>投标人提供售后服务</w:t>
      </w:r>
      <w:r>
        <w:rPr>
          <w:rFonts w:hint="eastAsia" w:ascii="宋体" w:hAnsi="宋体" w:cs="宋体"/>
          <w:bCs/>
          <w:color w:val="auto"/>
          <w:sz w:val="24"/>
          <w:szCs w:val="24"/>
          <w:highlight w:val="none"/>
          <w:lang w:eastAsia="zh-CN"/>
        </w:rPr>
        <w:t>方案。</w:t>
      </w:r>
    </w:p>
    <w:p w14:paraId="69A5296F">
      <w:pPr>
        <w:pStyle w:val="10"/>
        <w:tabs>
          <w:tab w:val="left" w:pos="1000"/>
        </w:tabs>
        <w:snapToGrid w:val="0"/>
        <w:spacing w:line="360" w:lineRule="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（17）</w:t>
      </w:r>
      <w:r>
        <w:rPr>
          <w:rFonts w:hint="eastAsia" w:ascii="宋体" w:hAnsi="宋体" w:cs="宋体"/>
          <w:bCs/>
          <w:color w:val="auto"/>
          <w:sz w:val="24"/>
          <w:szCs w:val="24"/>
          <w:highlight w:val="none"/>
        </w:rPr>
        <w:t>投标人提供培训</w:t>
      </w:r>
      <w:r>
        <w:rPr>
          <w:rFonts w:hint="eastAsia" w:ascii="宋体" w:hAnsi="宋体" w:cs="宋体"/>
          <w:bCs/>
          <w:color w:val="auto"/>
          <w:sz w:val="24"/>
          <w:szCs w:val="24"/>
          <w:highlight w:val="none"/>
          <w:lang w:eastAsia="zh-CN"/>
        </w:rPr>
        <w:t>方案。</w:t>
      </w:r>
    </w:p>
    <w:p w14:paraId="3B8DAC3C">
      <w:pPr>
        <w:pStyle w:val="3"/>
        <w:numPr>
          <w:ilvl w:val="0"/>
          <w:numId w:val="0"/>
        </w:numPr>
        <w:spacing w:before="156" w:beforeLines="50" w:after="156" w:afterLines="50" w:line="360" w:lineRule="auto"/>
        <w:ind w:leftChars="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2.履约验收</w:t>
      </w:r>
    </w:p>
    <w:p w14:paraId="507A3E22">
      <w:pPr>
        <w:pStyle w:val="4"/>
        <w:spacing w:before="0" w:after="156" w:afterLines="50"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（1）</w:t>
      </w:r>
      <w:r>
        <w:rPr>
          <w:rFonts w:hint="eastAsia" w:ascii="宋体" w:hAnsi="宋体" w:eastAsia="宋体" w:cs="宋体"/>
          <w:bCs/>
          <w:color w:val="auto"/>
          <w:sz w:val="24"/>
          <w:szCs w:val="24"/>
          <w:highlight w:val="none"/>
          <w:lang w:val="en-US" w:eastAsia="zh-CN"/>
        </w:rPr>
        <w:t>验收主体</w:t>
      </w:r>
    </w:p>
    <w:p w14:paraId="52F4A2BD">
      <w:pPr>
        <w:pStyle w:val="10"/>
        <w:tabs>
          <w:tab w:val="left" w:pos="1000"/>
        </w:tabs>
        <w:snapToGrid w:val="0"/>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 xml:space="preserve">1）主导方：东西湖区教育局负责统筹验收工作，确认验收标准及最终验收结果。 </w:t>
      </w:r>
    </w:p>
    <w:p w14:paraId="0529CD43">
      <w:pPr>
        <w:pStyle w:val="10"/>
        <w:tabs>
          <w:tab w:val="left" w:pos="1000"/>
        </w:tabs>
        <w:snapToGrid w:val="0"/>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 xml:space="preserve">2）参与方：中标的运营商（需指派项目负责人、技术工程师），配合提供验收所需的设备资料、测试数据及现场演示。 </w:t>
      </w:r>
    </w:p>
    <w:p w14:paraId="0C5D07A7">
      <w:pPr>
        <w:pStyle w:val="4"/>
        <w:spacing w:before="0" w:after="156" w:afterLines="50"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（2）验收时间</w:t>
      </w:r>
    </w:p>
    <w:p w14:paraId="3F88300E">
      <w:pPr>
        <w:pStyle w:val="10"/>
        <w:tabs>
          <w:tab w:val="left" w:pos="1000"/>
        </w:tabs>
        <w:snapToGrid w:val="0"/>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1）初步验收时间：建设完成（131条网络专线、71个“数字食堂”专线等部署调试完成），运营商提申请后，东西湖区教育局10个工作日内组织各学校、幼儿园对线路进行初步验收。</w:t>
      </w:r>
    </w:p>
    <w:p w14:paraId="35E1D7A0">
      <w:pPr>
        <w:pStyle w:val="10"/>
        <w:tabs>
          <w:tab w:val="left" w:pos="1000"/>
        </w:tabs>
        <w:snapToGrid w:val="0"/>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2）正式验收时间：初步验收通过+试运行30天无重大故障，试运行结束后15个工作日内组织整体验收。</w:t>
      </w:r>
    </w:p>
    <w:p w14:paraId="766A5671">
      <w:pPr>
        <w:pStyle w:val="4"/>
        <w:spacing w:before="0" w:after="156" w:afterLines="50"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 xml:space="preserve">（3）验收方式 </w:t>
      </w:r>
    </w:p>
    <w:p w14:paraId="55CA16E6">
      <w:pPr>
        <w:pStyle w:val="10"/>
        <w:tabs>
          <w:tab w:val="left" w:pos="1000"/>
        </w:tabs>
        <w:snapToGrid w:val="0"/>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1）资料核查：查设备清单、参数证明、线路图等，确认完整合规。</w:t>
      </w:r>
    </w:p>
    <w:p w14:paraId="5908EF91">
      <w:pPr>
        <w:pStyle w:val="10"/>
        <w:tabs>
          <w:tab w:val="left" w:pos="1000"/>
        </w:tabs>
        <w:snapToGrid w:val="0"/>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2）现场检测：赴机房+随机选择学校，查设备状态、线路稳定性，实时测试网络性能。</w:t>
      </w:r>
    </w:p>
    <w:p w14:paraId="5E840657">
      <w:pPr>
        <w:pStyle w:val="10"/>
        <w:tabs>
          <w:tab w:val="left" w:pos="1000"/>
        </w:tabs>
        <w:snapToGrid w:val="0"/>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3）功能演示：运营商演示服务要求对应系统功能。</w:t>
      </w:r>
    </w:p>
    <w:p w14:paraId="58DDED90">
      <w:pPr>
        <w:pStyle w:val="4"/>
        <w:spacing w:before="0" w:after="156" w:afterLines="50"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 xml:space="preserve">（4）验收程序 </w:t>
      </w:r>
    </w:p>
    <w:p w14:paraId="0C779039">
      <w:pPr>
        <w:pStyle w:val="10"/>
        <w:tabs>
          <w:tab w:val="left" w:pos="1000"/>
        </w:tabs>
        <w:snapToGrid w:val="0"/>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1）运营商提书面申请并提交全套资料（建设总结、试运行记录等）。</w:t>
      </w:r>
    </w:p>
    <w:p w14:paraId="324018F8">
      <w:pPr>
        <w:pStyle w:val="10"/>
        <w:tabs>
          <w:tab w:val="left" w:pos="1000"/>
        </w:tabs>
        <w:snapToGrid w:val="0"/>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2）东西湖区教育局在5个工作日内初审资料，资料齐全则组织验收组，不齐全则补充。</w:t>
      </w:r>
    </w:p>
    <w:p w14:paraId="3B039855">
      <w:pPr>
        <w:pStyle w:val="10"/>
        <w:tabs>
          <w:tab w:val="left" w:pos="1000"/>
        </w:tabs>
        <w:snapToGrid w:val="0"/>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3）验收组按约定进行现场验收，记录问题与数据。</w:t>
      </w:r>
    </w:p>
    <w:p w14:paraId="191DA8ED">
      <w:pPr>
        <w:pStyle w:val="10"/>
        <w:tabs>
          <w:tab w:val="left" w:pos="1000"/>
        </w:tabs>
        <w:snapToGrid w:val="0"/>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4）轻微问题7天内整改；重大问题（带宽不达标等）整改后重申请。</w:t>
      </w:r>
    </w:p>
    <w:p w14:paraId="31D8090A">
      <w:pPr>
        <w:pStyle w:val="10"/>
        <w:tabs>
          <w:tab w:val="left" w:pos="1000"/>
        </w:tabs>
        <w:snapToGrid w:val="0"/>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5）整改通过，出具《验收合格报告》并签字；未通过则明确整改要求与再验收时间。</w:t>
      </w:r>
    </w:p>
    <w:p w14:paraId="124C77F8">
      <w:pPr>
        <w:pStyle w:val="4"/>
        <w:spacing w:before="0" w:after="156" w:afterLines="50"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 xml:space="preserve">（5）验收内容 </w:t>
      </w:r>
    </w:p>
    <w:p w14:paraId="5AB3BF7C">
      <w:pPr>
        <w:pStyle w:val="10"/>
        <w:tabs>
          <w:tab w:val="left" w:pos="1000"/>
        </w:tabs>
        <w:snapToGrid w:val="0"/>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1）网络链路与设备：131条网络专线（≥1000M）、71条“数字食堂”专线（≥50M）；</w:t>
      </w:r>
    </w:p>
    <w:p w14:paraId="7C7C1740">
      <w:pPr>
        <w:pStyle w:val="10"/>
        <w:tabs>
          <w:tab w:val="left" w:pos="1000"/>
        </w:tabs>
        <w:snapToGrid w:val="0"/>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2）出口与IP：总出口带宽≥60Gbps（上下行对等）；每个学校公网IP≥2个可用；</w:t>
      </w:r>
    </w:p>
    <w:p w14:paraId="37E8A604">
      <w:pPr>
        <w:pStyle w:val="10"/>
        <w:tabs>
          <w:tab w:val="left" w:pos="1000"/>
        </w:tabs>
        <w:snapToGrid w:val="0"/>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 xml:space="preserve">3）功能特性：网管平台统一管理与流量可视化等； </w:t>
      </w:r>
    </w:p>
    <w:p w14:paraId="6816F5A9">
      <w:pPr>
        <w:pStyle w:val="10"/>
        <w:tabs>
          <w:tab w:val="left" w:pos="1000"/>
        </w:tabs>
        <w:snapToGrid w:val="0"/>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 xml:space="preserve">4）安全防护：出口防入侵及病毒防护，资源传输存储保密、上网行为可管理、实名认证、攻击事件可溯源等； </w:t>
      </w:r>
    </w:p>
    <w:p w14:paraId="338A0542">
      <w:pPr>
        <w:pStyle w:val="10"/>
        <w:tabs>
          <w:tab w:val="left" w:pos="1000"/>
        </w:tabs>
        <w:snapToGrid w:val="0"/>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5）服务运维：7×24小时响应、每月1次巡检、故障6小时内解决；各使用单位培训；</w:t>
      </w:r>
    </w:p>
    <w:p w14:paraId="6BF97CC2">
      <w:pPr>
        <w:pStyle w:val="10"/>
        <w:tabs>
          <w:tab w:val="left" w:pos="1000"/>
        </w:tabs>
        <w:snapToGrid w:val="0"/>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6）采购需求中的其他内容。</w:t>
      </w:r>
    </w:p>
    <w:p w14:paraId="5963CE68">
      <w:pPr>
        <w:pStyle w:val="10"/>
        <w:tabs>
          <w:tab w:val="left" w:pos="1000"/>
        </w:tabs>
        <w:snapToGrid w:val="0"/>
        <w:spacing w:line="360" w:lineRule="auto"/>
        <w:ind w:left="0" w:leftChars="0" w:firstLine="0" w:firstLineChars="0"/>
        <w:rPr>
          <w:rFonts w:hint="eastAsia" w:ascii="宋体" w:hAnsi="宋体" w:cs="宋体"/>
          <w:bCs/>
          <w:color w:val="auto"/>
          <w:sz w:val="24"/>
          <w:szCs w:val="24"/>
          <w:highlight w:val="none"/>
          <w:lang w:eastAsia="zh-CN"/>
        </w:rPr>
      </w:pPr>
    </w:p>
    <w:p w14:paraId="4469F483">
      <w:pPr>
        <w:rPr>
          <w:rFonts w:hint="eastAsia" w:asciiTheme="minorEastAsia" w:hAnsiTheme="minorEastAsia"/>
          <w:color w:val="auto"/>
          <w:sz w:val="36"/>
          <w:szCs w:val="36"/>
          <w:highlight w:val="none"/>
        </w:rPr>
      </w:pPr>
      <w:r>
        <w:rPr>
          <w:rFonts w:hint="eastAsia" w:asciiTheme="minorEastAsia" w:hAnsiTheme="minorEastAsia"/>
          <w:color w:val="auto"/>
          <w:sz w:val="36"/>
          <w:szCs w:val="36"/>
          <w:highlight w:val="none"/>
        </w:rPr>
        <w:br w:type="page"/>
      </w:r>
    </w:p>
    <w:p w14:paraId="485CA7B4">
      <w:pPr>
        <w:pStyle w:val="2"/>
        <w:spacing w:before="156" w:beforeLines="50" w:after="156" w:afterLines="50" w:line="360" w:lineRule="auto"/>
        <w:jc w:val="center"/>
        <w:rPr>
          <w:rFonts w:asciiTheme="minorEastAsia" w:hAnsiTheme="minorEastAsia"/>
          <w:color w:val="auto"/>
          <w:sz w:val="36"/>
          <w:szCs w:val="36"/>
          <w:highlight w:val="none"/>
        </w:rPr>
      </w:pPr>
      <w:r>
        <w:rPr>
          <w:rFonts w:hint="eastAsia" w:asciiTheme="minorEastAsia" w:hAnsiTheme="minorEastAsia"/>
          <w:color w:val="auto"/>
          <w:sz w:val="36"/>
          <w:szCs w:val="36"/>
          <w:highlight w:val="none"/>
        </w:rPr>
        <w:t>第三章</w:t>
      </w:r>
      <w:r>
        <w:rPr>
          <w:rFonts w:hint="eastAsia" w:asciiTheme="minorEastAsia" w:hAnsiTheme="minorEastAsia"/>
          <w:color w:val="auto"/>
          <w:sz w:val="36"/>
          <w:szCs w:val="36"/>
          <w:highlight w:val="none"/>
          <w:lang w:eastAsia="zh-CN"/>
        </w:rPr>
        <w:t xml:space="preserve"> </w:t>
      </w:r>
      <w:r>
        <w:rPr>
          <w:rFonts w:asciiTheme="minorEastAsia" w:hAnsiTheme="minorEastAsia"/>
          <w:color w:val="auto"/>
          <w:sz w:val="36"/>
          <w:szCs w:val="36"/>
          <w:highlight w:val="none"/>
        </w:rPr>
        <w:t>评标标准及方法</w:t>
      </w:r>
    </w:p>
    <w:p w14:paraId="6E197EC0">
      <w:pPr>
        <w:pStyle w:val="3"/>
        <w:numPr>
          <w:ilvl w:val="0"/>
          <w:numId w:val="3"/>
        </w:numPr>
        <w:spacing w:before="156" w:beforeLines="50" w:after="156" w:afterLines="50" w:line="360" w:lineRule="auto"/>
        <w:rPr>
          <w:rFonts w:ascii="宋体" w:hAnsi="宋体" w:eastAsia="宋体" w:cs="宋体"/>
          <w:color w:val="auto"/>
          <w:highlight w:val="none"/>
        </w:rPr>
      </w:pPr>
      <w:r>
        <w:rPr>
          <w:rFonts w:ascii="宋体" w:hAnsi="宋体" w:eastAsia="宋体" w:cs="宋体"/>
          <w:color w:val="auto"/>
          <w:highlight w:val="none"/>
        </w:rPr>
        <w:t>评分标准</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9"/>
        <w:gridCol w:w="511"/>
        <w:gridCol w:w="766"/>
        <w:gridCol w:w="511"/>
        <w:gridCol w:w="6996"/>
        <w:gridCol w:w="589"/>
      </w:tblGrid>
      <w:tr w14:paraId="504B3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0" w:type="auto"/>
            <w:tcBorders>
              <w:top w:val="single" w:color="auto" w:sz="4" w:space="0"/>
              <w:left w:val="single" w:color="auto" w:sz="4" w:space="0"/>
              <w:bottom w:val="single" w:color="auto" w:sz="4" w:space="0"/>
              <w:right w:val="single" w:color="auto" w:sz="4" w:space="0"/>
            </w:tcBorders>
            <w:vAlign w:val="center"/>
          </w:tcPr>
          <w:p w14:paraId="63208642">
            <w:pPr>
              <w:jc w:val="center"/>
              <w:rPr>
                <w:rFonts w:ascii="宋体" w:hAnsi="宋体" w:eastAsia="宋体"/>
                <w:bCs/>
                <w:color w:val="auto"/>
                <w:sz w:val="24"/>
                <w:szCs w:val="24"/>
                <w:highlight w:val="none"/>
              </w:rPr>
            </w:pPr>
            <w:r>
              <w:rPr>
                <w:rFonts w:ascii="宋体" w:hAnsi="宋体" w:eastAsia="宋体"/>
                <w:bCs/>
                <w:color w:val="auto"/>
                <w:sz w:val="24"/>
                <w:szCs w:val="24"/>
                <w:highlight w:val="none"/>
              </w:rPr>
              <w:t>评标项目</w:t>
            </w:r>
          </w:p>
        </w:tc>
        <w:tc>
          <w:tcPr>
            <w:tcW w:w="0" w:type="auto"/>
            <w:tcBorders>
              <w:top w:val="single" w:color="auto" w:sz="4" w:space="0"/>
              <w:left w:val="nil"/>
              <w:bottom w:val="single" w:color="auto" w:sz="4" w:space="0"/>
              <w:right w:val="single" w:color="auto" w:sz="4" w:space="0"/>
            </w:tcBorders>
            <w:vAlign w:val="center"/>
          </w:tcPr>
          <w:p w14:paraId="71CB6B37">
            <w:pPr>
              <w:jc w:val="center"/>
              <w:rPr>
                <w:rFonts w:ascii="宋体" w:hAnsi="宋体" w:eastAsia="宋体"/>
                <w:bCs/>
                <w:color w:val="auto"/>
                <w:sz w:val="24"/>
                <w:szCs w:val="24"/>
                <w:highlight w:val="none"/>
              </w:rPr>
            </w:pPr>
            <w:r>
              <w:rPr>
                <w:rFonts w:ascii="宋体" w:hAnsi="宋体" w:eastAsia="宋体"/>
                <w:bCs/>
                <w:color w:val="auto"/>
                <w:sz w:val="24"/>
                <w:szCs w:val="24"/>
                <w:highlight w:val="none"/>
              </w:rPr>
              <w:t>分值</w:t>
            </w:r>
          </w:p>
        </w:tc>
        <w:tc>
          <w:tcPr>
            <w:tcW w:w="0" w:type="auto"/>
            <w:tcBorders>
              <w:top w:val="single" w:color="auto" w:sz="4" w:space="0"/>
              <w:left w:val="nil"/>
              <w:bottom w:val="single" w:color="auto" w:sz="4" w:space="0"/>
              <w:right w:val="single" w:color="auto" w:sz="4" w:space="0"/>
            </w:tcBorders>
            <w:vAlign w:val="center"/>
          </w:tcPr>
          <w:p w14:paraId="23DD03A2">
            <w:pPr>
              <w:jc w:val="center"/>
              <w:rPr>
                <w:rFonts w:ascii="宋体" w:hAnsi="宋体" w:eastAsia="宋体"/>
                <w:bCs/>
                <w:color w:val="auto"/>
                <w:sz w:val="24"/>
                <w:szCs w:val="24"/>
                <w:highlight w:val="none"/>
              </w:rPr>
            </w:pPr>
            <w:r>
              <w:rPr>
                <w:rFonts w:ascii="宋体" w:hAnsi="宋体" w:eastAsia="宋体"/>
                <w:bCs/>
                <w:color w:val="auto"/>
                <w:sz w:val="24"/>
                <w:szCs w:val="24"/>
                <w:highlight w:val="none"/>
              </w:rPr>
              <w:t>评标分项</w:t>
            </w:r>
          </w:p>
        </w:tc>
        <w:tc>
          <w:tcPr>
            <w:tcW w:w="0" w:type="auto"/>
            <w:tcBorders>
              <w:top w:val="single" w:color="auto" w:sz="4" w:space="0"/>
              <w:left w:val="nil"/>
              <w:bottom w:val="single" w:color="auto" w:sz="4" w:space="0"/>
              <w:right w:val="single" w:color="auto" w:sz="4" w:space="0"/>
            </w:tcBorders>
            <w:vAlign w:val="center"/>
          </w:tcPr>
          <w:p w14:paraId="70E131FE">
            <w:pPr>
              <w:jc w:val="center"/>
              <w:rPr>
                <w:rFonts w:ascii="宋体" w:hAnsi="宋体" w:eastAsia="宋体"/>
                <w:bCs/>
                <w:color w:val="auto"/>
                <w:sz w:val="24"/>
                <w:szCs w:val="24"/>
                <w:highlight w:val="none"/>
              </w:rPr>
            </w:pPr>
            <w:r>
              <w:rPr>
                <w:rFonts w:ascii="宋体" w:hAnsi="宋体" w:eastAsia="宋体"/>
                <w:bCs/>
                <w:color w:val="auto"/>
                <w:sz w:val="24"/>
                <w:szCs w:val="24"/>
                <w:highlight w:val="none"/>
              </w:rPr>
              <w:t>分值</w:t>
            </w:r>
          </w:p>
        </w:tc>
        <w:tc>
          <w:tcPr>
            <w:tcW w:w="0" w:type="auto"/>
            <w:tcBorders>
              <w:top w:val="single" w:color="auto" w:sz="4" w:space="0"/>
              <w:left w:val="nil"/>
              <w:bottom w:val="single" w:color="auto" w:sz="4" w:space="0"/>
              <w:right w:val="single" w:color="auto" w:sz="4" w:space="0"/>
            </w:tcBorders>
            <w:vAlign w:val="center"/>
          </w:tcPr>
          <w:p w14:paraId="0A47DCCE">
            <w:pPr>
              <w:jc w:val="center"/>
              <w:rPr>
                <w:rFonts w:ascii="宋体" w:hAnsi="宋体" w:eastAsia="宋体"/>
                <w:bCs/>
                <w:color w:val="auto"/>
                <w:sz w:val="24"/>
                <w:szCs w:val="24"/>
                <w:highlight w:val="none"/>
              </w:rPr>
            </w:pPr>
            <w:r>
              <w:rPr>
                <w:rFonts w:ascii="宋体" w:hAnsi="宋体" w:eastAsia="宋体"/>
                <w:bCs/>
                <w:color w:val="auto"/>
                <w:sz w:val="24"/>
                <w:szCs w:val="24"/>
                <w:highlight w:val="none"/>
              </w:rPr>
              <w:t>子项目及分值</w:t>
            </w:r>
          </w:p>
        </w:tc>
        <w:tc>
          <w:tcPr>
            <w:tcW w:w="0" w:type="auto"/>
            <w:tcBorders>
              <w:top w:val="single" w:color="auto" w:sz="4" w:space="0"/>
              <w:left w:val="nil"/>
              <w:bottom w:val="single" w:color="auto" w:sz="4" w:space="0"/>
              <w:right w:val="single" w:color="auto" w:sz="4" w:space="0"/>
            </w:tcBorders>
            <w:vAlign w:val="center"/>
          </w:tcPr>
          <w:p w14:paraId="3E6FB1E5">
            <w:pPr>
              <w:jc w:val="center"/>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打分方法</w:t>
            </w:r>
          </w:p>
        </w:tc>
      </w:tr>
      <w:tr w14:paraId="58BD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trPr>
        <w:tc>
          <w:tcPr>
            <w:tcW w:w="0" w:type="auto"/>
            <w:tcBorders>
              <w:top w:val="single" w:color="auto" w:sz="4" w:space="0"/>
              <w:left w:val="single" w:color="auto" w:sz="4" w:space="0"/>
              <w:bottom w:val="single" w:color="auto" w:sz="4" w:space="0"/>
              <w:right w:val="single" w:color="auto" w:sz="4" w:space="0"/>
            </w:tcBorders>
            <w:vAlign w:val="center"/>
          </w:tcPr>
          <w:p w14:paraId="36568A64">
            <w:pPr>
              <w:jc w:val="center"/>
              <w:rPr>
                <w:rFonts w:ascii="宋体" w:hAnsi="宋体" w:eastAsia="宋体"/>
                <w:bCs/>
                <w:color w:val="auto"/>
                <w:sz w:val="24"/>
                <w:szCs w:val="24"/>
                <w:highlight w:val="none"/>
              </w:rPr>
            </w:pPr>
            <w:r>
              <w:rPr>
                <w:rFonts w:ascii="宋体" w:hAnsi="宋体" w:eastAsia="宋体"/>
                <w:bCs/>
                <w:color w:val="auto"/>
                <w:sz w:val="24"/>
                <w:szCs w:val="24"/>
                <w:highlight w:val="none"/>
              </w:rPr>
              <w:t>报价部分</w:t>
            </w:r>
          </w:p>
        </w:tc>
        <w:tc>
          <w:tcPr>
            <w:tcW w:w="0" w:type="auto"/>
            <w:tcBorders>
              <w:top w:val="single" w:color="auto" w:sz="4" w:space="0"/>
              <w:left w:val="nil"/>
              <w:bottom w:val="single" w:color="auto" w:sz="4" w:space="0"/>
              <w:right w:val="single" w:color="auto" w:sz="4" w:space="0"/>
            </w:tcBorders>
            <w:vAlign w:val="center"/>
          </w:tcPr>
          <w:p w14:paraId="3107E0F1">
            <w:pPr>
              <w:jc w:val="center"/>
              <w:rPr>
                <w:rFonts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30</w:t>
            </w:r>
            <w:r>
              <w:rPr>
                <w:rFonts w:ascii="宋体" w:hAnsi="宋体" w:eastAsia="宋体"/>
                <w:bCs/>
                <w:color w:val="auto"/>
                <w:sz w:val="24"/>
                <w:szCs w:val="24"/>
                <w:highlight w:val="none"/>
              </w:rPr>
              <w:t>分</w:t>
            </w:r>
          </w:p>
        </w:tc>
        <w:tc>
          <w:tcPr>
            <w:tcW w:w="0" w:type="auto"/>
            <w:tcBorders>
              <w:top w:val="single" w:color="auto" w:sz="4" w:space="0"/>
              <w:left w:val="nil"/>
              <w:bottom w:val="single" w:color="auto" w:sz="4" w:space="0"/>
              <w:right w:val="single" w:color="auto" w:sz="4" w:space="0"/>
            </w:tcBorders>
            <w:vAlign w:val="center"/>
          </w:tcPr>
          <w:p w14:paraId="309163D4">
            <w:pPr>
              <w:rPr>
                <w:rFonts w:hint="default" w:ascii="宋体" w:hAnsi="宋体" w:eastAsia="宋体"/>
                <w:bCs/>
                <w:color w:val="auto"/>
                <w:sz w:val="24"/>
                <w:szCs w:val="24"/>
                <w:highlight w:val="none"/>
                <w:lang w:val="en-US" w:eastAsia="zh-CN"/>
              </w:rPr>
            </w:pPr>
            <w:r>
              <w:rPr>
                <w:rFonts w:hint="eastAsia" w:ascii="宋体" w:hAnsi="宋体" w:eastAsia="宋体"/>
                <w:bCs/>
                <w:color w:val="auto"/>
                <w:sz w:val="24"/>
                <w:szCs w:val="24"/>
                <w:highlight w:val="none"/>
                <w:lang w:val="en-US" w:eastAsia="zh-CN"/>
              </w:rPr>
              <w:t>价格评议</w:t>
            </w:r>
          </w:p>
        </w:tc>
        <w:tc>
          <w:tcPr>
            <w:tcW w:w="0" w:type="auto"/>
            <w:tcBorders>
              <w:top w:val="single" w:color="auto" w:sz="4" w:space="0"/>
              <w:left w:val="nil"/>
              <w:bottom w:val="single" w:color="auto" w:sz="4" w:space="0"/>
              <w:right w:val="single" w:color="auto" w:sz="4" w:space="0"/>
            </w:tcBorders>
            <w:vAlign w:val="center"/>
          </w:tcPr>
          <w:p w14:paraId="34356596">
            <w:pPr>
              <w:rPr>
                <w:rFonts w:hint="default" w:ascii="宋体" w:hAnsi="宋体" w:eastAsia="宋体"/>
                <w:bCs/>
                <w:color w:val="auto"/>
                <w:sz w:val="24"/>
                <w:szCs w:val="24"/>
                <w:highlight w:val="none"/>
                <w:lang w:val="en-US" w:eastAsia="zh-CN"/>
              </w:rPr>
            </w:pPr>
            <w:r>
              <w:rPr>
                <w:rFonts w:hint="eastAsia" w:ascii="宋体" w:hAnsi="宋体" w:eastAsia="宋体"/>
                <w:bCs/>
                <w:color w:val="auto"/>
                <w:sz w:val="24"/>
                <w:szCs w:val="24"/>
                <w:highlight w:val="none"/>
                <w:lang w:val="en-US" w:eastAsia="zh-CN"/>
              </w:rPr>
              <w:t>30分</w:t>
            </w:r>
          </w:p>
        </w:tc>
        <w:tc>
          <w:tcPr>
            <w:tcW w:w="0" w:type="auto"/>
            <w:tcBorders>
              <w:top w:val="single" w:color="auto" w:sz="4" w:space="0"/>
              <w:left w:val="nil"/>
              <w:bottom w:val="single" w:color="auto" w:sz="4" w:space="0"/>
              <w:right w:val="single" w:color="auto" w:sz="4" w:space="0"/>
            </w:tcBorders>
            <w:vAlign w:val="center"/>
          </w:tcPr>
          <w:p w14:paraId="5E90804A">
            <w:pPr>
              <w:rPr>
                <w:rFonts w:ascii="宋体" w:hAnsi="宋体" w:eastAsia="宋体"/>
                <w:bCs/>
                <w:color w:val="auto"/>
                <w:sz w:val="24"/>
                <w:szCs w:val="24"/>
                <w:highlight w:val="none"/>
              </w:rPr>
            </w:pPr>
            <w:r>
              <w:rPr>
                <w:rFonts w:hint="eastAsia" w:ascii="宋体" w:hAnsi="宋体" w:eastAsia="宋体"/>
                <w:bCs/>
                <w:color w:val="auto"/>
                <w:sz w:val="24"/>
                <w:szCs w:val="24"/>
                <w:highlight w:val="none"/>
                <w:lang w:eastAsia="zh-CN"/>
              </w:rPr>
              <w:t>1.</w:t>
            </w:r>
            <w:r>
              <w:rPr>
                <w:rFonts w:ascii="宋体" w:hAnsi="宋体" w:eastAsia="宋体"/>
                <w:bCs/>
                <w:color w:val="auto"/>
                <w:sz w:val="24"/>
                <w:szCs w:val="24"/>
                <w:highlight w:val="none"/>
              </w:rPr>
              <w:t>满足招标文件要求且投标价格最低的投标报价为评标基准价（D），其价格分为满分</w:t>
            </w:r>
            <w:r>
              <w:rPr>
                <w:rFonts w:hint="eastAsia" w:ascii="宋体" w:hAnsi="宋体" w:eastAsia="宋体"/>
                <w:bCs/>
                <w:color w:val="auto"/>
                <w:sz w:val="24"/>
                <w:szCs w:val="24"/>
                <w:highlight w:val="none"/>
                <w:lang w:eastAsia="zh-CN"/>
              </w:rPr>
              <w:t>（</w:t>
            </w:r>
            <w:r>
              <w:rPr>
                <w:rFonts w:hint="eastAsia" w:ascii="宋体" w:hAnsi="宋体" w:eastAsia="宋体"/>
                <w:bCs/>
                <w:color w:val="auto"/>
                <w:sz w:val="24"/>
                <w:szCs w:val="24"/>
                <w:highlight w:val="none"/>
                <w:lang w:val="en-US" w:eastAsia="zh-CN"/>
              </w:rPr>
              <w:t>30</w:t>
            </w:r>
            <w:r>
              <w:rPr>
                <w:rFonts w:hint="eastAsia" w:ascii="宋体" w:hAnsi="宋体" w:eastAsia="宋体"/>
                <w:bCs/>
                <w:color w:val="auto"/>
                <w:sz w:val="24"/>
                <w:szCs w:val="24"/>
                <w:highlight w:val="none"/>
                <w:lang w:eastAsia="zh-CN"/>
              </w:rPr>
              <w:t>分）</w:t>
            </w:r>
            <w:r>
              <w:rPr>
                <w:rFonts w:ascii="宋体" w:hAnsi="宋体" w:eastAsia="宋体"/>
                <w:bCs/>
                <w:color w:val="auto"/>
                <w:sz w:val="24"/>
                <w:szCs w:val="24"/>
                <w:highlight w:val="none"/>
              </w:rPr>
              <w:t>；</w:t>
            </w:r>
          </w:p>
          <w:p w14:paraId="1CB5AB1A">
            <w:pPr>
              <w:rPr>
                <w:rFonts w:hint="default" w:ascii="宋体" w:hAnsi="宋体" w:eastAsia="宋体"/>
                <w:bCs/>
                <w:color w:val="auto"/>
                <w:sz w:val="24"/>
                <w:szCs w:val="24"/>
                <w:highlight w:val="none"/>
                <w:lang w:val="en-US" w:eastAsia="zh-CN"/>
              </w:rPr>
            </w:pPr>
            <w:r>
              <w:rPr>
                <w:rFonts w:hint="eastAsia" w:ascii="宋体" w:hAnsi="宋体" w:eastAsia="宋体"/>
                <w:bCs/>
                <w:color w:val="auto"/>
                <w:sz w:val="24"/>
                <w:szCs w:val="24"/>
                <w:highlight w:val="none"/>
                <w:lang w:eastAsia="zh-CN"/>
              </w:rPr>
              <w:t>2.</w:t>
            </w:r>
            <w:r>
              <w:rPr>
                <w:rFonts w:ascii="宋体" w:hAnsi="宋体" w:eastAsia="宋体"/>
                <w:bCs/>
                <w:color w:val="auto"/>
                <w:sz w:val="24"/>
                <w:szCs w:val="24"/>
                <w:highlight w:val="none"/>
              </w:rPr>
              <w:t>其他合格投标人的投标报价得分按如下公式计算：投标报价得分=（评标基准价D/投标报价V）×</w:t>
            </w:r>
            <w:r>
              <w:rPr>
                <w:rFonts w:hint="eastAsia" w:ascii="宋体" w:hAnsi="宋体" w:eastAsia="宋体"/>
                <w:bCs/>
                <w:color w:val="auto"/>
                <w:sz w:val="24"/>
                <w:szCs w:val="24"/>
                <w:highlight w:val="none"/>
                <w:lang w:val="en-US" w:eastAsia="zh-CN"/>
              </w:rPr>
              <w:t>30</w:t>
            </w:r>
          </w:p>
        </w:tc>
        <w:tc>
          <w:tcPr>
            <w:tcW w:w="0" w:type="auto"/>
            <w:tcBorders>
              <w:top w:val="single" w:color="auto" w:sz="4" w:space="0"/>
              <w:left w:val="nil"/>
              <w:bottom w:val="single" w:color="auto" w:sz="4" w:space="0"/>
              <w:right w:val="single" w:color="auto" w:sz="4" w:space="0"/>
            </w:tcBorders>
            <w:vAlign w:val="center"/>
          </w:tcPr>
          <w:p w14:paraId="78343FB1">
            <w:pPr>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客观分</w:t>
            </w:r>
          </w:p>
        </w:tc>
      </w:tr>
      <w:tr w14:paraId="41C68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restart"/>
            <w:tcBorders>
              <w:top w:val="nil"/>
              <w:left w:val="single" w:color="auto" w:sz="4" w:space="0"/>
              <w:bottom w:val="single" w:color="auto" w:sz="4" w:space="0"/>
              <w:right w:val="single" w:color="auto" w:sz="4" w:space="0"/>
            </w:tcBorders>
            <w:vAlign w:val="center"/>
          </w:tcPr>
          <w:p w14:paraId="6D4E98A9">
            <w:pPr>
              <w:jc w:val="center"/>
              <w:rPr>
                <w:rFonts w:ascii="宋体" w:hAnsi="宋体" w:eastAsia="宋体"/>
                <w:bCs/>
                <w:color w:val="auto"/>
                <w:sz w:val="24"/>
                <w:szCs w:val="24"/>
                <w:highlight w:val="none"/>
              </w:rPr>
            </w:pPr>
            <w:r>
              <w:rPr>
                <w:rFonts w:ascii="宋体" w:hAnsi="宋体" w:eastAsia="宋体"/>
                <w:bCs/>
                <w:color w:val="auto"/>
                <w:sz w:val="24"/>
                <w:szCs w:val="24"/>
                <w:highlight w:val="none"/>
              </w:rPr>
              <w:t>商务</w:t>
            </w:r>
          </w:p>
          <w:p w14:paraId="7B438A18">
            <w:pPr>
              <w:jc w:val="center"/>
              <w:rPr>
                <w:rFonts w:ascii="宋体" w:hAnsi="宋体" w:eastAsia="宋体"/>
                <w:bCs/>
                <w:color w:val="auto"/>
                <w:sz w:val="24"/>
                <w:szCs w:val="24"/>
                <w:highlight w:val="none"/>
              </w:rPr>
            </w:pPr>
            <w:r>
              <w:rPr>
                <w:rFonts w:ascii="宋体" w:hAnsi="宋体" w:eastAsia="宋体"/>
                <w:bCs/>
                <w:color w:val="auto"/>
                <w:sz w:val="24"/>
                <w:szCs w:val="24"/>
                <w:highlight w:val="none"/>
              </w:rPr>
              <w:t>部分</w:t>
            </w:r>
          </w:p>
        </w:tc>
        <w:tc>
          <w:tcPr>
            <w:tcW w:w="0" w:type="auto"/>
            <w:vMerge w:val="restart"/>
            <w:tcBorders>
              <w:top w:val="nil"/>
              <w:left w:val="nil"/>
              <w:bottom w:val="single" w:color="auto" w:sz="4" w:space="0"/>
              <w:right w:val="single" w:color="auto" w:sz="4" w:space="0"/>
            </w:tcBorders>
            <w:vAlign w:val="center"/>
          </w:tcPr>
          <w:p w14:paraId="6915C0EA">
            <w:pPr>
              <w:jc w:val="center"/>
              <w:rPr>
                <w:rFonts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17</w:t>
            </w:r>
            <w:r>
              <w:rPr>
                <w:rFonts w:ascii="宋体" w:hAnsi="宋体" w:eastAsia="宋体"/>
                <w:bCs/>
                <w:color w:val="auto"/>
                <w:sz w:val="24"/>
                <w:szCs w:val="24"/>
                <w:highlight w:val="none"/>
              </w:rPr>
              <w:t>分</w:t>
            </w:r>
          </w:p>
        </w:tc>
        <w:tc>
          <w:tcPr>
            <w:tcW w:w="0" w:type="auto"/>
            <w:tcBorders>
              <w:top w:val="single" w:color="auto" w:sz="4" w:space="0"/>
              <w:left w:val="nil"/>
              <w:bottom w:val="single" w:color="auto" w:sz="4" w:space="0"/>
              <w:right w:val="single" w:color="auto" w:sz="4" w:space="0"/>
            </w:tcBorders>
            <w:vAlign w:val="center"/>
          </w:tcPr>
          <w:p w14:paraId="0296B724">
            <w:pPr>
              <w:jc w:val="center"/>
              <w:rPr>
                <w:rFonts w:ascii="宋体" w:hAnsi="宋体" w:eastAsia="宋体"/>
                <w:bCs/>
                <w:color w:val="auto"/>
                <w:sz w:val="24"/>
                <w:szCs w:val="24"/>
                <w:highlight w:val="none"/>
              </w:rPr>
            </w:pPr>
            <w:r>
              <w:rPr>
                <w:rFonts w:ascii="宋体" w:hAnsi="宋体" w:eastAsia="宋体"/>
                <w:bCs/>
                <w:color w:val="auto"/>
                <w:sz w:val="24"/>
                <w:szCs w:val="24"/>
                <w:highlight w:val="none"/>
              </w:rPr>
              <w:t>企业业绩</w:t>
            </w:r>
          </w:p>
        </w:tc>
        <w:tc>
          <w:tcPr>
            <w:tcW w:w="0" w:type="auto"/>
            <w:tcBorders>
              <w:top w:val="single" w:color="auto" w:sz="4" w:space="0"/>
              <w:left w:val="nil"/>
              <w:bottom w:val="single" w:color="auto" w:sz="4" w:space="0"/>
              <w:right w:val="single" w:color="auto" w:sz="4" w:space="0"/>
            </w:tcBorders>
            <w:vAlign w:val="center"/>
          </w:tcPr>
          <w:p w14:paraId="6AFC834B">
            <w:pPr>
              <w:jc w:val="center"/>
              <w:rPr>
                <w:rFonts w:ascii="宋体" w:hAnsi="宋体" w:eastAsia="宋体"/>
                <w:bCs/>
                <w:color w:val="auto"/>
                <w:sz w:val="24"/>
                <w:szCs w:val="24"/>
                <w:highlight w:val="none"/>
              </w:rPr>
            </w:pPr>
            <w:r>
              <w:rPr>
                <w:rFonts w:hint="eastAsia" w:ascii="宋体" w:hAnsi="宋体" w:eastAsia="宋体"/>
                <w:bCs/>
                <w:color w:val="auto"/>
                <w:sz w:val="24"/>
                <w:szCs w:val="24"/>
                <w:highlight w:val="none"/>
              </w:rPr>
              <w:t>6</w:t>
            </w:r>
            <w:r>
              <w:rPr>
                <w:rFonts w:ascii="宋体" w:hAnsi="宋体" w:eastAsia="宋体"/>
                <w:bCs/>
                <w:color w:val="auto"/>
                <w:sz w:val="24"/>
                <w:szCs w:val="24"/>
                <w:highlight w:val="none"/>
              </w:rPr>
              <w:t>分</w:t>
            </w:r>
          </w:p>
        </w:tc>
        <w:tc>
          <w:tcPr>
            <w:tcW w:w="0" w:type="auto"/>
            <w:tcBorders>
              <w:top w:val="single" w:color="auto" w:sz="4" w:space="0"/>
              <w:left w:val="nil"/>
              <w:bottom w:val="single" w:color="auto" w:sz="4" w:space="0"/>
              <w:right w:val="single" w:color="auto" w:sz="4" w:space="0"/>
            </w:tcBorders>
          </w:tcPr>
          <w:p w14:paraId="7445BC52">
            <w:pPr>
              <w:rPr>
                <w:rFonts w:ascii="宋体" w:hAnsi="宋体" w:eastAsia="宋体"/>
                <w:bCs/>
                <w:color w:val="auto"/>
                <w:sz w:val="24"/>
                <w:szCs w:val="24"/>
                <w:highlight w:val="none"/>
              </w:rPr>
            </w:pPr>
            <w:r>
              <w:rPr>
                <w:rFonts w:ascii="宋体" w:hAnsi="宋体" w:eastAsia="宋体"/>
                <w:bCs/>
                <w:color w:val="auto"/>
                <w:sz w:val="24"/>
                <w:szCs w:val="24"/>
                <w:highlight w:val="none"/>
              </w:rPr>
              <w:t>投标人提供近3年类似业绩，需要提供合同关键页，包括首页、相关内容页、盖章页等资料。每提供1项类似业绩得2分，满分</w:t>
            </w:r>
            <w:r>
              <w:rPr>
                <w:rFonts w:hint="eastAsia" w:ascii="宋体" w:hAnsi="宋体" w:eastAsia="宋体"/>
                <w:bCs/>
                <w:color w:val="auto"/>
                <w:sz w:val="24"/>
                <w:szCs w:val="24"/>
                <w:highlight w:val="none"/>
              </w:rPr>
              <w:t>6</w:t>
            </w:r>
            <w:r>
              <w:rPr>
                <w:rFonts w:ascii="宋体" w:hAnsi="宋体" w:eastAsia="宋体"/>
                <w:bCs/>
                <w:color w:val="auto"/>
                <w:sz w:val="24"/>
                <w:szCs w:val="24"/>
                <w:highlight w:val="none"/>
              </w:rPr>
              <w:t>分。</w:t>
            </w:r>
          </w:p>
        </w:tc>
        <w:tc>
          <w:tcPr>
            <w:tcW w:w="0" w:type="auto"/>
            <w:tcBorders>
              <w:top w:val="single" w:color="auto" w:sz="4" w:space="0"/>
              <w:left w:val="nil"/>
              <w:bottom w:val="single" w:color="auto" w:sz="4" w:space="0"/>
              <w:right w:val="single" w:color="auto" w:sz="4" w:space="0"/>
            </w:tcBorders>
          </w:tcPr>
          <w:p w14:paraId="70A44FE5">
            <w:pPr>
              <w:rPr>
                <w:rFonts w:ascii="宋体" w:hAnsi="宋体" w:eastAsia="宋体"/>
                <w:bCs/>
                <w:color w:val="auto"/>
                <w:sz w:val="24"/>
                <w:szCs w:val="24"/>
                <w:highlight w:val="none"/>
              </w:rPr>
            </w:pPr>
            <w:r>
              <w:rPr>
                <w:rFonts w:hint="eastAsia" w:ascii="宋体" w:hAnsi="宋体" w:eastAsia="宋体"/>
                <w:bCs/>
                <w:color w:val="auto"/>
                <w:sz w:val="24"/>
                <w:szCs w:val="24"/>
                <w:highlight w:val="none"/>
                <w:lang w:eastAsia="zh-CN"/>
              </w:rPr>
              <w:t>客观分</w:t>
            </w:r>
          </w:p>
        </w:tc>
      </w:tr>
      <w:tr w14:paraId="66035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vMerge w:val="continue"/>
            <w:tcBorders>
              <w:top w:val="nil"/>
              <w:left w:val="single" w:color="auto" w:sz="4" w:space="0"/>
              <w:bottom w:val="single" w:color="auto" w:sz="4" w:space="0"/>
              <w:right w:val="single" w:color="auto" w:sz="4" w:space="0"/>
            </w:tcBorders>
            <w:vAlign w:val="center"/>
          </w:tcPr>
          <w:p w14:paraId="191A7B5B">
            <w:pPr>
              <w:rPr>
                <w:rFonts w:ascii="宋体" w:hAnsi="宋体" w:eastAsia="宋体"/>
                <w:bCs/>
                <w:color w:val="auto"/>
                <w:sz w:val="24"/>
                <w:szCs w:val="24"/>
                <w:highlight w:val="none"/>
              </w:rPr>
            </w:pPr>
          </w:p>
        </w:tc>
        <w:tc>
          <w:tcPr>
            <w:tcW w:w="0" w:type="auto"/>
            <w:vMerge w:val="continue"/>
            <w:tcBorders>
              <w:top w:val="nil"/>
              <w:left w:val="nil"/>
              <w:bottom w:val="single" w:color="auto" w:sz="4" w:space="0"/>
              <w:right w:val="single" w:color="auto" w:sz="4" w:space="0"/>
            </w:tcBorders>
            <w:vAlign w:val="center"/>
          </w:tcPr>
          <w:p w14:paraId="27FB0F0D">
            <w:pPr>
              <w:rPr>
                <w:rFonts w:ascii="宋体" w:hAnsi="宋体" w:eastAsia="宋体"/>
                <w:bCs/>
                <w:color w:val="auto"/>
                <w:sz w:val="24"/>
                <w:szCs w:val="24"/>
                <w:highlight w:val="none"/>
              </w:rPr>
            </w:pPr>
          </w:p>
        </w:tc>
        <w:tc>
          <w:tcPr>
            <w:tcW w:w="0" w:type="auto"/>
            <w:vMerge w:val="restart"/>
            <w:tcBorders>
              <w:top w:val="nil"/>
              <w:left w:val="nil"/>
              <w:bottom w:val="single" w:color="auto" w:sz="4" w:space="0"/>
              <w:right w:val="single" w:color="auto" w:sz="4" w:space="0"/>
            </w:tcBorders>
            <w:vAlign w:val="center"/>
          </w:tcPr>
          <w:p w14:paraId="657D3A04">
            <w:pPr>
              <w:jc w:val="center"/>
              <w:rPr>
                <w:rFonts w:ascii="宋体" w:hAnsi="宋体" w:eastAsia="宋体"/>
                <w:bCs/>
                <w:color w:val="auto"/>
                <w:sz w:val="24"/>
                <w:szCs w:val="24"/>
                <w:highlight w:val="none"/>
              </w:rPr>
            </w:pPr>
            <w:r>
              <w:rPr>
                <w:rFonts w:ascii="宋体" w:hAnsi="宋体" w:eastAsia="宋体"/>
                <w:bCs/>
                <w:color w:val="auto"/>
                <w:sz w:val="24"/>
                <w:szCs w:val="24"/>
                <w:highlight w:val="none"/>
              </w:rPr>
              <w:t>人员配置</w:t>
            </w:r>
          </w:p>
        </w:tc>
        <w:tc>
          <w:tcPr>
            <w:tcW w:w="0" w:type="auto"/>
            <w:tcBorders>
              <w:top w:val="single" w:color="auto" w:sz="4" w:space="0"/>
              <w:left w:val="nil"/>
              <w:bottom w:val="single" w:color="auto" w:sz="4" w:space="0"/>
              <w:right w:val="single" w:color="auto" w:sz="4" w:space="0"/>
            </w:tcBorders>
            <w:vAlign w:val="center"/>
          </w:tcPr>
          <w:p w14:paraId="1027928F">
            <w:pPr>
              <w:jc w:val="center"/>
              <w:rPr>
                <w:rFonts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4</w:t>
            </w:r>
            <w:r>
              <w:rPr>
                <w:rFonts w:ascii="宋体" w:hAnsi="宋体" w:eastAsia="宋体"/>
                <w:bCs/>
                <w:color w:val="auto"/>
                <w:sz w:val="24"/>
                <w:szCs w:val="24"/>
                <w:highlight w:val="none"/>
              </w:rPr>
              <w:t>分</w:t>
            </w:r>
          </w:p>
        </w:tc>
        <w:tc>
          <w:tcPr>
            <w:tcW w:w="0" w:type="auto"/>
            <w:tcBorders>
              <w:top w:val="single" w:color="auto" w:sz="4" w:space="0"/>
              <w:left w:val="nil"/>
              <w:bottom w:val="single" w:color="auto" w:sz="4" w:space="0"/>
              <w:right w:val="single" w:color="auto" w:sz="4" w:space="0"/>
            </w:tcBorders>
            <w:vAlign w:val="center"/>
          </w:tcPr>
          <w:p w14:paraId="20993E80">
            <w:pPr>
              <w:rPr>
                <w:rFonts w:ascii="宋体" w:hAnsi="宋体" w:eastAsia="宋体"/>
                <w:bCs/>
                <w:color w:val="auto"/>
                <w:sz w:val="24"/>
                <w:szCs w:val="24"/>
                <w:highlight w:val="none"/>
              </w:rPr>
            </w:pPr>
            <w:r>
              <w:rPr>
                <w:rFonts w:hint="eastAsia" w:ascii="宋体" w:hAnsi="宋体" w:eastAsia="宋体"/>
                <w:bCs/>
                <w:color w:val="auto"/>
                <w:sz w:val="24"/>
                <w:szCs w:val="24"/>
                <w:highlight w:val="none"/>
              </w:rPr>
              <w:t>投标人拟派项目经理具有：</w:t>
            </w:r>
          </w:p>
          <w:p w14:paraId="2BAA2C8A">
            <w:pPr>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1.具备</w:t>
            </w:r>
            <w:r>
              <w:rPr>
                <w:rFonts w:ascii="宋体" w:hAnsi="宋体" w:eastAsia="宋体" w:cs="宋体"/>
                <w:color w:val="auto"/>
                <w:sz w:val="24"/>
                <w:szCs w:val="24"/>
              </w:rPr>
              <w:t>中级</w:t>
            </w:r>
            <w:r>
              <w:rPr>
                <w:rFonts w:hint="eastAsia" w:ascii="宋体" w:hAnsi="宋体" w:eastAsia="宋体" w:cs="宋体"/>
                <w:color w:val="auto"/>
                <w:sz w:val="24"/>
                <w:szCs w:val="24"/>
                <w:lang w:val="en-US" w:eastAsia="zh-CN"/>
              </w:rPr>
              <w:t>及以上职称证书：</w:t>
            </w:r>
            <w:r>
              <w:rPr>
                <w:rFonts w:ascii="宋体" w:hAnsi="宋体" w:eastAsia="宋体" w:cs="宋体"/>
                <w:color w:val="auto"/>
                <w:sz w:val="24"/>
                <w:szCs w:val="24"/>
              </w:rPr>
              <w:t>通信工程师（传输与接入</w:t>
            </w:r>
            <w:r>
              <w:rPr>
                <w:rFonts w:hint="eastAsia" w:ascii="宋体" w:hAnsi="宋体" w:eastAsia="宋体" w:cs="宋体"/>
                <w:color w:val="auto"/>
                <w:sz w:val="24"/>
                <w:szCs w:val="24"/>
                <w:lang w:val="en-US" w:eastAsia="zh-CN"/>
              </w:rPr>
              <w:t>或</w:t>
            </w:r>
            <w:r>
              <w:rPr>
                <w:rFonts w:ascii="宋体" w:hAnsi="宋体" w:eastAsia="宋体" w:cs="宋体"/>
                <w:color w:val="auto"/>
                <w:sz w:val="24"/>
                <w:szCs w:val="24"/>
              </w:rPr>
              <w:t>交换技术</w:t>
            </w:r>
            <w:r>
              <w:rPr>
                <w:rFonts w:hint="eastAsia" w:ascii="宋体" w:hAnsi="宋体" w:eastAsia="宋体" w:cs="宋体"/>
                <w:color w:val="auto"/>
                <w:sz w:val="24"/>
                <w:szCs w:val="24"/>
                <w:lang w:val="en-US" w:eastAsia="zh-CN"/>
              </w:rPr>
              <w:t>或</w:t>
            </w:r>
            <w:r>
              <w:rPr>
                <w:rFonts w:ascii="宋体" w:hAnsi="宋体" w:eastAsia="宋体" w:cs="宋体"/>
                <w:color w:val="auto"/>
                <w:sz w:val="24"/>
                <w:szCs w:val="24"/>
              </w:rPr>
              <w:t>互联网技术专业）</w:t>
            </w:r>
            <w:r>
              <w:rPr>
                <w:rFonts w:ascii="宋体" w:hAnsi="宋体" w:eastAsia="宋体" w:cs="宋体"/>
                <w:color w:val="auto"/>
                <w:sz w:val="24"/>
                <w:szCs w:val="24"/>
                <w:highlight w:val="none"/>
              </w:rPr>
              <w:t>，</w:t>
            </w:r>
            <w:r>
              <w:rPr>
                <w:rFonts w:hint="eastAsia" w:ascii="宋体" w:hAnsi="宋体" w:eastAsia="宋体"/>
                <w:bCs/>
                <w:color w:val="auto"/>
                <w:sz w:val="24"/>
                <w:szCs w:val="24"/>
                <w:highlight w:val="none"/>
              </w:rPr>
              <w:t>得</w:t>
            </w:r>
            <w:r>
              <w:rPr>
                <w:rFonts w:hint="eastAsia" w:ascii="宋体" w:hAnsi="宋体" w:eastAsia="宋体"/>
                <w:bCs/>
                <w:color w:val="auto"/>
                <w:sz w:val="24"/>
                <w:szCs w:val="24"/>
                <w:highlight w:val="none"/>
                <w:lang w:val="en-US" w:eastAsia="zh-CN"/>
              </w:rPr>
              <w:t>2</w:t>
            </w:r>
            <w:r>
              <w:rPr>
                <w:rFonts w:hint="eastAsia" w:ascii="宋体" w:hAnsi="宋体" w:eastAsia="宋体"/>
                <w:bCs/>
                <w:color w:val="auto"/>
                <w:sz w:val="24"/>
                <w:szCs w:val="24"/>
                <w:highlight w:val="none"/>
              </w:rPr>
              <w:t>分；</w:t>
            </w:r>
          </w:p>
          <w:p w14:paraId="636FCA9D">
            <w:pPr>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val="en-US" w:eastAsia="zh-CN"/>
              </w:rPr>
              <w:t>2.</w:t>
            </w:r>
            <w:r>
              <w:rPr>
                <w:rFonts w:hint="eastAsia" w:ascii="宋体" w:hAnsi="宋体" w:eastAsia="宋体"/>
                <w:bCs/>
                <w:color w:val="auto"/>
                <w:sz w:val="24"/>
                <w:szCs w:val="24"/>
                <w:highlight w:val="none"/>
              </w:rPr>
              <w:t>近3年作为项目经理实施</w:t>
            </w:r>
            <w:r>
              <w:rPr>
                <w:rFonts w:hint="eastAsia" w:ascii="宋体" w:hAnsi="宋体" w:eastAsia="宋体"/>
                <w:bCs/>
                <w:color w:val="auto"/>
                <w:sz w:val="24"/>
                <w:szCs w:val="24"/>
                <w:highlight w:val="none"/>
                <w:lang w:val="en-US" w:eastAsia="zh-CN"/>
              </w:rPr>
              <w:t>类似</w:t>
            </w:r>
            <w:r>
              <w:rPr>
                <w:rFonts w:hint="eastAsia" w:ascii="宋体" w:hAnsi="宋体" w:eastAsia="宋体"/>
                <w:bCs/>
                <w:color w:val="auto"/>
                <w:sz w:val="24"/>
                <w:szCs w:val="24"/>
                <w:highlight w:val="none"/>
              </w:rPr>
              <w:t>项目，得</w:t>
            </w:r>
            <w:r>
              <w:rPr>
                <w:rFonts w:hint="eastAsia" w:ascii="宋体" w:hAnsi="宋体" w:eastAsia="宋体"/>
                <w:bCs/>
                <w:color w:val="auto"/>
                <w:sz w:val="24"/>
                <w:szCs w:val="24"/>
                <w:highlight w:val="none"/>
                <w:lang w:val="en-US" w:eastAsia="zh-CN"/>
              </w:rPr>
              <w:t>2</w:t>
            </w:r>
            <w:r>
              <w:rPr>
                <w:rFonts w:hint="eastAsia" w:ascii="宋体" w:hAnsi="宋体" w:eastAsia="宋体"/>
                <w:bCs/>
                <w:color w:val="auto"/>
                <w:sz w:val="24"/>
                <w:szCs w:val="24"/>
                <w:highlight w:val="none"/>
              </w:rPr>
              <w:t>分</w:t>
            </w:r>
            <w:r>
              <w:rPr>
                <w:rFonts w:hint="eastAsia" w:ascii="宋体" w:hAnsi="宋体" w:eastAsia="宋体"/>
                <w:bCs/>
                <w:color w:val="auto"/>
                <w:sz w:val="24"/>
                <w:szCs w:val="24"/>
                <w:highlight w:val="none"/>
                <w:lang w:eastAsia="zh-CN"/>
              </w:rPr>
              <w:t>。</w:t>
            </w:r>
          </w:p>
          <w:p w14:paraId="4C86AB49">
            <w:pPr>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每</w:t>
            </w:r>
            <w:r>
              <w:rPr>
                <w:rFonts w:hint="eastAsia" w:ascii="宋体" w:hAnsi="宋体" w:eastAsia="宋体"/>
                <w:bCs/>
                <w:color w:val="auto"/>
                <w:sz w:val="24"/>
                <w:szCs w:val="24"/>
                <w:highlight w:val="none"/>
              </w:rPr>
              <w:t>满足一项得</w:t>
            </w:r>
            <w:r>
              <w:rPr>
                <w:rFonts w:hint="eastAsia" w:ascii="宋体" w:hAnsi="宋体" w:eastAsia="宋体"/>
                <w:bCs/>
                <w:color w:val="auto"/>
                <w:sz w:val="24"/>
                <w:szCs w:val="24"/>
                <w:highlight w:val="none"/>
                <w:lang w:val="en-US" w:eastAsia="zh-CN"/>
              </w:rPr>
              <w:t>2</w:t>
            </w:r>
            <w:r>
              <w:rPr>
                <w:rFonts w:hint="eastAsia" w:ascii="宋体" w:hAnsi="宋体" w:eastAsia="宋体"/>
                <w:bCs/>
                <w:color w:val="auto"/>
                <w:sz w:val="24"/>
                <w:szCs w:val="24"/>
                <w:highlight w:val="none"/>
              </w:rPr>
              <w:t>分</w:t>
            </w:r>
            <w:r>
              <w:rPr>
                <w:rFonts w:hint="eastAsia" w:ascii="宋体" w:hAnsi="宋体" w:eastAsia="宋体"/>
                <w:bCs/>
                <w:color w:val="auto"/>
                <w:sz w:val="24"/>
                <w:szCs w:val="24"/>
                <w:highlight w:val="none"/>
                <w:lang w:eastAsia="zh-CN"/>
              </w:rPr>
              <w:t>，</w:t>
            </w:r>
            <w:r>
              <w:rPr>
                <w:rFonts w:hint="eastAsia" w:ascii="宋体" w:hAnsi="宋体" w:eastAsia="宋体"/>
                <w:bCs/>
                <w:color w:val="auto"/>
                <w:sz w:val="24"/>
                <w:szCs w:val="24"/>
                <w:highlight w:val="none"/>
                <w:lang w:val="en-US" w:eastAsia="zh-CN"/>
              </w:rPr>
              <w:t>满分4分</w:t>
            </w:r>
            <w:r>
              <w:rPr>
                <w:rFonts w:hint="eastAsia" w:ascii="宋体" w:hAnsi="宋体" w:eastAsia="宋体"/>
                <w:bCs/>
                <w:color w:val="auto"/>
                <w:sz w:val="24"/>
                <w:szCs w:val="24"/>
                <w:highlight w:val="none"/>
              </w:rPr>
              <w:t>。</w:t>
            </w:r>
          </w:p>
          <w:p w14:paraId="794BD7E8">
            <w:pPr>
              <w:rPr>
                <w:rFonts w:ascii="宋体" w:hAnsi="宋体" w:eastAsia="宋体"/>
                <w:bCs/>
                <w:color w:val="auto"/>
                <w:sz w:val="24"/>
                <w:szCs w:val="24"/>
                <w:highlight w:val="none"/>
              </w:rPr>
            </w:pPr>
            <w:r>
              <w:rPr>
                <w:rFonts w:ascii="宋体" w:hAnsi="宋体" w:eastAsia="宋体"/>
                <w:bCs/>
                <w:color w:val="auto"/>
                <w:sz w:val="24"/>
                <w:szCs w:val="24"/>
                <w:highlight w:val="none"/>
              </w:rPr>
              <w:t>须提供证书复印件、</w:t>
            </w:r>
            <w:r>
              <w:rPr>
                <w:rFonts w:hint="eastAsia" w:ascii="宋体" w:hAnsi="宋体" w:eastAsia="宋体" w:cs="宋体"/>
                <w:color w:val="auto"/>
                <w:sz w:val="24"/>
                <w:szCs w:val="24"/>
                <w:highlight w:val="none"/>
                <w:lang w:val="en-US" w:eastAsia="zh-CN"/>
              </w:rPr>
              <w:t>合同或验收资料等佐证材料</w:t>
            </w:r>
            <w:r>
              <w:rPr>
                <w:rFonts w:ascii="宋体" w:hAnsi="宋体" w:eastAsia="宋体"/>
                <w:bCs/>
                <w:color w:val="auto"/>
                <w:sz w:val="24"/>
                <w:szCs w:val="24"/>
                <w:highlight w:val="none"/>
              </w:rPr>
              <w:t>，并加盖投标人公章。</w:t>
            </w:r>
          </w:p>
        </w:tc>
        <w:tc>
          <w:tcPr>
            <w:tcW w:w="0" w:type="auto"/>
            <w:tcBorders>
              <w:top w:val="single" w:color="auto" w:sz="4" w:space="0"/>
              <w:left w:val="nil"/>
              <w:bottom w:val="single" w:color="auto" w:sz="4" w:space="0"/>
              <w:right w:val="single" w:color="auto" w:sz="4" w:space="0"/>
            </w:tcBorders>
            <w:vAlign w:val="center"/>
          </w:tcPr>
          <w:p w14:paraId="0B684D38">
            <w:pPr>
              <w:rPr>
                <w:rFonts w:ascii="宋体" w:hAnsi="宋体" w:eastAsia="宋体"/>
                <w:bCs/>
                <w:color w:val="auto"/>
                <w:sz w:val="24"/>
                <w:szCs w:val="24"/>
                <w:highlight w:val="none"/>
              </w:rPr>
            </w:pPr>
            <w:r>
              <w:rPr>
                <w:rFonts w:hint="eastAsia" w:ascii="宋体" w:hAnsi="宋体" w:eastAsia="宋体"/>
                <w:bCs/>
                <w:color w:val="auto"/>
                <w:sz w:val="24"/>
                <w:szCs w:val="24"/>
                <w:highlight w:val="none"/>
                <w:lang w:eastAsia="zh-CN"/>
              </w:rPr>
              <w:t>客观分</w:t>
            </w:r>
          </w:p>
        </w:tc>
      </w:tr>
      <w:tr w14:paraId="72F7B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vMerge w:val="continue"/>
            <w:tcBorders>
              <w:top w:val="nil"/>
              <w:left w:val="single" w:color="auto" w:sz="4" w:space="0"/>
              <w:bottom w:val="single" w:color="auto" w:sz="4" w:space="0"/>
              <w:right w:val="single" w:color="auto" w:sz="4" w:space="0"/>
            </w:tcBorders>
            <w:vAlign w:val="center"/>
          </w:tcPr>
          <w:p w14:paraId="33AAC2E2">
            <w:pPr>
              <w:rPr>
                <w:rFonts w:ascii="宋体" w:hAnsi="宋体" w:eastAsia="宋体"/>
                <w:bCs/>
                <w:color w:val="auto"/>
                <w:sz w:val="24"/>
                <w:szCs w:val="24"/>
                <w:highlight w:val="none"/>
              </w:rPr>
            </w:pPr>
          </w:p>
        </w:tc>
        <w:tc>
          <w:tcPr>
            <w:tcW w:w="0" w:type="auto"/>
            <w:vMerge w:val="continue"/>
            <w:tcBorders>
              <w:top w:val="nil"/>
              <w:left w:val="nil"/>
              <w:bottom w:val="single" w:color="auto" w:sz="4" w:space="0"/>
              <w:right w:val="single" w:color="auto" w:sz="4" w:space="0"/>
            </w:tcBorders>
            <w:vAlign w:val="center"/>
          </w:tcPr>
          <w:p w14:paraId="39033264">
            <w:pPr>
              <w:rPr>
                <w:rFonts w:ascii="宋体" w:hAnsi="宋体" w:eastAsia="宋体"/>
                <w:bCs/>
                <w:color w:val="auto"/>
                <w:sz w:val="24"/>
                <w:szCs w:val="24"/>
                <w:highlight w:val="none"/>
              </w:rPr>
            </w:pPr>
          </w:p>
        </w:tc>
        <w:tc>
          <w:tcPr>
            <w:tcW w:w="0" w:type="auto"/>
            <w:vMerge w:val="continue"/>
            <w:tcBorders>
              <w:top w:val="nil"/>
              <w:left w:val="nil"/>
              <w:bottom w:val="single" w:color="auto" w:sz="4" w:space="0"/>
              <w:right w:val="single" w:color="auto" w:sz="4" w:space="0"/>
            </w:tcBorders>
            <w:vAlign w:val="center"/>
          </w:tcPr>
          <w:p w14:paraId="4AB0FB72">
            <w:pPr>
              <w:jc w:val="center"/>
              <w:rPr>
                <w:rFonts w:ascii="宋体" w:hAnsi="宋体" w:eastAsia="宋体"/>
                <w:bCs/>
                <w:color w:val="auto"/>
                <w:sz w:val="24"/>
                <w:szCs w:val="24"/>
                <w:highlight w:val="none"/>
              </w:rPr>
            </w:pPr>
          </w:p>
        </w:tc>
        <w:tc>
          <w:tcPr>
            <w:tcW w:w="0" w:type="auto"/>
            <w:tcBorders>
              <w:top w:val="single" w:color="auto" w:sz="4" w:space="0"/>
              <w:left w:val="nil"/>
              <w:bottom w:val="single" w:color="auto" w:sz="4" w:space="0"/>
              <w:right w:val="single" w:color="auto" w:sz="4" w:space="0"/>
            </w:tcBorders>
            <w:vAlign w:val="center"/>
          </w:tcPr>
          <w:p w14:paraId="02AB2B72">
            <w:pPr>
              <w:jc w:val="center"/>
              <w:rPr>
                <w:rFonts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3</w:t>
            </w:r>
            <w:r>
              <w:rPr>
                <w:rFonts w:ascii="宋体" w:hAnsi="宋体" w:eastAsia="宋体"/>
                <w:bCs/>
                <w:color w:val="auto"/>
                <w:sz w:val="24"/>
                <w:szCs w:val="24"/>
                <w:highlight w:val="none"/>
              </w:rPr>
              <w:t>分</w:t>
            </w:r>
          </w:p>
        </w:tc>
        <w:tc>
          <w:tcPr>
            <w:tcW w:w="0" w:type="auto"/>
            <w:tcBorders>
              <w:top w:val="single" w:color="auto" w:sz="4" w:space="0"/>
              <w:left w:val="nil"/>
              <w:bottom w:val="single" w:color="auto" w:sz="4" w:space="0"/>
              <w:right w:val="single" w:color="auto" w:sz="4" w:space="0"/>
            </w:tcBorders>
            <w:vAlign w:val="center"/>
          </w:tcPr>
          <w:p w14:paraId="55B846C1">
            <w:pPr>
              <w:rPr>
                <w:rFonts w:hint="eastAsia" w:ascii="宋体" w:hAnsi="宋体" w:eastAsia="宋体"/>
                <w:bCs/>
                <w:color w:val="auto"/>
                <w:sz w:val="24"/>
                <w:szCs w:val="24"/>
                <w:highlight w:val="none"/>
                <w:lang w:eastAsia="zh-CN"/>
              </w:rPr>
            </w:pPr>
            <w:r>
              <w:rPr>
                <w:rFonts w:ascii="宋体" w:hAnsi="宋体" w:eastAsia="宋体"/>
                <w:bCs/>
                <w:color w:val="auto"/>
                <w:sz w:val="24"/>
                <w:szCs w:val="24"/>
                <w:highlight w:val="none"/>
              </w:rPr>
              <w:t>投标人拟派技术负责人</w:t>
            </w:r>
            <w:r>
              <w:rPr>
                <w:rFonts w:hint="eastAsia" w:ascii="宋体" w:hAnsi="宋体" w:eastAsia="宋体"/>
                <w:bCs/>
                <w:color w:val="auto"/>
                <w:sz w:val="24"/>
                <w:szCs w:val="24"/>
                <w:highlight w:val="none"/>
                <w:lang w:val="en-US" w:eastAsia="zh-CN"/>
              </w:rPr>
              <w:t>（不得与项目经理为同一人）</w:t>
            </w:r>
            <w:r>
              <w:rPr>
                <w:rFonts w:ascii="宋体" w:hAnsi="宋体" w:eastAsia="宋体"/>
                <w:bCs/>
                <w:color w:val="auto"/>
                <w:sz w:val="24"/>
                <w:szCs w:val="24"/>
                <w:highlight w:val="none"/>
              </w:rPr>
              <w:t>具有</w:t>
            </w:r>
            <w:r>
              <w:rPr>
                <w:rFonts w:hint="eastAsia" w:ascii="宋体" w:hAnsi="宋体" w:eastAsia="宋体"/>
                <w:bCs/>
                <w:color w:val="auto"/>
                <w:sz w:val="24"/>
                <w:szCs w:val="24"/>
                <w:highlight w:val="none"/>
                <w:lang w:eastAsia="zh-CN"/>
              </w:rPr>
              <w:t>：</w:t>
            </w:r>
          </w:p>
          <w:p w14:paraId="2EB21597">
            <w:pPr>
              <w:rPr>
                <w:rFonts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1.具备高</w:t>
            </w:r>
            <w:r>
              <w:rPr>
                <w:rFonts w:ascii="宋体" w:hAnsi="宋体" w:eastAsia="宋体" w:cs="宋体"/>
                <w:color w:val="auto"/>
                <w:sz w:val="24"/>
                <w:szCs w:val="24"/>
              </w:rPr>
              <w:t>级</w:t>
            </w:r>
            <w:r>
              <w:rPr>
                <w:rFonts w:hint="eastAsia" w:ascii="宋体" w:hAnsi="宋体" w:eastAsia="宋体" w:cs="宋体"/>
                <w:color w:val="auto"/>
                <w:sz w:val="24"/>
                <w:szCs w:val="24"/>
                <w:lang w:val="en-US" w:eastAsia="zh-CN"/>
              </w:rPr>
              <w:t>职称证书：</w:t>
            </w:r>
            <w:r>
              <w:rPr>
                <w:rFonts w:ascii="宋体" w:hAnsi="宋体" w:eastAsia="宋体" w:cs="宋体"/>
                <w:color w:val="auto"/>
                <w:sz w:val="24"/>
                <w:szCs w:val="24"/>
              </w:rPr>
              <w:t>通信工程师（传输与接入</w:t>
            </w:r>
            <w:r>
              <w:rPr>
                <w:rFonts w:hint="eastAsia" w:ascii="宋体" w:hAnsi="宋体" w:eastAsia="宋体" w:cs="宋体"/>
                <w:color w:val="auto"/>
                <w:sz w:val="24"/>
                <w:szCs w:val="24"/>
                <w:lang w:val="en-US" w:eastAsia="zh-CN"/>
              </w:rPr>
              <w:t>或</w:t>
            </w:r>
            <w:r>
              <w:rPr>
                <w:rFonts w:ascii="宋体" w:hAnsi="宋体" w:eastAsia="宋体" w:cs="宋体"/>
                <w:color w:val="auto"/>
                <w:sz w:val="24"/>
                <w:szCs w:val="24"/>
              </w:rPr>
              <w:t>交换技术</w:t>
            </w:r>
            <w:r>
              <w:rPr>
                <w:rFonts w:hint="eastAsia" w:ascii="宋体" w:hAnsi="宋体" w:eastAsia="宋体" w:cs="宋体"/>
                <w:color w:val="auto"/>
                <w:sz w:val="24"/>
                <w:szCs w:val="24"/>
                <w:lang w:val="en-US" w:eastAsia="zh-CN"/>
              </w:rPr>
              <w:t>或</w:t>
            </w:r>
            <w:r>
              <w:rPr>
                <w:rFonts w:ascii="宋体" w:hAnsi="宋体" w:eastAsia="宋体" w:cs="宋体"/>
                <w:color w:val="auto"/>
                <w:sz w:val="24"/>
                <w:szCs w:val="24"/>
              </w:rPr>
              <w:t>互联网技术专业）</w:t>
            </w:r>
            <w:r>
              <w:rPr>
                <w:rFonts w:ascii="宋体" w:hAnsi="宋体" w:eastAsia="宋体" w:cs="宋体"/>
                <w:color w:val="auto"/>
                <w:sz w:val="24"/>
                <w:szCs w:val="24"/>
                <w:highlight w:val="none"/>
              </w:rPr>
              <w:t>，</w:t>
            </w:r>
            <w:r>
              <w:rPr>
                <w:rFonts w:hint="eastAsia" w:ascii="宋体" w:hAnsi="宋体" w:eastAsia="宋体"/>
                <w:bCs/>
                <w:color w:val="auto"/>
                <w:sz w:val="24"/>
                <w:szCs w:val="24"/>
                <w:highlight w:val="none"/>
              </w:rPr>
              <w:t>得</w:t>
            </w:r>
            <w:r>
              <w:rPr>
                <w:rFonts w:hint="eastAsia" w:ascii="宋体" w:hAnsi="宋体" w:eastAsia="宋体"/>
                <w:bCs/>
                <w:color w:val="auto"/>
                <w:sz w:val="24"/>
                <w:szCs w:val="24"/>
                <w:highlight w:val="none"/>
                <w:lang w:val="en-US" w:eastAsia="zh-CN"/>
              </w:rPr>
              <w:t>1</w:t>
            </w:r>
            <w:r>
              <w:rPr>
                <w:rFonts w:hint="eastAsia" w:ascii="宋体" w:hAnsi="宋体" w:eastAsia="宋体"/>
                <w:bCs/>
                <w:color w:val="auto"/>
                <w:sz w:val="24"/>
                <w:szCs w:val="24"/>
                <w:highlight w:val="none"/>
              </w:rPr>
              <w:t>分；</w:t>
            </w:r>
          </w:p>
          <w:p w14:paraId="35F72A42">
            <w:pPr>
              <w:rPr>
                <w:rFonts w:hint="default" w:ascii="宋体" w:hAnsi="宋体" w:eastAsia="宋体"/>
                <w:bCs/>
                <w:color w:val="auto"/>
                <w:sz w:val="24"/>
                <w:szCs w:val="24"/>
                <w:highlight w:val="none"/>
                <w:lang w:val="en-US" w:eastAsia="zh-CN"/>
              </w:rPr>
            </w:pPr>
            <w:r>
              <w:rPr>
                <w:rFonts w:hint="eastAsia" w:ascii="宋体" w:hAnsi="宋体" w:eastAsia="宋体"/>
                <w:bCs/>
                <w:color w:val="auto"/>
                <w:sz w:val="24"/>
                <w:szCs w:val="24"/>
                <w:highlight w:val="none"/>
                <w:lang w:val="en-US" w:eastAsia="zh-CN"/>
              </w:rPr>
              <w:t>2.</w:t>
            </w:r>
            <w:r>
              <w:rPr>
                <w:rFonts w:ascii="宋体" w:hAnsi="宋体" w:eastAsia="宋体"/>
                <w:bCs/>
                <w:color w:val="auto"/>
                <w:sz w:val="24"/>
                <w:szCs w:val="24"/>
                <w:highlight w:val="none"/>
              </w:rPr>
              <w:t>CISP注册信息安全专业人员</w:t>
            </w:r>
            <w:r>
              <w:rPr>
                <w:rFonts w:hint="eastAsia" w:ascii="宋体" w:hAnsi="宋体" w:eastAsia="宋体"/>
                <w:bCs/>
                <w:color w:val="auto"/>
                <w:sz w:val="24"/>
                <w:szCs w:val="24"/>
                <w:highlight w:val="none"/>
                <w:lang w:val="en-US" w:eastAsia="zh-CN"/>
              </w:rPr>
              <w:t>，得1分；</w:t>
            </w:r>
          </w:p>
          <w:p w14:paraId="488A2292">
            <w:pPr>
              <w:rPr>
                <w:color w:val="auto"/>
                <w:sz w:val="24"/>
                <w:szCs w:val="24"/>
                <w:highlight w:val="none"/>
              </w:rPr>
            </w:pPr>
            <w:r>
              <w:rPr>
                <w:rFonts w:hint="eastAsia" w:ascii="宋体" w:hAnsi="宋体" w:eastAsia="宋体"/>
                <w:bCs/>
                <w:color w:val="auto"/>
                <w:sz w:val="24"/>
                <w:szCs w:val="24"/>
                <w:highlight w:val="none"/>
                <w:lang w:val="en-US" w:eastAsia="zh-CN"/>
              </w:rPr>
              <w:t>3.</w:t>
            </w:r>
            <w:r>
              <w:rPr>
                <w:rFonts w:ascii="宋体" w:hAnsi="宋体" w:eastAsia="宋体"/>
                <w:bCs/>
                <w:color w:val="auto"/>
                <w:sz w:val="24"/>
                <w:szCs w:val="24"/>
                <w:highlight w:val="none"/>
              </w:rPr>
              <w:t>近3年以技术负责人身份</w:t>
            </w:r>
            <w:r>
              <w:rPr>
                <w:rFonts w:hint="eastAsia" w:ascii="宋体" w:hAnsi="宋体" w:eastAsia="宋体"/>
                <w:bCs/>
                <w:color w:val="auto"/>
                <w:sz w:val="24"/>
                <w:szCs w:val="24"/>
                <w:highlight w:val="none"/>
                <w:lang w:val="en-US" w:eastAsia="zh-CN"/>
              </w:rPr>
              <w:t>实施类似</w:t>
            </w:r>
            <w:r>
              <w:rPr>
                <w:color w:val="auto"/>
                <w:sz w:val="24"/>
                <w:szCs w:val="24"/>
                <w:highlight w:val="none"/>
              </w:rPr>
              <w:t>项目，得</w:t>
            </w:r>
            <w:r>
              <w:rPr>
                <w:rFonts w:hint="eastAsia"/>
                <w:color w:val="auto"/>
                <w:sz w:val="24"/>
                <w:szCs w:val="24"/>
                <w:highlight w:val="none"/>
                <w:lang w:val="en-US" w:eastAsia="zh-CN"/>
              </w:rPr>
              <w:t>1</w:t>
            </w:r>
            <w:r>
              <w:rPr>
                <w:color w:val="auto"/>
                <w:sz w:val="24"/>
                <w:szCs w:val="24"/>
                <w:highlight w:val="none"/>
              </w:rPr>
              <w:t>分。</w:t>
            </w:r>
          </w:p>
          <w:p w14:paraId="7BAE5E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每满足1项得1分，满分3分。</w:t>
            </w:r>
            <w:r>
              <w:rPr>
                <w:rFonts w:ascii="宋体" w:hAnsi="宋体" w:eastAsia="宋体"/>
                <w:bCs/>
                <w:color w:val="auto"/>
                <w:sz w:val="24"/>
                <w:szCs w:val="24"/>
                <w:highlight w:val="none"/>
              </w:rPr>
              <w:t>须提供证书复印件、</w:t>
            </w:r>
            <w:r>
              <w:rPr>
                <w:rFonts w:hint="eastAsia" w:ascii="宋体" w:hAnsi="宋体" w:eastAsia="宋体" w:cs="宋体"/>
                <w:color w:val="auto"/>
                <w:sz w:val="24"/>
                <w:szCs w:val="24"/>
                <w:highlight w:val="none"/>
                <w:lang w:val="en-US" w:eastAsia="zh-CN"/>
              </w:rPr>
              <w:t>合同或验收资料等佐证材料</w:t>
            </w:r>
            <w:r>
              <w:rPr>
                <w:rFonts w:ascii="宋体" w:hAnsi="宋体" w:eastAsia="宋体"/>
                <w:bCs/>
                <w:color w:val="auto"/>
                <w:sz w:val="24"/>
                <w:szCs w:val="24"/>
                <w:highlight w:val="none"/>
              </w:rPr>
              <w:t>，并加盖投标人公章。</w:t>
            </w:r>
          </w:p>
        </w:tc>
        <w:tc>
          <w:tcPr>
            <w:tcW w:w="0" w:type="auto"/>
            <w:tcBorders>
              <w:top w:val="single" w:color="auto" w:sz="4" w:space="0"/>
              <w:left w:val="nil"/>
              <w:bottom w:val="single" w:color="auto" w:sz="4" w:space="0"/>
              <w:right w:val="single" w:color="auto" w:sz="4" w:space="0"/>
            </w:tcBorders>
            <w:vAlign w:val="center"/>
          </w:tcPr>
          <w:p w14:paraId="5CB55D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宋体" w:hAnsi="宋体" w:eastAsia="宋体"/>
                <w:bCs/>
                <w:color w:val="auto"/>
                <w:sz w:val="24"/>
                <w:szCs w:val="24"/>
                <w:highlight w:val="none"/>
                <w:lang w:val="en-US" w:eastAsia="zh-CN"/>
              </w:rPr>
            </w:pPr>
            <w:r>
              <w:rPr>
                <w:rFonts w:hint="eastAsia" w:ascii="宋体" w:hAnsi="宋体" w:eastAsia="宋体"/>
                <w:bCs/>
                <w:color w:val="auto"/>
                <w:sz w:val="24"/>
                <w:szCs w:val="24"/>
                <w:highlight w:val="none"/>
                <w:lang w:eastAsia="zh-CN"/>
              </w:rPr>
              <w:t>客观分</w:t>
            </w:r>
          </w:p>
        </w:tc>
      </w:tr>
      <w:tr w14:paraId="0AE0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7" w:hRule="atLeast"/>
        </w:trPr>
        <w:tc>
          <w:tcPr>
            <w:tcW w:w="0" w:type="auto"/>
            <w:vMerge w:val="continue"/>
            <w:tcBorders>
              <w:top w:val="nil"/>
              <w:left w:val="single" w:color="auto" w:sz="4" w:space="0"/>
              <w:bottom w:val="single" w:color="auto" w:sz="4" w:space="0"/>
              <w:right w:val="single" w:color="auto" w:sz="4" w:space="0"/>
            </w:tcBorders>
            <w:vAlign w:val="center"/>
          </w:tcPr>
          <w:p w14:paraId="5331D58F">
            <w:pPr>
              <w:rPr>
                <w:rFonts w:ascii="宋体" w:hAnsi="宋体" w:eastAsia="宋体"/>
                <w:bCs/>
                <w:color w:val="auto"/>
                <w:sz w:val="24"/>
                <w:szCs w:val="24"/>
                <w:highlight w:val="none"/>
              </w:rPr>
            </w:pPr>
          </w:p>
        </w:tc>
        <w:tc>
          <w:tcPr>
            <w:tcW w:w="0" w:type="auto"/>
            <w:vMerge w:val="continue"/>
            <w:tcBorders>
              <w:top w:val="nil"/>
              <w:left w:val="nil"/>
              <w:bottom w:val="single" w:color="auto" w:sz="4" w:space="0"/>
              <w:right w:val="single" w:color="auto" w:sz="4" w:space="0"/>
            </w:tcBorders>
            <w:vAlign w:val="center"/>
          </w:tcPr>
          <w:p w14:paraId="39DAB214">
            <w:pPr>
              <w:rPr>
                <w:rFonts w:ascii="宋体" w:hAnsi="宋体" w:eastAsia="宋体"/>
                <w:bCs/>
                <w:color w:val="auto"/>
                <w:sz w:val="24"/>
                <w:szCs w:val="24"/>
                <w:highlight w:val="none"/>
              </w:rPr>
            </w:pPr>
          </w:p>
        </w:tc>
        <w:tc>
          <w:tcPr>
            <w:tcW w:w="0" w:type="auto"/>
            <w:vMerge w:val="continue"/>
            <w:tcBorders>
              <w:top w:val="nil"/>
              <w:left w:val="nil"/>
              <w:bottom w:val="single" w:color="auto" w:sz="4" w:space="0"/>
              <w:right w:val="single" w:color="auto" w:sz="4" w:space="0"/>
            </w:tcBorders>
            <w:vAlign w:val="center"/>
          </w:tcPr>
          <w:p w14:paraId="15EE8F05">
            <w:pPr>
              <w:jc w:val="center"/>
              <w:rPr>
                <w:rFonts w:ascii="宋体" w:hAnsi="宋体" w:eastAsia="宋体"/>
                <w:bCs/>
                <w:color w:val="auto"/>
                <w:sz w:val="24"/>
                <w:szCs w:val="24"/>
                <w:highlight w:val="none"/>
              </w:rPr>
            </w:pPr>
          </w:p>
        </w:tc>
        <w:tc>
          <w:tcPr>
            <w:tcW w:w="0" w:type="auto"/>
            <w:tcBorders>
              <w:top w:val="single" w:color="auto" w:sz="4" w:space="0"/>
              <w:left w:val="nil"/>
              <w:bottom w:val="single" w:color="auto" w:sz="4" w:space="0"/>
              <w:right w:val="single" w:color="auto" w:sz="4" w:space="0"/>
            </w:tcBorders>
            <w:vAlign w:val="center"/>
          </w:tcPr>
          <w:p w14:paraId="7BF17FEA">
            <w:pPr>
              <w:jc w:val="center"/>
              <w:rPr>
                <w:rFonts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4</w:t>
            </w:r>
            <w:r>
              <w:rPr>
                <w:rFonts w:ascii="宋体" w:hAnsi="宋体" w:eastAsia="宋体"/>
                <w:bCs/>
                <w:color w:val="auto"/>
                <w:sz w:val="24"/>
                <w:szCs w:val="24"/>
                <w:highlight w:val="none"/>
              </w:rPr>
              <w:t>分</w:t>
            </w:r>
          </w:p>
        </w:tc>
        <w:tc>
          <w:tcPr>
            <w:tcW w:w="0" w:type="auto"/>
            <w:tcBorders>
              <w:top w:val="single" w:color="auto" w:sz="4" w:space="0"/>
              <w:left w:val="nil"/>
              <w:bottom w:val="single" w:color="auto" w:sz="4" w:space="0"/>
              <w:right w:val="single" w:color="auto" w:sz="4" w:space="0"/>
            </w:tcBorders>
            <w:vAlign w:val="center"/>
          </w:tcPr>
          <w:p w14:paraId="7AC530AF">
            <w:pPr>
              <w:rPr>
                <w:rFonts w:ascii="宋体" w:hAnsi="宋体" w:eastAsia="宋体"/>
                <w:bCs/>
                <w:color w:val="auto"/>
                <w:sz w:val="24"/>
                <w:szCs w:val="24"/>
                <w:highlight w:val="none"/>
              </w:rPr>
            </w:pPr>
            <w:r>
              <w:rPr>
                <w:rFonts w:hint="eastAsia" w:ascii="宋体" w:hAnsi="宋体" w:eastAsia="宋体"/>
                <w:bCs/>
                <w:color w:val="auto"/>
                <w:sz w:val="24"/>
                <w:szCs w:val="24"/>
                <w:highlight w:val="none"/>
              </w:rPr>
              <w:t>投标人拟派本项目团队实施人员不少于4人（不含项目经理、技术负责人），团队实施人员须具备以下资质证书：高级通信工程师任职资格、系统架构设计师、网络工程师、注册信息安全专业人员</w:t>
            </w:r>
            <w:r>
              <w:rPr>
                <w:rFonts w:hint="eastAsia" w:ascii="宋体" w:hAnsi="宋体" w:eastAsia="宋体"/>
                <w:bCs/>
                <w:color w:val="auto"/>
                <w:sz w:val="24"/>
                <w:szCs w:val="24"/>
                <w:highlight w:val="none"/>
                <w:lang w:eastAsia="zh-CN"/>
              </w:rPr>
              <w:t>（</w:t>
            </w:r>
            <w:r>
              <w:rPr>
                <w:rFonts w:hint="eastAsia" w:ascii="宋体" w:hAnsi="宋体" w:eastAsia="宋体"/>
                <w:bCs/>
                <w:color w:val="auto"/>
                <w:sz w:val="24"/>
                <w:szCs w:val="24"/>
                <w:highlight w:val="none"/>
              </w:rPr>
              <w:t>CISP</w:t>
            </w:r>
            <w:r>
              <w:rPr>
                <w:rFonts w:hint="eastAsia" w:ascii="宋体" w:hAnsi="宋体" w:eastAsia="宋体"/>
                <w:bCs/>
                <w:color w:val="auto"/>
                <w:sz w:val="24"/>
                <w:szCs w:val="24"/>
                <w:highlight w:val="none"/>
                <w:lang w:eastAsia="zh-CN"/>
              </w:rPr>
              <w:t>）</w:t>
            </w:r>
            <w:r>
              <w:rPr>
                <w:rFonts w:hint="eastAsia" w:ascii="宋体" w:hAnsi="宋体" w:eastAsia="宋体"/>
                <w:bCs/>
                <w:color w:val="auto"/>
                <w:sz w:val="24"/>
                <w:szCs w:val="24"/>
                <w:highlight w:val="none"/>
              </w:rPr>
              <w:t>，每</w:t>
            </w:r>
            <w:r>
              <w:rPr>
                <w:rFonts w:hint="eastAsia" w:ascii="宋体" w:hAnsi="宋体" w:eastAsia="宋体"/>
                <w:bCs/>
                <w:color w:val="auto"/>
                <w:sz w:val="24"/>
                <w:szCs w:val="24"/>
                <w:highlight w:val="none"/>
                <w:lang w:val="en-US" w:eastAsia="zh-CN"/>
              </w:rPr>
              <w:t>提供</w:t>
            </w:r>
            <w:r>
              <w:rPr>
                <w:rFonts w:hint="eastAsia" w:ascii="宋体" w:hAnsi="宋体" w:eastAsia="宋体"/>
                <w:bCs/>
                <w:color w:val="auto"/>
                <w:sz w:val="24"/>
                <w:szCs w:val="24"/>
                <w:highlight w:val="none"/>
              </w:rPr>
              <w:t>一项证书</w:t>
            </w:r>
            <w:r>
              <w:rPr>
                <w:rFonts w:hint="eastAsia" w:ascii="宋体" w:hAnsi="宋体" w:eastAsia="宋体"/>
                <w:bCs/>
                <w:color w:val="auto"/>
                <w:sz w:val="24"/>
                <w:szCs w:val="24"/>
                <w:highlight w:val="none"/>
                <w:lang w:val="en-US" w:eastAsia="zh-CN"/>
              </w:rPr>
              <w:t>得1</w:t>
            </w:r>
            <w:r>
              <w:rPr>
                <w:rFonts w:hint="eastAsia" w:ascii="宋体" w:hAnsi="宋体" w:eastAsia="宋体"/>
                <w:bCs/>
                <w:color w:val="auto"/>
                <w:sz w:val="24"/>
                <w:szCs w:val="24"/>
                <w:highlight w:val="none"/>
              </w:rPr>
              <w:t>分，满分</w:t>
            </w:r>
            <w:r>
              <w:rPr>
                <w:rFonts w:hint="eastAsia" w:ascii="宋体" w:hAnsi="宋体" w:eastAsia="宋体"/>
                <w:bCs/>
                <w:color w:val="auto"/>
                <w:sz w:val="24"/>
                <w:szCs w:val="24"/>
                <w:highlight w:val="none"/>
                <w:lang w:val="en-US" w:eastAsia="zh-CN"/>
              </w:rPr>
              <w:t>4</w:t>
            </w:r>
            <w:r>
              <w:rPr>
                <w:rFonts w:hint="eastAsia" w:ascii="宋体" w:hAnsi="宋体" w:eastAsia="宋体"/>
                <w:bCs/>
                <w:color w:val="auto"/>
                <w:sz w:val="24"/>
                <w:szCs w:val="24"/>
                <w:highlight w:val="none"/>
              </w:rPr>
              <w:t>分。</w:t>
            </w:r>
            <w:r>
              <w:rPr>
                <w:rFonts w:hint="eastAsia" w:ascii="宋体" w:hAnsi="宋体" w:eastAsia="宋体"/>
                <w:bCs/>
                <w:color w:val="auto"/>
                <w:sz w:val="24"/>
                <w:szCs w:val="24"/>
                <w:highlight w:val="none"/>
                <w:lang w:val="en-US" w:eastAsia="zh-CN"/>
              </w:rPr>
              <w:t>（提供人员名单（格式自拟）、人员合格有效的证书复印件以及人员与投标人签订的劳动合同并加盖投标人公章；同一人员具有不同类别证书或多个人员具有同一类别证书，不重复计分）</w:t>
            </w:r>
          </w:p>
        </w:tc>
        <w:tc>
          <w:tcPr>
            <w:tcW w:w="0" w:type="auto"/>
            <w:tcBorders>
              <w:top w:val="single" w:color="auto" w:sz="4" w:space="0"/>
              <w:left w:val="nil"/>
              <w:bottom w:val="single" w:color="auto" w:sz="4" w:space="0"/>
              <w:right w:val="single" w:color="auto" w:sz="4" w:space="0"/>
            </w:tcBorders>
            <w:vAlign w:val="center"/>
          </w:tcPr>
          <w:p w14:paraId="3CFDB870">
            <w:pPr>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lang w:eastAsia="zh-CN"/>
              </w:rPr>
              <w:t>客观分</w:t>
            </w:r>
          </w:p>
        </w:tc>
      </w:tr>
      <w:tr w14:paraId="7916A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trPr>
        <w:tc>
          <w:tcPr>
            <w:tcW w:w="0" w:type="auto"/>
            <w:vMerge w:val="restart"/>
            <w:tcBorders>
              <w:top w:val="nil"/>
              <w:left w:val="single" w:color="auto" w:sz="4" w:space="0"/>
              <w:bottom w:val="single" w:color="auto" w:sz="4" w:space="0"/>
              <w:right w:val="single" w:color="auto" w:sz="4" w:space="0"/>
            </w:tcBorders>
            <w:vAlign w:val="center"/>
          </w:tcPr>
          <w:p w14:paraId="1592F87D">
            <w:pPr>
              <w:jc w:val="center"/>
              <w:rPr>
                <w:rFonts w:ascii="宋体" w:hAnsi="宋体" w:eastAsia="宋体"/>
                <w:bCs/>
                <w:color w:val="auto"/>
                <w:sz w:val="24"/>
                <w:szCs w:val="24"/>
                <w:highlight w:val="none"/>
              </w:rPr>
            </w:pPr>
            <w:r>
              <w:rPr>
                <w:rFonts w:ascii="宋体" w:hAnsi="宋体" w:eastAsia="宋体"/>
                <w:bCs/>
                <w:color w:val="auto"/>
                <w:sz w:val="24"/>
                <w:szCs w:val="24"/>
                <w:highlight w:val="none"/>
              </w:rPr>
              <w:t>技术</w:t>
            </w:r>
          </w:p>
          <w:p w14:paraId="42539712">
            <w:pPr>
              <w:jc w:val="center"/>
              <w:rPr>
                <w:rFonts w:ascii="宋体" w:hAnsi="宋体" w:eastAsia="宋体"/>
                <w:bCs/>
                <w:color w:val="auto"/>
                <w:sz w:val="24"/>
                <w:szCs w:val="24"/>
                <w:highlight w:val="none"/>
              </w:rPr>
            </w:pPr>
            <w:r>
              <w:rPr>
                <w:rFonts w:ascii="宋体" w:hAnsi="宋体" w:eastAsia="宋体"/>
                <w:bCs/>
                <w:color w:val="auto"/>
                <w:sz w:val="24"/>
                <w:szCs w:val="24"/>
                <w:highlight w:val="none"/>
              </w:rPr>
              <w:t>部分</w:t>
            </w:r>
          </w:p>
          <w:p w14:paraId="1BD76834">
            <w:pPr>
              <w:jc w:val="center"/>
              <w:rPr>
                <w:rFonts w:ascii="宋体" w:hAnsi="宋体" w:eastAsia="宋体"/>
                <w:bCs/>
                <w:color w:val="auto"/>
                <w:sz w:val="24"/>
                <w:szCs w:val="24"/>
                <w:highlight w:val="none"/>
              </w:rPr>
            </w:pPr>
          </w:p>
        </w:tc>
        <w:tc>
          <w:tcPr>
            <w:tcW w:w="0" w:type="auto"/>
            <w:vMerge w:val="restart"/>
            <w:tcBorders>
              <w:top w:val="nil"/>
              <w:left w:val="nil"/>
              <w:bottom w:val="single" w:color="auto" w:sz="4" w:space="0"/>
              <w:right w:val="single" w:color="auto" w:sz="4" w:space="0"/>
            </w:tcBorders>
            <w:vAlign w:val="center"/>
          </w:tcPr>
          <w:p w14:paraId="31C5647D">
            <w:pPr>
              <w:jc w:val="center"/>
              <w:rPr>
                <w:rFonts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53</w:t>
            </w:r>
            <w:r>
              <w:rPr>
                <w:rFonts w:ascii="宋体" w:hAnsi="宋体" w:eastAsia="宋体"/>
                <w:bCs/>
                <w:color w:val="auto"/>
                <w:sz w:val="24"/>
                <w:szCs w:val="24"/>
                <w:highlight w:val="none"/>
              </w:rPr>
              <w:t>分</w:t>
            </w:r>
          </w:p>
        </w:tc>
        <w:tc>
          <w:tcPr>
            <w:tcW w:w="0" w:type="auto"/>
            <w:tcBorders>
              <w:top w:val="nil"/>
              <w:left w:val="nil"/>
              <w:bottom w:val="single" w:color="auto" w:sz="4" w:space="0"/>
              <w:right w:val="single" w:color="auto" w:sz="4" w:space="0"/>
            </w:tcBorders>
            <w:vAlign w:val="center"/>
          </w:tcPr>
          <w:p w14:paraId="7CACE1D4">
            <w:pPr>
              <w:jc w:val="center"/>
              <w:rPr>
                <w:rFonts w:ascii="宋体" w:hAnsi="宋体" w:eastAsia="宋体"/>
                <w:bCs/>
                <w:color w:val="auto"/>
                <w:sz w:val="24"/>
                <w:szCs w:val="24"/>
                <w:highlight w:val="none"/>
              </w:rPr>
            </w:pPr>
            <w:r>
              <w:rPr>
                <w:rFonts w:ascii="宋体" w:hAnsi="宋体" w:eastAsia="宋体"/>
                <w:bCs/>
                <w:color w:val="auto"/>
                <w:sz w:val="24"/>
                <w:szCs w:val="24"/>
                <w:highlight w:val="none"/>
              </w:rPr>
              <w:t>服务技术响应程度</w:t>
            </w:r>
          </w:p>
        </w:tc>
        <w:tc>
          <w:tcPr>
            <w:tcW w:w="0" w:type="auto"/>
            <w:tcBorders>
              <w:top w:val="single" w:color="auto" w:sz="4" w:space="0"/>
              <w:left w:val="nil"/>
              <w:bottom w:val="single" w:color="auto" w:sz="4" w:space="0"/>
              <w:right w:val="single" w:color="auto" w:sz="4" w:space="0"/>
            </w:tcBorders>
            <w:vAlign w:val="center"/>
          </w:tcPr>
          <w:p w14:paraId="0F607ABA">
            <w:pPr>
              <w:jc w:val="center"/>
              <w:rPr>
                <w:rFonts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38</w:t>
            </w:r>
            <w:r>
              <w:rPr>
                <w:rFonts w:ascii="宋体" w:hAnsi="宋体" w:eastAsia="宋体"/>
                <w:bCs/>
                <w:color w:val="auto"/>
                <w:sz w:val="24"/>
                <w:szCs w:val="24"/>
                <w:highlight w:val="none"/>
              </w:rPr>
              <w:t>分</w:t>
            </w:r>
          </w:p>
        </w:tc>
        <w:tc>
          <w:tcPr>
            <w:tcW w:w="0" w:type="auto"/>
            <w:tcBorders>
              <w:top w:val="single" w:color="auto" w:sz="4" w:space="0"/>
              <w:left w:val="nil"/>
              <w:bottom w:val="single" w:color="auto" w:sz="4" w:space="0"/>
              <w:right w:val="single" w:color="auto" w:sz="4" w:space="0"/>
            </w:tcBorders>
            <w:vAlign w:val="center"/>
          </w:tcPr>
          <w:p w14:paraId="66B63DF2">
            <w:pPr>
              <w:keepNext w:val="0"/>
              <w:keepLines w:val="0"/>
              <w:widowControl/>
              <w:suppressLineNumbers w:val="0"/>
              <w:jc w:val="left"/>
              <w:rPr>
                <w:color w:val="auto"/>
                <w:highlight w:val="none"/>
              </w:rPr>
            </w:pPr>
            <w:r>
              <w:rPr>
                <w:rFonts w:ascii="宋体" w:hAnsi="宋体" w:eastAsia="宋体"/>
                <w:bCs/>
                <w:color w:val="auto"/>
                <w:sz w:val="24"/>
                <w:szCs w:val="24"/>
                <w:highlight w:val="none"/>
              </w:rPr>
              <w:t>根据应答人对服务技术指标的应答情况</w:t>
            </w:r>
            <w:r>
              <w:rPr>
                <w:rFonts w:hint="eastAsia" w:ascii="宋体" w:hAnsi="宋体" w:eastAsia="宋体" w:cs="宋体"/>
                <w:color w:val="auto"/>
                <w:kern w:val="0"/>
                <w:sz w:val="24"/>
                <w:szCs w:val="24"/>
                <w:highlight w:val="none"/>
                <w:lang w:val="en-US" w:eastAsia="zh-CN" w:bidi="ar"/>
              </w:rPr>
              <w:t xml:space="preserve">进行逐条核实评分： </w:t>
            </w:r>
          </w:p>
          <w:p w14:paraId="2CDCF7CC">
            <w:pPr>
              <w:keepNext w:val="0"/>
              <w:keepLines w:val="0"/>
              <w:widowControl/>
              <w:suppressLineNumbers w:val="0"/>
              <w:jc w:val="left"/>
              <w:rPr>
                <w:color w:val="auto"/>
                <w:highlight w:val="none"/>
              </w:rPr>
            </w:pPr>
            <w:r>
              <w:rPr>
                <w:rFonts w:hint="eastAsia" w:ascii="宋体" w:hAnsi="宋体" w:eastAsia="宋体" w:cs="宋体"/>
                <w:color w:val="auto"/>
                <w:kern w:val="0"/>
                <w:sz w:val="24"/>
                <w:szCs w:val="24"/>
                <w:highlight w:val="none"/>
                <w:lang w:val="en-US" w:eastAsia="zh-CN" w:bidi="ar"/>
              </w:rPr>
              <w:t>（1）标注“▲”为重要技术参数（共计7项），每有1项不满足，扣2分；</w:t>
            </w:r>
          </w:p>
          <w:p w14:paraId="10D52264">
            <w:pPr>
              <w:keepNext w:val="0"/>
              <w:keepLines w:val="0"/>
              <w:widowControl/>
              <w:suppressLineNumbers w:val="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（2）无标识的为一般性条款，每有1项不满足扣1.5分，扣完为止；</w:t>
            </w:r>
          </w:p>
          <w:p w14:paraId="4FE16F9C">
            <w:pPr>
              <w:keepNext w:val="0"/>
              <w:keepLines w:val="0"/>
              <w:widowControl/>
              <w:suppressLineNumbers w:val="0"/>
              <w:jc w:val="left"/>
              <w:rPr>
                <w:rFonts w:ascii="宋体" w:hAnsi="宋体" w:eastAsia="宋体"/>
                <w:bCs/>
                <w:color w:val="auto"/>
                <w:sz w:val="24"/>
                <w:szCs w:val="24"/>
                <w:highlight w:val="none"/>
              </w:rPr>
            </w:pPr>
            <w:r>
              <w:rPr>
                <w:rFonts w:hint="eastAsia" w:ascii="宋体" w:hAnsi="宋体" w:eastAsia="宋体" w:cs="宋体"/>
                <w:color w:val="auto"/>
                <w:kern w:val="0"/>
                <w:sz w:val="24"/>
                <w:szCs w:val="24"/>
                <w:highlight w:val="none"/>
                <w:lang w:val="en-US" w:eastAsia="zh-CN" w:bidi="ar"/>
              </w:rPr>
              <w:t>以上参数须提供相关证明材料，未提供不得分。</w:t>
            </w:r>
          </w:p>
        </w:tc>
        <w:tc>
          <w:tcPr>
            <w:tcW w:w="0" w:type="auto"/>
            <w:tcBorders>
              <w:top w:val="single" w:color="auto" w:sz="4" w:space="0"/>
              <w:left w:val="nil"/>
              <w:bottom w:val="single" w:color="auto" w:sz="4" w:space="0"/>
              <w:right w:val="single" w:color="auto" w:sz="4" w:space="0"/>
            </w:tcBorders>
            <w:vAlign w:val="center"/>
          </w:tcPr>
          <w:p w14:paraId="693A73EF">
            <w:pPr>
              <w:keepNext w:val="0"/>
              <w:keepLines w:val="0"/>
              <w:widowControl/>
              <w:suppressLineNumbers w:val="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bCs/>
                <w:color w:val="auto"/>
                <w:sz w:val="24"/>
                <w:szCs w:val="24"/>
                <w:highlight w:val="none"/>
                <w:lang w:eastAsia="zh-CN"/>
              </w:rPr>
              <w:t>客观分</w:t>
            </w:r>
          </w:p>
        </w:tc>
      </w:tr>
      <w:tr w14:paraId="6AAB9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0" w:type="auto"/>
            <w:vMerge w:val="continue"/>
            <w:tcBorders>
              <w:top w:val="nil"/>
              <w:left w:val="single" w:color="auto" w:sz="4" w:space="0"/>
              <w:bottom w:val="single" w:color="auto" w:sz="4" w:space="0"/>
              <w:right w:val="single" w:color="auto" w:sz="4" w:space="0"/>
            </w:tcBorders>
            <w:vAlign w:val="center"/>
          </w:tcPr>
          <w:p w14:paraId="5228539F">
            <w:pPr>
              <w:rPr>
                <w:rFonts w:ascii="宋体" w:hAnsi="宋体" w:eastAsia="宋体"/>
                <w:bCs/>
                <w:color w:val="auto"/>
                <w:sz w:val="24"/>
                <w:szCs w:val="24"/>
                <w:highlight w:val="none"/>
              </w:rPr>
            </w:pPr>
          </w:p>
        </w:tc>
        <w:tc>
          <w:tcPr>
            <w:tcW w:w="0" w:type="auto"/>
            <w:vMerge w:val="continue"/>
            <w:tcBorders>
              <w:top w:val="nil"/>
              <w:left w:val="nil"/>
              <w:bottom w:val="single" w:color="auto" w:sz="4" w:space="0"/>
              <w:right w:val="single" w:color="auto" w:sz="4" w:space="0"/>
            </w:tcBorders>
            <w:vAlign w:val="center"/>
          </w:tcPr>
          <w:p w14:paraId="701CEF0C">
            <w:pPr>
              <w:rPr>
                <w:rFonts w:ascii="宋体" w:hAnsi="宋体" w:eastAsia="宋体"/>
                <w:bCs/>
                <w:color w:val="auto"/>
                <w:sz w:val="24"/>
                <w:szCs w:val="24"/>
                <w:highlight w:val="none"/>
              </w:rPr>
            </w:pPr>
          </w:p>
        </w:tc>
        <w:tc>
          <w:tcPr>
            <w:tcW w:w="0" w:type="auto"/>
            <w:tcBorders>
              <w:top w:val="single" w:color="auto" w:sz="4" w:space="0"/>
              <w:left w:val="nil"/>
              <w:bottom w:val="single" w:color="auto" w:sz="4" w:space="0"/>
              <w:right w:val="single" w:color="auto" w:sz="4" w:space="0"/>
            </w:tcBorders>
            <w:vAlign w:val="center"/>
          </w:tcPr>
          <w:p w14:paraId="210B9BF8">
            <w:pPr>
              <w:jc w:val="center"/>
              <w:rPr>
                <w:rFonts w:ascii="宋体" w:hAnsi="宋体" w:eastAsia="宋体"/>
                <w:bCs/>
                <w:color w:val="auto"/>
                <w:sz w:val="24"/>
                <w:szCs w:val="24"/>
                <w:highlight w:val="none"/>
              </w:rPr>
            </w:pPr>
            <w:r>
              <w:rPr>
                <w:rFonts w:ascii="宋体" w:hAnsi="宋体" w:eastAsia="宋体"/>
                <w:bCs/>
                <w:color w:val="auto"/>
                <w:sz w:val="24"/>
                <w:szCs w:val="24"/>
                <w:highlight w:val="none"/>
              </w:rPr>
              <w:t>服务承诺</w:t>
            </w:r>
          </w:p>
        </w:tc>
        <w:tc>
          <w:tcPr>
            <w:tcW w:w="0" w:type="auto"/>
            <w:tcBorders>
              <w:top w:val="single" w:color="auto" w:sz="4" w:space="0"/>
              <w:left w:val="nil"/>
              <w:bottom w:val="single" w:color="auto" w:sz="4" w:space="0"/>
              <w:right w:val="single" w:color="auto" w:sz="4" w:space="0"/>
            </w:tcBorders>
            <w:vAlign w:val="center"/>
          </w:tcPr>
          <w:p w14:paraId="556B2F44">
            <w:pPr>
              <w:jc w:val="center"/>
              <w:rPr>
                <w:rFonts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2</w:t>
            </w:r>
            <w:r>
              <w:rPr>
                <w:rFonts w:ascii="宋体" w:hAnsi="宋体" w:eastAsia="宋体"/>
                <w:bCs/>
                <w:color w:val="auto"/>
                <w:sz w:val="24"/>
                <w:szCs w:val="24"/>
                <w:highlight w:val="none"/>
              </w:rPr>
              <w:t>分</w:t>
            </w:r>
          </w:p>
        </w:tc>
        <w:tc>
          <w:tcPr>
            <w:tcW w:w="0" w:type="auto"/>
            <w:tcBorders>
              <w:top w:val="single" w:color="auto" w:sz="4" w:space="0"/>
              <w:left w:val="nil"/>
              <w:bottom w:val="single" w:color="auto" w:sz="4" w:space="0"/>
              <w:right w:val="single" w:color="auto" w:sz="4" w:space="0"/>
            </w:tcBorders>
            <w:vAlign w:val="center"/>
          </w:tcPr>
          <w:p w14:paraId="0C012A0F">
            <w:pPr>
              <w:rPr>
                <w:rFonts w:ascii="宋体" w:hAnsi="宋体" w:eastAsia="宋体"/>
                <w:bCs/>
                <w:color w:val="auto"/>
                <w:sz w:val="24"/>
                <w:szCs w:val="24"/>
                <w:highlight w:val="none"/>
              </w:rPr>
            </w:pPr>
            <w:r>
              <w:rPr>
                <w:rFonts w:ascii="宋体" w:hAnsi="宋体" w:eastAsia="宋体"/>
                <w:bCs/>
                <w:color w:val="auto"/>
                <w:sz w:val="24"/>
                <w:szCs w:val="24"/>
                <w:highlight w:val="none"/>
              </w:rPr>
              <w:t>在满足招标文件</w:t>
            </w:r>
            <w:r>
              <w:rPr>
                <w:rFonts w:hint="eastAsia" w:ascii="宋体" w:hAnsi="宋体" w:eastAsia="宋体"/>
                <w:bCs/>
                <w:color w:val="auto"/>
                <w:sz w:val="24"/>
                <w:szCs w:val="24"/>
                <w:highlight w:val="none"/>
                <w:lang w:val="en-US" w:eastAsia="zh-CN"/>
              </w:rPr>
              <w:t>项目</w:t>
            </w:r>
            <w:r>
              <w:rPr>
                <w:rFonts w:ascii="宋体" w:hAnsi="宋体" w:eastAsia="宋体"/>
                <w:bCs/>
                <w:color w:val="auto"/>
                <w:sz w:val="24"/>
                <w:szCs w:val="24"/>
                <w:highlight w:val="none"/>
              </w:rPr>
              <w:t>交付时间的基础上，</w:t>
            </w:r>
            <w:r>
              <w:rPr>
                <w:rFonts w:hint="eastAsia" w:ascii="宋体" w:hAnsi="宋体" w:eastAsia="宋体"/>
                <w:bCs/>
                <w:color w:val="auto"/>
                <w:sz w:val="24"/>
                <w:szCs w:val="24"/>
                <w:highlight w:val="none"/>
                <w:lang w:val="en-US" w:eastAsia="zh-CN"/>
              </w:rPr>
              <w:t>项目整体</w:t>
            </w:r>
            <w:r>
              <w:rPr>
                <w:rFonts w:hint="eastAsia" w:ascii="宋体" w:hAnsi="宋体" w:eastAsia="宋体"/>
                <w:bCs/>
                <w:color w:val="auto"/>
                <w:sz w:val="24"/>
                <w:szCs w:val="24"/>
                <w:highlight w:val="none"/>
                <w:lang w:eastAsia="zh-CN"/>
              </w:rPr>
              <w:t>承诺</w:t>
            </w:r>
            <w:r>
              <w:rPr>
                <w:rFonts w:ascii="宋体" w:hAnsi="宋体" w:eastAsia="宋体"/>
                <w:bCs/>
                <w:color w:val="auto"/>
                <w:sz w:val="24"/>
                <w:szCs w:val="24"/>
                <w:highlight w:val="none"/>
              </w:rPr>
              <w:t>每提前4天（日历日）</w:t>
            </w:r>
            <w:r>
              <w:rPr>
                <w:rFonts w:hint="eastAsia" w:ascii="宋体" w:hAnsi="宋体" w:eastAsia="宋体"/>
                <w:bCs/>
                <w:color w:val="auto"/>
                <w:sz w:val="24"/>
                <w:szCs w:val="24"/>
                <w:highlight w:val="none"/>
                <w:lang w:eastAsia="zh-CN"/>
              </w:rPr>
              <w:t>交付</w:t>
            </w:r>
            <w:r>
              <w:rPr>
                <w:rFonts w:ascii="宋体" w:hAnsi="宋体" w:eastAsia="宋体"/>
                <w:bCs/>
                <w:color w:val="auto"/>
                <w:sz w:val="24"/>
                <w:szCs w:val="24"/>
                <w:highlight w:val="none"/>
              </w:rPr>
              <w:t>加</w:t>
            </w:r>
            <w:r>
              <w:rPr>
                <w:rFonts w:hint="eastAsia" w:ascii="宋体" w:hAnsi="宋体" w:eastAsia="宋体"/>
                <w:bCs/>
                <w:color w:val="auto"/>
                <w:sz w:val="24"/>
                <w:szCs w:val="24"/>
                <w:highlight w:val="none"/>
                <w:lang w:val="en-US" w:eastAsia="zh-CN"/>
              </w:rPr>
              <w:t>0.5</w:t>
            </w:r>
            <w:r>
              <w:rPr>
                <w:rFonts w:ascii="宋体" w:hAnsi="宋体" w:eastAsia="宋体"/>
                <w:bCs/>
                <w:color w:val="auto"/>
                <w:sz w:val="24"/>
                <w:szCs w:val="24"/>
                <w:highlight w:val="none"/>
              </w:rPr>
              <w:t>分，最多加</w:t>
            </w:r>
            <w:r>
              <w:rPr>
                <w:rFonts w:hint="eastAsia" w:ascii="宋体" w:hAnsi="宋体" w:eastAsia="宋体"/>
                <w:bCs/>
                <w:color w:val="auto"/>
                <w:sz w:val="24"/>
                <w:szCs w:val="24"/>
                <w:highlight w:val="none"/>
                <w:lang w:val="en-US" w:eastAsia="zh-CN"/>
              </w:rPr>
              <w:t>2</w:t>
            </w:r>
            <w:r>
              <w:rPr>
                <w:rFonts w:ascii="宋体" w:hAnsi="宋体" w:eastAsia="宋体"/>
                <w:bCs/>
                <w:color w:val="auto"/>
                <w:sz w:val="24"/>
                <w:szCs w:val="24"/>
                <w:highlight w:val="none"/>
              </w:rPr>
              <w:t>分。提供承诺书，未提供不得分。</w:t>
            </w:r>
          </w:p>
        </w:tc>
        <w:tc>
          <w:tcPr>
            <w:tcW w:w="0" w:type="auto"/>
            <w:tcBorders>
              <w:top w:val="single" w:color="auto" w:sz="4" w:space="0"/>
              <w:left w:val="nil"/>
              <w:bottom w:val="single" w:color="auto" w:sz="4" w:space="0"/>
              <w:right w:val="single" w:color="auto" w:sz="4" w:space="0"/>
            </w:tcBorders>
            <w:vAlign w:val="center"/>
          </w:tcPr>
          <w:p w14:paraId="719C7B28">
            <w:pPr>
              <w:rPr>
                <w:rFonts w:ascii="宋体" w:hAnsi="宋体" w:eastAsia="宋体"/>
                <w:bCs/>
                <w:color w:val="auto"/>
                <w:sz w:val="24"/>
                <w:szCs w:val="24"/>
                <w:highlight w:val="none"/>
              </w:rPr>
            </w:pPr>
            <w:r>
              <w:rPr>
                <w:rFonts w:hint="eastAsia" w:ascii="宋体" w:hAnsi="宋体" w:eastAsia="宋体"/>
                <w:bCs/>
                <w:color w:val="auto"/>
                <w:sz w:val="24"/>
                <w:szCs w:val="24"/>
                <w:highlight w:val="none"/>
                <w:lang w:eastAsia="zh-CN"/>
              </w:rPr>
              <w:t>客观分</w:t>
            </w:r>
          </w:p>
        </w:tc>
      </w:tr>
      <w:tr w14:paraId="1D9BA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0" w:type="auto"/>
            <w:vMerge w:val="continue"/>
            <w:tcBorders>
              <w:top w:val="nil"/>
              <w:left w:val="single" w:color="auto" w:sz="4" w:space="0"/>
              <w:bottom w:val="single" w:color="auto" w:sz="4" w:space="0"/>
              <w:right w:val="single" w:color="auto" w:sz="4" w:space="0"/>
            </w:tcBorders>
            <w:vAlign w:val="center"/>
          </w:tcPr>
          <w:p w14:paraId="472871C0">
            <w:pPr>
              <w:rPr>
                <w:rFonts w:ascii="宋体" w:hAnsi="宋体" w:eastAsia="宋体"/>
                <w:bCs/>
                <w:color w:val="auto"/>
                <w:sz w:val="24"/>
                <w:szCs w:val="24"/>
                <w:highlight w:val="none"/>
              </w:rPr>
            </w:pPr>
          </w:p>
        </w:tc>
        <w:tc>
          <w:tcPr>
            <w:tcW w:w="0" w:type="auto"/>
            <w:vMerge w:val="continue"/>
            <w:tcBorders>
              <w:top w:val="nil"/>
              <w:left w:val="nil"/>
              <w:bottom w:val="single" w:color="auto" w:sz="4" w:space="0"/>
              <w:right w:val="single" w:color="auto" w:sz="4" w:space="0"/>
            </w:tcBorders>
            <w:vAlign w:val="center"/>
          </w:tcPr>
          <w:p w14:paraId="75A0B92D">
            <w:pPr>
              <w:rPr>
                <w:rFonts w:ascii="宋体" w:hAnsi="宋体" w:eastAsia="宋体"/>
                <w:bCs/>
                <w:color w:val="auto"/>
                <w:sz w:val="24"/>
                <w:szCs w:val="24"/>
                <w:highlight w:val="none"/>
              </w:rPr>
            </w:pPr>
          </w:p>
        </w:tc>
        <w:tc>
          <w:tcPr>
            <w:tcW w:w="0" w:type="auto"/>
            <w:tcBorders>
              <w:top w:val="single" w:color="auto" w:sz="4" w:space="0"/>
              <w:left w:val="nil"/>
              <w:bottom w:val="single" w:color="auto" w:sz="4" w:space="0"/>
              <w:right w:val="single" w:color="auto" w:sz="4" w:space="0"/>
            </w:tcBorders>
            <w:vAlign w:val="center"/>
          </w:tcPr>
          <w:p w14:paraId="31ECD8CD">
            <w:pPr>
              <w:jc w:val="center"/>
              <w:rPr>
                <w:rFonts w:ascii="宋体" w:hAnsi="宋体" w:eastAsia="宋体"/>
                <w:bCs/>
                <w:color w:val="auto"/>
                <w:sz w:val="24"/>
                <w:szCs w:val="24"/>
                <w:highlight w:val="none"/>
              </w:rPr>
            </w:pPr>
            <w:r>
              <w:rPr>
                <w:rFonts w:ascii="宋体" w:hAnsi="宋体" w:eastAsia="宋体"/>
                <w:bCs/>
                <w:color w:val="auto"/>
                <w:sz w:val="24"/>
                <w:szCs w:val="24"/>
                <w:highlight w:val="none"/>
              </w:rPr>
              <w:t>割接方案</w:t>
            </w:r>
          </w:p>
        </w:tc>
        <w:tc>
          <w:tcPr>
            <w:tcW w:w="0" w:type="auto"/>
            <w:tcBorders>
              <w:top w:val="single" w:color="auto" w:sz="4" w:space="0"/>
              <w:left w:val="nil"/>
              <w:bottom w:val="single" w:color="auto" w:sz="4" w:space="0"/>
              <w:right w:val="single" w:color="auto" w:sz="4" w:space="0"/>
            </w:tcBorders>
            <w:vAlign w:val="center"/>
          </w:tcPr>
          <w:p w14:paraId="66460836">
            <w:pPr>
              <w:jc w:val="center"/>
              <w:rPr>
                <w:rFonts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6</w:t>
            </w:r>
            <w:r>
              <w:rPr>
                <w:rFonts w:ascii="宋体" w:hAnsi="宋体" w:eastAsia="宋体"/>
                <w:bCs/>
                <w:color w:val="auto"/>
                <w:sz w:val="24"/>
                <w:szCs w:val="24"/>
                <w:highlight w:val="none"/>
              </w:rPr>
              <w:t>分</w:t>
            </w:r>
          </w:p>
        </w:tc>
        <w:tc>
          <w:tcPr>
            <w:tcW w:w="0" w:type="auto"/>
            <w:tcBorders>
              <w:top w:val="single" w:color="auto" w:sz="4" w:space="0"/>
              <w:left w:val="nil"/>
              <w:bottom w:val="single" w:color="auto" w:sz="4" w:space="0"/>
              <w:right w:val="single" w:color="auto" w:sz="4" w:space="0"/>
            </w:tcBorders>
            <w:vAlign w:val="center"/>
          </w:tcPr>
          <w:p w14:paraId="5775E8E1">
            <w:pPr>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根据投标人针对本项目要求提供的割接实施方案，IP地址规划方案进行评审。</w:t>
            </w:r>
          </w:p>
          <w:p w14:paraId="1FFA683D">
            <w:pPr>
              <w:rPr>
                <w:rFonts w:hint="eastAsia" w:ascii="宋体" w:hAnsi="宋体" w:eastAsia="宋体"/>
                <w:bCs/>
                <w:color w:val="auto"/>
                <w:sz w:val="24"/>
                <w:szCs w:val="24"/>
                <w:highlight w:val="none"/>
                <w:lang w:val="en-US" w:eastAsia="zh-CN"/>
              </w:rPr>
            </w:pPr>
            <w:r>
              <w:rPr>
                <w:rFonts w:hint="eastAsia" w:ascii="宋体" w:hAnsi="宋体" w:eastAsia="宋体"/>
                <w:bCs/>
                <w:color w:val="auto"/>
                <w:sz w:val="24"/>
                <w:szCs w:val="24"/>
                <w:highlight w:val="none"/>
                <w:lang w:val="en-US" w:eastAsia="zh-CN"/>
              </w:rPr>
              <w:t>一、评审内容：</w:t>
            </w:r>
          </w:p>
          <w:p w14:paraId="3442F917">
            <w:pPr>
              <w:rPr>
                <w:rFonts w:hint="eastAsia" w:ascii="宋体" w:hAnsi="宋体" w:eastAsia="宋体"/>
                <w:bCs/>
                <w:color w:val="auto"/>
                <w:sz w:val="24"/>
                <w:szCs w:val="24"/>
                <w:highlight w:val="none"/>
                <w:lang w:val="en-US" w:eastAsia="zh-CN"/>
              </w:rPr>
            </w:pPr>
            <w:r>
              <w:rPr>
                <w:rFonts w:hint="eastAsia" w:ascii="宋体" w:hAnsi="宋体" w:eastAsia="宋体"/>
                <w:bCs/>
                <w:color w:val="auto"/>
                <w:sz w:val="24"/>
                <w:szCs w:val="24"/>
                <w:highlight w:val="none"/>
                <w:lang w:val="en-US" w:eastAsia="zh-CN"/>
              </w:rPr>
              <w:t>（1）</w:t>
            </w:r>
            <w:r>
              <w:rPr>
                <w:rFonts w:hint="eastAsia" w:ascii="宋体" w:hAnsi="宋体" w:eastAsia="宋体"/>
                <w:bCs/>
                <w:color w:val="auto"/>
                <w:sz w:val="24"/>
                <w:szCs w:val="24"/>
                <w:highlight w:val="none"/>
              </w:rPr>
              <w:t>割接实施方案</w:t>
            </w:r>
          </w:p>
          <w:p w14:paraId="2146603D">
            <w:pPr>
              <w:rPr>
                <w:rFonts w:hint="eastAsia" w:ascii="宋体" w:hAnsi="宋体" w:eastAsia="宋体"/>
                <w:bCs/>
                <w:color w:val="auto"/>
                <w:sz w:val="24"/>
                <w:szCs w:val="24"/>
                <w:highlight w:val="none"/>
                <w:lang w:val="en-US" w:eastAsia="zh-CN"/>
              </w:rPr>
            </w:pPr>
            <w:r>
              <w:rPr>
                <w:rFonts w:hint="eastAsia" w:ascii="宋体" w:hAnsi="宋体" w:eastAsia="宋体"/>
                <w:bCs/>
                <w:color w:val="auto"/>
                <w:sz w:val="24"/>
                <w:szCs w:val="24"/>
                <w:highlight w:val="none"/>
                <w:lang w:val="en-US" w:eastAsia="zh-CN"/>
              </w:rPr>
              <w:t>（2）</w:t>
            </w:r>
            <w:r>
              <w:rPr>
                <w:rFonts w:hint="eastAsia" w:ascii="宋体" w:hAnsi="宋体" w:eastAsia="宋体"/>
                <w:bCs/>
                <w:color w:val="auto"/>
                <w:sz w:val="24"/>
                <w:szCs w:val="24"/>
                <w:highlight w:val="none"/>
              </w:rPr>
              <w:t>IP地址规划方案</w:t>
            </w:r>
          </w:p>
          <w:p w14:paraId="06421A87">
            <w:pPr>
              <w:rPr>
                <w:rFonts w:hint="eastAsia" w:ascii="宋体" w:hAnsi="宋体" w:eastAsia="宋体"/>
                <w:bCs/>
                <w:color w:val="auto"/>
                <w:sz w:val="24"/>
                <w:szCs w:val="24"/>
                <w:highlight w:val="none"/>
                <w:lang w:val="en-US" w:eastAsia="zh-CN"/>
              </w:rPr>
            </w:pPr>
            <w:r>
              <w:rPr>
                <w:rFonts w:hint="eastAsia" w:ascii="宋体" w:hAnsi="宋体" w:eastAsia="宋体"/>
                <w:bCs/>
                <w:color w:val="auto"/>
                <w:sz w:val="24"/>
                <w:szCs w:val="24"/>
                <w:highlight w:val="none"/>
                <w:lang w:val="en-US" w:eastAsia="zh-CN"/>
              </w:rPr>
              <w:t>二、评审标准：</w:t>
            </w:r>
          </w:p>
          <w:p w14:paraId="0A6C20C0">
            <w:pPr>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（1）完整性：</w:t>
            </w:r>
            <w:r>
              <w:rPr>
                <w:rFonts w:hint="eastAsia" w:ascii="宋体" w:hAnsi="宋体" w:eastAsia="宋体"/>
                <w:bCs/>
                <w:color w:val="auto"/>
                <w:sz w:val="24"/>
                <w:szCs w:val="24"/>
                <w:highlight w:val="none"/>
              </w:rPr>
              <w:t>方案</w:t>
            </w:r>
            <w:r>
              <w:rPr>
                <w:rFonts w:hint="eastAsia" w:ascii="宋体" w:hAnsi="宋体" w:eastAsia="宋体"/>
                <w:bCs/>
                <w:color w:val="auto"/>
                <w:sz w:val="24"/>
                <w:szCs w:val="24"/>
                <w:highlight w:val="none"/>
                <w:lang w:val="en-US" w:eastAsia="zh-CN"/>
              </w:rPr>
              <w:t>完整</w:t>
            </w:r>
            <w:r>
              <w:rPr>
                <w:rFonts w:hint="eastAsia" w:ascii="宋体" w:hAnsi="宋体" w:eastAsia="宋体"/>
                <w:bCs/>
                <w:color w:val="auto"/>
                <w:sz w:val="24"/>
                <w:szCs w:val="24"/>
                <w:highlight w:val="none"/>
                <w:lang w:eastAsia="zh-CN"/>
              </w:rPr>
              <w:t>，</w:t>
            </w:r>
            <w:r>
              <w:rPr>
                <w:rFonts w:hint="eastAsia" w:ascii="宋体" w:hAnsi="宋体" w:eastAsia="宋体"/>
                <w:bCs/>
                <w:color w:val="auto"/>
                <w:sz w:val="24"/>
                <w:szCs w:val="24"/>
                <w:highlight w:val="none"/>
                <w:lang w:val="en-US" w:eastAsia="zh-CN"/>
              </w:rPr>
              <w:t>能实现招标文件所需的所有要求</w:t>
            </w:r>
            <w:r>
              <w:rPr>
                <w:rFonts w:hint="eastAsia" w:ascii="宋体" w:hAnsi="宋体" w:eastAsia="宋体"/>
                <w:bCs/>
                <w:color w:val="auto"/>
                <w:sz w:val="24"/>
                <w:szCs w:val="24"/>
                <w:highlight w:val="none"/>
              </w:rPr>
              <w:t>；</w:t>
            </w:r>
          </w:p>
          <w:p w14:paraId="2F158743">
            <w:pPr>
              <w:rPr>
                <w:rFonts w:hint="eastAsia" w:ascii="宋体" w:hAnsi="宋体" w:eastAsia="宋体"/>
                <w:bCs/>
                <w:color w:val="auto"/>
                <w:sz w:val="24"/>
                <w:szCs w:val="24"/>
                <w:highlight w:val="none"/>
                <w:lang w:val="en-US" w:eastAsia="zh-CN"/>
              </w:rPr>
            </w:pPr>
            <w:r>
              <w:rPr>
                <w:rFonts w:hint="eastAsia" w:ascii="宋体" w:hAnsi="宋体" w:eastAsia="宋体"/>
                <w:bCs/>
                <w:color w:val="auto"/>
                <w:sz w:val="24"/>
                <w:szCs w:val="24"/>
                <w:highlight w:val="none"/>
                <w:lang w:val="en-US" w:eastAsia="zh-CN"/>
              </w:rPr>
              <w:t>（2）可行性：方案切合实际情况，</w:t>
            </w:r>
            <w:r>
              <w:rPr>
                <w:rFonts w:hint="eastAsia" w:ascii="宋体" w:hAnsi="宋体" w:eastAsia="宋体"/>
                <w:bCs/>
                <w:color w:val="auto"/>
                <w:sz w:val="24"/>
                <w:szCs w:val="24"/>
                <w:highlight w:val="none"/>
              </w:rPr>
              <w:t>科学合理、针对性强，</w:t>
            </w:r>
            <w:r>
              <w:rPr>
                <w:rFonts w:hint="eastAsia" w:ascii="宋体" w:hAnsi="宋体" w:eastAsia="宋体"/>
                <w:bCs/>
                <w:color w:val="auto"/>
                <w:sz w:val="24"/>
                <w:szCs w:val="24"/>
                <w:highlight w:val="none"/>
                <w:lang w:val="en-US" w:eastAsia="zh-CN"/>
              </w:rPr>
              <w:t>可</w:t>
            </w:r>
            <w:r>
              <w:rPr>
                <w:rFonts w:hint="eastAsia" w:ascii="宋体" w:hAnsi="宋体" w:eastAsia="宋体"/>
                <w:bCs/>
                <w:color w:val="auto"/>
                <w:sz w:val="24"/>
                <w:szCs w:val="24"/>
                <w:highlight w:val="none"/>
              </w:rPr>
              <w:t>实现平滑无缝割接，保障学校网络正常运营</w:t>
            </w:r>
            <w:r>
              <w:rPr>
                <w:rFonts w:hint="eastAsia" w:ascii="宋体" w:hAnsi="宋体" w:eastAsia="宋体"/>
                <w:bCs/>
                <w:color w:val="auto"/>
                <w:sz w:val="24"/>
                <w:szCs w:val="24"/>
                <w:highlight w:val="none"/>
                <w:lang w:eastAsia="zh-CN"/>
              </w:rPr>
              <w:t>。</w:t>
            </w:r>
          </w:p>
          <w:p w14:paraId="0804A7AB">
            <w:pPr>
              <w:rPr>
                <w:rFonts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对上述</w:t>
            </w:r>
            <w:r>
              <w:rPr>
                <w:rFonts w:hint="default" w:ascii="宋体" w:hAnsi="宋体" w:eastAsia="宋体"/>
                <w:bCs/>
                <w:color w:val="auto"/>
                <w:sz w:val="24"/>
                <w:szCs w:val="24"/>
                <w:highlight w:val="none"/>
                <w:lang w:val="en-US" w:eastAsia="zh-CN"/>
              </w:rPr>
              <w:t>2</w:t>
            </w:r>
            <w:r>
              <w:rPr>
                <w:rFonts w:hint="eastAsia" w:ascii="宋体" w:hAnsi="宋体" w:eastAsia="宋体"/>
                <w:bCs/>
                <w:color w:val="auto"/>
                <w:sz w:val="24"/>
                <w:szCs w:val="24"/>
                <w:highlight w:val="none"/>
                <w:lang w:val="en-US" w:eastAsia="zh-CN"/>
              </w:rPr>
              <w:t>项评审内容进行打分，每项评审内容满足2项评审标准的，得3分；满足1项的，得1.5分；未响应不得分。</w:t>
            </w:r>
          </w:p>
        </w:tc>
        <w:tc>
          <w:tcPr>
            <w:tcW w:w="0" w:type="auto"/>
            <w:tcBorders>
              <w:top w:val="single" w:color="auto" w:sz="4" w:space="0"/>
              <w:left w:val="nil"/>
              <w:bottom w:val="single" w:color="auto" w:sz="4" w:space="0"/>
              <w:right w:val="single" w:color="auto" w:sz="4" w:space="0"/>
            </w:tcBorders>
            <w:vAlign w:val="center"/>
          </w:tcPr>
          <w:p w14:paraId="381A787B">
            <w:pPr>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主观分</w:t>
            </w:r>
          </w:p>
        </w:tc>
      </w:tr>
      <w:tr w14:paraId="143AA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0" w:type="auto"/>
            <w:vMerge w:val="continue"/>
            <w:tcBorders>
              <w:top w:val="nil"/>
              <w:left w:val="single" w:color="auto" w:sz="4" w:space="0"/>
              <w:bottom w:val="single" w:color="auto" w:sz="4" w:space="0"/>
              <w:right w:val="single" w:color="auto" w:sz="4" w:space="0"/>
            </w:tcBorders>
            <w:vAlign w:val="center"/>
          </w:tcPr>
          <w:p w14:paraId="3658E59B">
            <w:pPr>
              <w:rPr>
                <w:rFonts w:ascii="宋体" w:hAnsi="宋体" w:eastAsia="宋体"/>
                <w:bCs/>
                <w:color w:val="auto"/>
                <w:sz w:val="24"/>
                <w:szCs w:val="24"/>
                <w:highlight w:val="none"/>
              </w:rPr>
            </w:pPr>
          </w:p>
        </w:tc>
        <w:tc>
          <w:tcPr>
            <w:tcW w:w="0" w:type="auto"/>
            <w:vMerge w:val="continue"/>
            <w:tcBorders>
              <w:top w:val="nil"/>
              <w:left w:val="nil"/>
              <w:bottom w:val="single" w:color="auto" w:sz="4" w:space="0"/>
              <w:right w:val="single" w:color="auto" w:sz="4" w:space="0"/>
            </w:tcBorders>
            <w:vAlign w:val="center"/>
          </w:tcPr>
          <w:p w14:paraId="0B6D3604">
            <w:pPr>
              <w:rPr>
                <w:rFonts w:ascii="宋体" w:hAnsi="宋体" w:eastAsia="宋体"/>
                <w:bCs/>
                <w:color w:val="auto"/>
                <w:sz w:val="24"/>
                <w:szCs w:val="24"/>
                <w:highlight w:val="none"/>
              </w:rPr>
            </w:pPr>
          </w:p>
        </w:tc>
        <w:tc>
          <w:tcPr>
            <w:tcW w:w="0" w:type="auto"/>
            <w:tcBorders>
              <w:top w:val="single" w:color="auto" w:sz="4" w:space="0"/>
              <w:left w:val="nil"/>
              <w:bottom w:val="single" w:color="auto" w:sz="4" w:space="0"/>
              <w:right w:val="single" w:color="auto" w:sz="4" w:space="0"/>
            </w:tcBorders>
            <w:vAlign w:val="center"/>
          </w:tcPr>
          <w:p w14:paraId="77BDEE99">
            <w:pPr>
              <w:jc w:val="center"/>
              <w:rPr>
                <w:rFonts w:ascii="宋体" w:hAnsi="宋体" w:eastAsia="宋体"/>
                <w:bCs/>
                <w:color w:val="auto"/>
                <w:sz w:val="24"/>
                <w:szCs w:val="24"/>
                <w:highlight w:val="none"/>
              </w:rPr>
            </w:pPr>
            <w:r>
              <w:rPr>
                <w:rFonts w:ascii="宋体" w:hAnsi="宋体" w:eastAsia="宋体"/>
                <w:bCs/>
                <w:color w:val="auto"/>
                <w:sz w:val="24"/>
                <w:szCs w:val="24"/>
                <w:highlight w:val="none"/>
              </w:rPr>
              <w:t>售后服务方案</w:t>
            </w:r>
          </w:p>
        </w:tc>
        <w:tc>
          <w:tcPr>
            <w:tcW w:w="0" w:type="auto"/>
            <w:tcBorders>
              <w:top w:val="single" w:color="auto" w:sz="4" w:space="0"/>
              <w:left w:val="nil"/>
              <w:bottom w:val="single" w:color="auto" w:sz="4" w:space="0"/>
              <w:right w:val="single" w:color="auto" w:sz="4" w:space="0"/>
            </w:tcBorders>
            <w:vAlign w:val="center"/>
          </w:tcPr>
          <w:p w14:paraId="4C7757CC">
            <w:pPr>
              <w:jc w:val="center"/>
              <w:rPr>
                <w:rFonts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4</w:t>
            </w:r>
            <w:r>
              <w:rPr>
                <w:rFonts w:ascii="宋体" w:hAnsi="宋体" w:eastAsia="宋体"/>
                <w:bCs/>
                <w:color w:val="auto"/>
                <w:sz w:val="24"/>
                <w:szCs w:val="24"/>
                <w:highlight w:val="none"/>
              </w:rPr>
              <w:t>分</w:t>
            </w:r>
          </w:p>
        </w:tc>
        <w:tc>
          <w:tcPr>
            <w:tcW w:w="0" w:type="auto"/>
            <w:tcBorders>
              <w:top w:val="single" w:color="auto" w:sz="4" w:space="0"/>
              <w:left w:val="nil"/>
              <w:bottom w:val="single" w:color="auto" w:sz="4" w:space="0"/>
              <w:right w:val="single" w:color="auto" w:sz="4" w:space="0"/>
            </w:tcBorders>
            <w:vAlign w:val="center"/>
          </w:tcPr>
          <w:p w14:paraId="66EF6D3F">
            <w:pPr>
              <w:rPr>
                <w:rFonts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根据投标人针对本项目要求提供的售后服务方案进行评审</w:t>
            </w:r>
          </w:p>
          <w:p w14:paraId="1D1058B4">
            <w:pPr>
              <w:rPr>
                <w:rFonts w:hint="eastAsia" w:ascii="宋体" w:hAnsi="宋体" w:eastAsia="宋体"/>
                <w:bCs/>
                <w:color w:val="auto"/>
                <w:sz w:val="24"/>
                <w:szCs w:val="24"/>
                <w:highlight w:val="none"/>
                <w:lang w:val="en-US" w:eastAsia="zh-CN"/>
              </w:rPr>
            </w:pPr>
            <w:r>
              <w:rPr>
                <w:rFonts w:hint="eastAsia" w:ascii="宋体" w:hAnsi="宋体" w:eastAsia="宋体"/>
                <w:bCs/>
                <w:color w:val="auto"/>
                <w:sz w:val="24"/>
                <w:szCs w:val="24"/>
                <w:highlight w:val="none"/>
                <w:lang w:val="en-US" w:eastAsia="zh-CN"/>
              </w:rPr>
              <w:t>一、评审内容：</w:t>
            </w:r>
          </w:p>
          <w:p w14:paraId="3576297B">
            <w:pPr>
              <w:rPr>
                <w:rFonts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（1）具体售后服务内容、服务保障</w:t>
            </w:r>
          </w:p>
          <w:p w14:paraId="057C88D2">
            <w:pPr>
              <w:rPr>
                <w:rFonts w:ascii="宋体" w:hAnsi="宋体" w:eastAsia="宋体"/>
                <w:bCs/>
                <w:color w:val="auto"/>
                <w:sz w:val="24"/>
                <w:szCs w:val="24"/>
                <w:highlight w:val="none"/>
              </w:rPr>
            </w:pPr>
            <w:r>
              <w:rPr>
                <w:rFonts w:hint="eastAsia" w:ascii="宋体" w:hAnsi="宋体" w:eastAsia="宋体"/>
                <w:bCs/>
                <w:color w:val="auto"/>
                <w:sz w:val="24"/>
                <w:szCs w:val="24"/>
                <w:highlight w:val="none"/>
                <w:lang w:eastAsia="zh-CN"/>
              </w:rPr>
              <w:t>（</w:t>
            </w:r>
            <w:r>
              <w:rPr>
                <w:rFonts w:hint="eastAsia" w:ascii="宋体" w:hAnsi="宋体" w:eastAsia="宋体"/>
                <w:bCs/>
                <w:color w:val="auto"/>
                <w:sz w:val="24"/>
                <w:szCs w:val="24"/>
                <w:highlight w:val="none"/>
                <w:lang w:val="en-US" w:eastAsia="zh-CN"/>
              </w:rPr>
              <w:t>2</w:t>
            </w:r>
            <w:r>
              <w:rPr>
                <w:rFonts w:hint="eastAsia" w:ascii="宋体" w:hAnsi="宋体" w:eastAsia="宋体"/>
                <w:bCs/>
                <w:color w:val="auto"/>
                <w:sz w:val="24"/>
                <w:szCs w:val="24"/>
                <w:highlight w:val="none"/>
                <w:lang w:eastAsia="zh-CN"/>
              </w:rPr>
              <w:t>）</w:t>
            </w:r>
            <w:r>
              <w:rPr>
                <w:rFonts w:hint="eastAsia" w:ascii="宋体" w:hAnsi="宋体" w:eastAsia="宋体"/>
                <w:bCs/>
                <w:color w:val="auto"/>
                <w:sz w:val="24"/>
                <w:szCs w:val="24"/>
                <w:highlight w:val="none"/>
                <w:lang w:val="en-US" w:eastAsia="zh-CN"/>
              </w:rPr>
              <w:t>故障响应及处理预案、应急措施方案</w:t>
            </w:r>
          </w:p>
          <w:p w14:paraId="220BCBB3">
            <w:pPr>
              <w:rPr>
                <w:rFonts w:hint="eastAsia" w:ascii="宋体" w:hAnsi="宋体" w:eastAsia="宋体"/>
                <w:bCs/>
                <w:color w:val="auto"/>
                <w:sz w:val="24"/>
                <w:szCs w:val="24"/>
                <w:highlight w:val="none"/>
                <w:lang w:val="en-US" w:eastAsia="zh-CN"/>
              </w:rPr>
            </w:pPr>
            <w:r>
              <w:rPr>
                <w:rFonts w:hint="eastAsia" w:ascii="宋体" w:hAnsi="宋体" w:eastAsia="宋体"/>
                <w:bCs/>
                <w:color w:val="auto"/>
                <w:sz w:val="24"/>
                <w:szCs w:val="24"/>
                <w:highlight w:val="none"/>
                <w:lang w:val="en-US" w:eastAsia="zh-CN"/>
              </w:rPr>
              <w:t>二、评审标准：</w:t>
            </w:r>
          </w:p>
          <w:p w14:paraId="24680EC7">
            <w:pPr>
              <w:rPr>
                <w:rFonts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w:t>
            </w:r>
            <w:r>
              <w:rPr>
                <w:rFonts w:ascii="宋体" w:hAnsi="宋体" w:eastAsia="宋体"/>
                <w:bCs/>
                <w:color w:val="auto"/>
                <w:sz w:val="24"/>
                <w:szCs w:val="24"/>
                <w:highlight w:val="none"/>
                <w:lang w:val="en-US" w:eastAsia="zh-CN"/>
              </w:rPr>
              <w:t>1</w:t>
            </w:r>
            <w:r>
              <w:rPr>
                <w:rFonts w:hint="eastAsia" w:ascii="宋体" w:hAnsi="宋体" w:eastAsia="宋体"/>
                <w:bCs/>
                <w:color w:val="auto"/>
                <w:sz w:val="24"/>
                <w:szCs w:val="24"/>
                <w:highlight w:val="none"/>
                <w:lang w:val="en-US" w:eastAsia="zh-CN"/>
              </w:rPr>
              <w:t xml:space="preserve">）完整性：方案完整，能实现招标文件所需的所有要求。 </w:t>
            </w:r>
          </w:p>
          <w:p w14:paraId="7610E471">
            <w:pPr>
              <w:rPr>
                <w:rFonts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 xml:space="preserve">（2）针对性：方案必须切合实际情况，根据招标文件的要求提出个性化的解决方案。 </w:t>
            </w:r>
          </w:p>
          <w:p w14:paraId="1D2F367E">
            <w:pPr>
              <w:rPr>
                <w:rFonts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对上述</w:t>
            </w:r>
            <w:r>
              <w:rPr>
                <w:rFonts w:hint="default" w:ascii="宋体" w:hAnsi="宋体" w:eastAsia="宋体"/>
                <w:bCs/>
                <w:color w:val="auto"/>
                <w:sz w:val="24"/>
                <w:szCs w:val="24"/>
                <w:highlight w:val="none"/>
                <w:lang w:val="en-US" w:eastAsia="zh-CN"/>
              </w:rPr>
              <w:t>2</w:t>
            </w:r>
            <w:r>
              <w:rPr>
                <w:rFonts w:hint="eastAsia" w:ascii="宋体" w:hAnsi="宋体" w:eastAsia="宋体"/>
                <w:bCs/>
                <w:color w:val="auto"/>
                <w:sz w:val="24"/>
                <w:szCs w:val="24"/>
                <w:highlight w:val="none"/>
                <w:lang w:val="en-US" w:eastAsia="zh-CN"/>
              </w:rPr>
              <w:t>项评审内容进行打分，每项评审内容满足2项评审标准的，得2分；满足1项的，得1分；未响应不得分。</w:t>
            </w:r>
          </w:p>
        </w:tc>
        <w:tc>
          <w:tcPr>
            <w:tcW w:w="0" w:type="auto"/>
            <w:tcBorders>
              <w:top w:val="single" w:color="auto" w:sz="4" w:space="0"/>
              <w:left w:val="nil"/>
              <w:bottom w:val="single" w:color="auto" w:sz="4" w:space="0"/>
              <w:right w:val="single" w:color="auto" w:sz="4" w:space="0"/>
            </w:tcBorders>
            <w:vAlign w:val="center"/>
          </w:tcPr>
          <w:p w14:paraId="44ECDC9C">
            <w:pPr>
              <w:rPr>
                <w:rFonts w:ascii="宋体" w:hAnsi="宋体" w:eastAsia="宋体"/>
                <w:bCs/>
                <w:color w:val="auto"/>
                <w:sz w:val="24"/>
                <w:szCs w:val="24"/>
                <w:highlight w:val="none"/>
              </w:rPr>
            </w:pPr>
            <w:r>
              <w:rPr>
                <w:rFonts w:hint="eastAsia" w:ascii="宋体" w:hAnsi="宋体" w:eastAsia="宋体"/>
                <w:bCs/>
                <w:color w:val="auto"/>
                <w:sz w:val="24"/>
                <w:szCs w:val="24"/>
                <w:highlight w:val="none"/>
                <w:lang w:eastAsia="zh-CN"/>
              </w:rPr>
              <w:t>主观分</w:t>
            </w:r>
          </w:p>
        </w:tc>
      </w:tr>
      <w:tr w14:paraId="6754A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0" w:type="auto"/>
            <w:vMerge w:val="continue"/>
            <w:tcBorders>
              <w:top w:val="nil"/>
              <w:left w:val="single" w:color="auto" w:sz="4" w:space="0"/>
              <w:bottom w:val="single" w:color="auto" w:sz="4" w:space="0"/>
              <w:right w:val="single" w:color="auto" w:sz="4" w:space="0"/>
            </w:tcBorders>
            <w:vAlign w:val="center"/>
          </w:tcPr>
          <w:p w14:paraId="60D6E26B">
            <w:pPr>
              <w:rPr>
                <w:rFonts w:ascii="宋体" w:hAnsi="宋体" w:eastAsia="宋体"/>
                <w:bCs/>
                <w:color w:val="auto"/>
                <w:sz w:val="24"/>
                <w:szCs w:val="24"/>
                <w:highlight w:val="none"/>
              </w:rPr>
            </w:pPr>
          </w:p>
        </w:tc>
        <w:tc>
          <w:tcPr>
            <w:tcW w:w="0" w:type="auto"/>
            <w:vMerge w:val="continue"/>
            <w:tcBorders>
              <w:top w:val="nil"/>
              <w:left w:val="nil"/>
              <w:bottom w:val="single" w:color="auto" w:sz="4" w:space="0"/>
              <w:right w:val="single" w:color="auto" w:sz="4" w:space="0"/>
            </w:tcBorders>
            <w:vAlign w:val="center"/>
          </w:tcPr>
          <w:p w14:paraId="2EB90C39">
            <w:pPr>
              <w:rPr>
                <w:rFonts w:ascii="宋体" w:hAnsi="宋体" w:eastAsia="宋体"/>
                <w:bCs/>
                <w:color w:val="auto"/>
                <w:sz w:val="24"/>
                <w:szCs w:val="24"/>
                <w:highlight w:val="none"/>
              </w:rPr>
            </w:pPr>
          </w:p>
        </w:tc>
        <w:tc>
          <w:tcPr>
            <w:tcW w:w="0" w:type="auto"/>
            <w:tcBorders>
              <w:top w:val="single" w:color="auto" w:sz="4" w:space="0"/>
              <w:left w:val="nil"/>
              <w:bottom w:val="single" w:color="auto" w:sz="4" w:space="0"/>
              <w:right w:val="single" w:color="auto" w:sz="4" w:space="0"/>
            </w:tcBorders>
            <w:vAlign w:val="center"/>
          </w:tcPr>
          <w:p w14:paraId="0C16A906">
            <w:pPr>
              <w:jc w:val="center"/>
              <w:rPr>
                <w:rFonts w:ascii="宋体" w:hAnsi="宋体" w:eastAsia="宋体"/>
                <w:bCs/>
                <w:color w:val="auto"/>
                <w:sz w:val="24"/>
                <w:szCs w:val="24"/>
                <w:highlight w:val="none"/>
              </w:rPr>
            </w:pPr>
            <w:r>
              <w:rPr>
                <w:rFonts w:ascii="宋体" w:hAnsi="宋体" w:eastAsia="宋体"/>
                <w:bCs/>
                <w:color w:val="auto"/>
                <w:sz w:val="24"/>
                <w:szCs w:val="24"/>
                <w:highlight w:val="none"/>
              </w:rPr>
              <w:t>培训方案</w:t>
            </w:r>
          </w:p>
        </w:tc>
        <w:tc>
          <w:tcPr>
            <w:tcW w:w="0" w:type="auto"/>
            <w:tcBorders>
              <w:top w:val="single" w:color="auto" w:sz="4" w:space="0"/>
              <w:left w:val="nil"/>
              <w:bottom w:val="single" w:color="auto" w:sz="4" w:space="0"/>
              <w:right w:val="single" w:color="auto" w:sz="4" w:space="0"/>
            </w:tcBorders>
            <w:vAlign w:val="center"/>
          </w:tcPr>
          <w:p w14:paraId="5C5EF523">
            <w:pPr>
              <w:jc w:val="center"/>
              <w:rPr>
                <w:rFonts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3</w:t>
            </w:r>
            <w:r>
              <w:rPr>
                <w:rFonts w:ascii="宋体" w:hAnsi="宋体" w:eastAsia="宋体"/>
                <w:bCs/>
                <w:color w:val="auto"/>
                <w:sz w:val="24"/>
                <w:szCs w:val="24"/>
                <w:highlight w:val="none"/>
              </w:rPr>
              <w:t>分</w:t>
            </w:r>
          </w:p>
        </w:tc>
        <w:tc>
          <w:tcPr>
            <w:tcW w:w="0" w:type="auto"/>
            <w:tcBorders>
              <w:top w:val="single" w:color="auto" w:sz="4" w:space="0"/>
              <w:left w:val="nil"/>
              <w:bottom w:val="single" w:color="auto" w:sz="4" w:space="0"/>
              <w:right w:val="single" w:color="auto" w:sz="4" w:space="0"/>
            </w:tcBorders>
            <w:vAlign w:val="center"/>
          </w:tcPr>
          <w:p w14:paraId="32D557BF">
            <w:pPr>
              <w:rPr>
                <w:rFonts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根据投标人针对本项目要求提供的</w:t>
            </w:r>
            <w:r>
              <w:rPr>
                <w:rFonts w:ascii="宋体" w:hAnsi="宋体" w:eastAsia="宋体"/>
                <w:bCs/>
                <w:color w:val="auto"/>
                <w:sz w:val="24"/>
                <w:szCs w:val="24"/>
                <w:highlight w:val="none"/>
              </w:rPr>
              <w:t>培训方案</w:t>
            </w:r>
            <w:r>
              <w:rPr>
                <w:rFonts w:hint="eastAsia" w:ascii="宋体" w:hAnsi="宋体" w:eastAsia="宋体"/>
                <w:bCs/>
                <w:color w:val="auto"/>
                <w:sz w:val="24"/>
                <w:szCs w:val="24"/>
                <w:highlight w:val="none"/>
                <w:lang w:val="en-US" w:eastAsia="zh-CN"/>
              </w:rPr>
              <w:t>进行评审</w:t>
            </w:r>
          </w:p>
          <w:p w14:paraId="441CE503">
            <w:pPr>
              <w:rPr>
                <w:rFonts w:hint="eastAsia" w:ascii="宋体" w:hAnsi="宋体" w:eastAsia="宋体"/>
                <w:bCs/>
                <w:color w:val="auto"/>
                <w:sz w:val="24"/>
                <w:szCs w:val="24"/>
                <w:highlight w:val="none"/>
                <w:lang w:val="en-US" w:eastAsia="zh-CN"/>
              </w:rPr>
            </w:pPr>
            <w:r>
              <w:rPr>
                <w:rFonts w:hint="eastAsia" w:ascii="宋体" w:hAnsi="宋体" w:eastAsia="宋体"/>
                <w:bCs/>
                <w:color w:val="auto"/>
                <w:sz w:val="24"/>
                <w:szCs w:val="24"/>
                <w:highlight w:val="none"/>
                <w:lang w:val="en-US" w:eastAsia="zh-CN"/>
              </w:rPr>
              <w:t>一、评审内容：培训方案</w:t>
            </w:r>
          </w:p>
          <w:p w14:paraId="434B1817">
            <w:pPr>
              <w:rPr>
                <w:rFonts w:hint="eastAsia" w:ascii="宋体" w:hAnsi="宋体" w:eastAsia="宋体"/>
                <w:bCs/>
                <w:color w:val="auto"/>
                <w:sz w:val="24"/>
                <w:szCs w:val="24"/>
                <w:highlight w:val="none"/>
                <w:lang w:val="en-US" w:eastAsia="zh-CN"/>
              </w:rPr>
            </w:pPr>
            <w:r>
              <w:rPr>
                <w:rFonts w:hint="eastAsia" w:ascii="宋体" w:hAnsi="宋体" w:eastAsia="宋体"/>
                <w:bCs/>
                <w:color w:val="auto"/>
                <w:sz w:val="24"/>
                <w:szCs w:val="24"/>
                <w:highlight w:val="none"/>
                <w:lang w:val="en-US" w:eastAsia="zh-CN"/>
              </w:rPr>
              <w:t>二、评审标准：</w:t>
            </w:r>
          </w:p>
          <w:p w14:paraId="66CFD91B">
            <w:pPr>
              <w:rPr>
                <w:rFonts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w:t>
            </w:r>
            <w:r>
              <w:rPr>
                <w:rFonts w:ascii="宋体" w:hAnsi="宋体" w:eastAsia="宋体"/>
                <w:bCs/>
                <w:color w:val="auto"/>
                <w:sz w:val="24"/>
                <w:szCs w:val="24"/>
                <w:highlight w:val="none"/>
                <w:lang w:val="en-US" w:eastAsia="zh-CN"/>
              </w:rPr>
              <w:t>1</w:t>
            </w:r>
            <w:r>
              <w:rPr>
                <w:rFonts w:hint="eastAsia" w:ascii="宋体" w:hAnsi="宋体" w:eastAsia="宋体"/>
                <w:bCs/>
                <w:color w:val="auto"/>
                <w:sz w:val="24"/>
                <w:szCs w:val="24"/>
                <w:highlight w:val="none"/>
                <w:lang w:val="en-US" w:eastAsia="zh-CN"/>
              </w:rPr>
              <w:t>）完整性：方案完整，包含但不限于</w:t>
            </w:r>
            <w:r>
              <w:rPr>
                <w:rFonts w:ascii="宋体" w:hAnsi="宋体" w:eastAsia="宋体"/>
                <w:bCs/>
                <w:color w:val="auto"/>
                <w:sz w:val="24"/>
                <w:szCs w:val="24"/>
                <w:highlight w:val="none"/>
              </w:rPr>
              <w:t>培训目标</w:t>
            </w:r>
            <w:r>
              <w:rPr>
                <w:rFonts w:hint="eastAsia" w:ascii="宋体" w:hAnsi="宋体" w:eastAsia="宋体"/>
                <w:bCs/>
                <w:color w:val="auto"/>
                <w:sz w:val="24"/>
                <w:szCs w:val="24"/>
                <w:highlight w:val="none"/>
                <w:lang w:eastAsia="zh-CN"/>
              </w:rPr>
              <w:t>及</w:t>
            </w:r>
            <w:r>
              <w:rPr>
                <w:rFonts w:ascii="宋体" w:hAnsi="宋体" w:eastAsia="宋体"/>
                <w:bCs/>
                <w:color w:val="auto"/>
                <w:sz w:val="24"/>
                <w:szCs w:val="24"/>
                <w:highlight w:val="none"/>
              </w:rPr>
              <w:t>计划</w:t>
            </w:r>
            <w:r>
              <w:rPr>
                <w:rFonts w:hint="eastAsia" w:ascii="宋体" w:hAnsi="宋体" w:eastAsia="宋体"/>
                <w:bCs/>
                <w:color w:val="auto"/>
                <w:sz w:val="24"/>
                <w:szCs w:val="24"/>
                <w:highlight w:val="none"/>
                <w:lang w:eastAsia="zh-CN"/>
              </w:rPr>
              <w:t>、</w:t>
            </w:r>
            <w:r>
              <w:rPr>
                <w:rFonts w:ascii="宋体" w:hAnsi="宋体" w:eastAsia="宋体"/>
                <w:bCs/>
                <w:color w:val="auto"/>
                <w:sz w:val="24"/>
                <w:szCs w:val="24"/>
                <w:highlight w:val="none"/>
              </w:rPr>
              <w:t>培训课程</w:t>
            </w:r>
            <w:r>
              <w:rPr>
                <w:rFonts w:hint="eastAsia" w:ascii="宋体" w:hAnsi="宋体" w:eastAsia="宋体"/>
                <w:bCs/>
                <w:color w:val="auto"/>
                <w:sz w:val="24"/>
                <w:szCs w:val="24"/>
                <w:highlight w:val="none"/>
                <w:lang w:eastAsia="zh-CN"/>
              </w:rPr>
              <w:t>及</w:t>
            </w:r>
            <w:r>
              <w:rPr>
                <w:rFonts w:ascii="宋体" w:hAnsi="宋体" w:eastAsia="宋体"/>
                <w:bCs/>
                <w:color w:val="auto"/>
                <w:sz w:val="24"/>
                <w:szCs w:val="24"/>
                <w:highlight w:val="none"/>
              </w:rPr>
              <w:t>效果</w:t>
            </w:r>
            <w:r>
              <w:rPr>
                <w:rFonts w:hint="eastAsia" w:ascii="宋体" w:hAnsi="宋体" w:eastAsia="宋体"/>
                <w:bCs/>
                <w:color w:val="auto"/>
                <w:sz w:val="24"/>
                <w:szCs w:val="24"/>
                <w:highlight w:val="none"/>
                <w:lang w:eastAsia="zh-CN"/>
              </w:rPr>
              <w:t>，</w:t>
            </w:r>
            <w:r>
              <w:rPr>
                <w:rFonts w:hint="eastAsia" w:ascii="宋体" w:hAnsi="宋体" w:eastAsia="宋体"/>
                <w:bCs/>
                <w:color w:val="auto"/>
                <w:sz w:val="24"/>
                <w:szCs w:val="24"/>
                <w:highlight w:val="none"/>
                <w:lang w:val="en-US" w:eastAsia="zh-CN"/>
              </w:rPr>
              <w:t xml:space="preserve">能实现招标文件所需的所有要求。 </w:t>
            </w:r>
          </w:p>
          <w:p w14:paraId="37B60062">
            <w:pPr>
              <w:rPr>
                <w:rFonts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 xml:space="preserve">（2）针对性：方案必须切合实际情况，根据招标文件的要求提出个性化的解决方案。 </w:t>
            </w:r>
          </w:p>
          <w:p w14:paraId="51A95769">
            <w:pPr>
              <w:rPr>
                <w:rFonts w:ascii="宋体" w:hAnsi="宋体" w:eastAsia="宋体"/>
                <w:bCs/>
                <w:color w:val="auto"/>
                <w:sz w:val="24"/>
                <w:szCs w:val="24"/>
                <w:highlight w:val="none"/>
              </w:rPr>
            </w:pPr>
            <w:r>
              <w:rPr>
                <w:rFonts w:hint="eastAsia" w:ascii="宋体" w:hAnsi="宋体" w:eastAsia="宋体"/>
                <w:bCs/>
                <w:color w:val="auto"/>
                <w:sz w:val="24"/>
                <w:szCs w:val="24"/>
                <w:highlight w:val="none"/>
                <w:lang w:val="en-US" w:eastAsia="zh-CN"/>
              </w:rPr>
              <w:t>对上述评审内容进行打分，每满足1项评审标准得1.5分；未响应不得分。</w:t>
            </w:r>
          </w:p>
        </w:tc>
        <w:tc>
          <w:tcPr>
            <w:tcW w:w="0" w:type="auto"/>
            <w:tcBorders>
              <w:top w:val="single" w:color="auto" w:sz="4" w:space="0"/>
              <w:left w:val="nil"/>
              <w:bottom w:val="single" w:color="auto" w:sz="4" w:space="0"/>
              <w:right w:val="single" w:color="auto" w:sz="4" w:space="0"/>
            </w:tcBorders>
            <w:vAlign w:val="center"/>
          </w:tcPr>
          <w:p w14:paraId="2A71BB41">
            <w:pPr>
              <w:rPr>
                <w:rFonts w:ascii="宋体" w:hAnsi="宋体" w:eastAsia="宋体"/>
                <w:bCs/>
                <w:color w:val="auto"/>
                <w:sz w:val="24"/>
                <w:szCs w:val="24"/>
                <w:highlight w:val="none"/>
              </w:rPr>
            </w:pPr>
            <w:r>
              <w:rPr>
                <w:rFonts w:hint="eastAsia" w:ascii="宋体" w:hAnsi="宋体" w:eastAsia="宋体"/>
                <w:bCs/>
                <w:color w:val="auto"/>
                <w:sz w:val="24"/>
                <w:szCs w:val="24"/>
                <w:highlight w:val="none"/>
                <w:lang w:eastAsia="zh-CN"/>
              </w:rPr>
              <w:t>主观分</w:t>
            </w:r>
          </w:p>
        </w:tc>
      </w:tr>
    </w:tbl>
    <w:p w14:paraId="067DE3C8">
      <w:pPr>
        <w:rPr>
          <w:color w:val="auto"/>
          <w:highlight w:val="none"/>
        </w:rPr>
      </w:pPr>
    </w:p>
    <w:sectPr>
      <w:headerReference r:id="rId3" w:type="default"/>
      <w:footerReference r:id="rId4" w:type="default"/>
      <w:pgSz w:w="11906" w:h="16838"/>
      <w:pgMar w:top="1440" w:right="1080" w:bottom="1440" w:left="1080" w:header="283" w:footer="1134" w:gutter="0"/>
      <w:pgBorders>
        <w:top w:val="none" w:sz="0" w:space="0"/>
        <w:left w:val="none" w:sz="0" w:space="0"/>
        <w:bottom w:val="none" w:sz="0" w:space="0"/>
        <w:right w:val="none" w:sz="0" w:space="0"/>
      </w:pgBorders>
      <w:cols w:space="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楷体">
    <w:panose1 w:val="02010609060101010101"/>
    <w:charset w:val="86"/>
    <w:family w:val="modern"/>
    <w:pitch w:val="default"/>
    <w:sig w:usb0="800002BF" w:usb1="38CF7CFA" w:usb2="00000016" w:usb3="00000000" w:csb0="00040001" w:csb1="00000000"/>
  </w:font>
  <w:font w:name="Consolas">
    <w:panose1 w:val="020B0609020204030204"/>
    <w:charset w:val="00"/>
    <w:family w:val="modern"/>
    <w:pitch w:val="default"/>
    <w:sig w:usb0="E10002FF" w:usb1="4000FCFF" w:usb2="00000009" w:usb3="00000000" w:csb0="6000019F" w:csb1="DFD7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80F3C52" w:usb2="00000016" w:usb3="00000000" w:csb0="0004001F" w:csb1="00000000"/>
  </w:font>
  <w:font w:name="长城仿宋">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8188982"/>
    </w:sdtPr>
    <w:sdtContent>
      <w:sdt>
        <w:sdtPr>
          <w:id w:val="1728636285"/>
        </w:sdtPr>
        <w:sdtContent>
          <w:p w14:paraId="064D0F99">
            <w:pPr>
              <w:pStyle w:val="26"/>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555C1614">
    <w:pPr>
      <w:pStyle w:val="2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DFB07">
    <w:pPr>
      <w:pStyle w:val="27"/>
      <w:pBdr>
        <w:bottom w:val="none" w:color="auto" w:sz="0" w:space="1"/>
      </w:pBdr>
      <w:rPr>
        <w:lang w:val="hr-H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F821DB3"/>
    <w:multiLevelType w:val="multilevel"/>
    <w:tmpl w:val="0F821DB3"/>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7064A73"/>
    <w:multiLevelType w:val="multilevel"/>
    <w:tmpl w:val="57064A73"/>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VmNDQ1YWFkMzFlZjU4MGIxYzJiZjVkMDdkMGM1MWIifQ=="/>
  </w:docVars>
  <w:rsids>
    <w:rsidRoot w:val="00095415"/>
    <w:rsid w:val="00000045"/>
    <w:rsid w:val="000004A3"/>
    <w:rsid w:val="000008EF"/>
    <w:rsid w:val="00004E94"/>
    <w:rsid w:val="00005902"/>
    <w:rsid w:val="00012C6E"/>
    <w:rsid w:val="00014D04"/>
    <w:rsid w:val="00014FD0"/>
    <w:rsid w:val="00016562"/>
    <w:rsid w:val="0001727B"/>
    <w:rsid w:val="00017BE8"/>
    <w:rsid w:val="00017F66"/>
    <w:rsid w:val="000204B2"/>
    <w:rsid w:val="000230EB"/>
    <w:rsid w:val="00024D4B"/>
    <w:rsid w:val="00030689"/>
    <w:rsid w:val="0003305E"/>
    <w:rsid w:val="000370BC"/>
    <w:rsid w:val="00037378"/>
    <w:rsid w:val="00040B72"/>
    <w:rsid w:val="00041C1D"/>
    <w:rsid w:val="000435FC"/>
    <w:rsid w:val="00044EF7"/>
    <w:rsid w:val="00045ADA"/>
    <w:rsid w:val="0004613E"/>
    <w:rsid w:val="00046CAA"/>
    <w:rsid w:val="00047283"/>
    <w:rsid w:val="000473A7"/>
    <w:rsid w:val="00050A96"/>
    <w:rsid w:val="00051901"/>
    <w:rsid w:val="00054EB2"/>
    <w:rsid w:val="00055580"/>
    <w:rsid w:val="00057708"/>
    <w:rsid w:val="000658A4"/>
    <w:rsid w:val="00076747"/>
    <w:rsid w:val="000779E3"/>
    <w:rsid w:val="00077E85"/>
    <w:rsid w:val="000810EE"/>
    <w:rsid w:val="000812D6"/>
    <w:rsid w:val="000834AD"/>
    <w:rsid w:val="000855FE"/>
    <w:rsid w:val="00086536"/>
    <w:rsid w:val="00091171"/>
    <w:rsid w:val="00091314"/>
    <w:rsid w:val="00092450"/>
    <w:rsid w:val="0009459A"/>
    <w:rsid w:val="00095415"/>
    <w:rsid w:val="000958F0"/>
    <w:rsid w:val="00096F12"/>
    <w:rsid w:val="000A0EE1"/>
    <w:rsid w:val="000A6A93"/>
    <w:rsid w:val="000B050B"/>
    <w:rsid w:val="000B1EA5"/>
    <w:rsid w:val="000B2098"/>
    <w:rsid w:val="000B3053"/>
    <w:rsid w:val="000B3567"/>
    <w:rsid w:val="000B3F24"/>
    <w:rsid w:val="000B42CE"/>
    <w:rsid w:val="000B4649"/>
    <w:rsid w:val="000B5DF8"/>
    <w:rsid w:val="000C009B"/>
    <w:rsid w:val="000C046A"/>
    <w:rsid w:val="000C1DBB"/>
    <w:rsid w:val="000C2224"/>
    <w:rsid w:val="000C38D3"/>
    <w:rsid w:val="000C46E9"/>
    <w:rsid w:val="000C7933"/>
    <w:rsid w:val="000D274B"/>
    <w:rsid w:val="000D36A8"/>
    <w:rsid w:val="000D69F0"/>
    <w:rsid w:val="000D78EC"/>
    <w:rsid w:val="000E0271"/>
    <w:rsid w:val="000E211D"/>
    <w:rsid w:val="000E3600"/>
    <w:rsid w:val="000E4686"/>
    <w:rsid w:val="000F4471"/>
    <w:rsid w:val="000F4EC0"/>
    <w:rsid w:val="000F64E0"/>
    <w:rsid w:val="000F7A59"/>
    <w:rsid w:val="00100585"/>
    <w:rsid w:val="00100A20"/>
    <w:rsid w:val="00101A31"/>
    <w:rsid w:val="00101AE0"/>
    <w:rsid w:val="0010389C"/>
    <w:rsid w:val="00103A12"/>
    <w:rsid w:val="0010471E"/>
    <w:rsid w:val="00110153"/>
    <w:rsid w:val="001106E9"/>
    <w:rsid w:val="0011216F"/>
    <w:rsid w:val="00113952"/>
    <w:rsid w:val="00122C84"/>
    <w:rsid w:val="00125C97"/>
    <w:rsid w:val="0013041D"/>
    <w:rsid w:val="001323C7"/>
    <w:rsid w:val="00133220"/>
    <w:rsid w:val="001338E8"/>
    <w:rsid w:val="00133BF1"/>
    <w:rsid w:val="001403D7"/>
    <w:rsid w:val="00144901"/>
    <w:rsid w:val="00145CF2"/>
    <w:rsid w:val="001514CD"/>
    <w:rsid w:val="001530E8"/>
    <w:rsid w:val="00153143"/>
    <w:rsid w:val="00156715"/>
    <w:rsid w:val="00157BC0"/>
    <w:rsid w:val="0016257D"/>
    <w:rsid w:val="001641C9"/>
    <w:rsid w:val="0016444F"/>
    <w:rsid w:val="00165086"/>
    <w:rsid w:val="0016606A"/>
    <w:rsid w:val="00170D5C"/>
    <w:rsid w:val="001731E4"/>
    <w:rsid w:val="00173CCA"/>
    <w:rsid w:val="00175F66"/>
    <w:rsid w:val="00177C62"/>
    <w:rsid w:val="00180A8A"/>
    <w:rsid w:val="0018176C"/>
    <w:rsid w:val="00181F92"/>
    <w:rsid w:val="0018214D"/>
    <w:rsid w:val="00185514"/>
    <w:rsid w:val="00185E9A"/>
    <w:rsid w:val="0019001B"/>
    <w:rsid w:val="00190F26"/>
    <w:rsid w:val="001926A4"/>
    <w:rsid w:val="0019506A"/>
    <w:rsid w:val="00196833"/>
    <w:rsid w:val="001A0864"/>
    <w:rsid w:val="001A0AB1"/>
    <w:rsid w:val="001A0D4F"/>
    <w:rsid w:val="001A1335"/>
    <w:rsid w:val="001A2B2A"/>
    <w:rsid w:val="001A4E4E"/>
    <w:rsid w:val="001A7662"/>
    <w:rsid w:val="001B01FD"/>
    <w:rsid w:val="001B03BB"/>
    <w:rsid w:val="001B38CD"/>
    <w:rsid w:val="001B705B"/>
    <w:rsid w:val="001C2B88"/>
    <w:rsid w:val="001C405C"/>
    <w:rsid w:val="001C5314"/>
    <w:rsid w:val="001C531D"/>
    <w:rsid w:val="001C7B23"/>
    <w:rsid w:val="001D2460"/>
    <w:rsid w:val="001D3EE7"/>
    <w:rsid w:val="001D769E"/>
    <w:rsid w:val="001E157C"/>
    <w:rsid w:val="001E2DF4"/>
    <w:rsid w:val="001E397C"/>
    <w:rsid w:val="001E4D7F"/>
    <w:rsid w:val="001E56A8"/>
    <w:rsid w:val="001E5D69"/>
    <w:rsid w:val="001E7CEA"/>
    <w:rsid w:val="001F016D"/>
    <w:rsid w:val="001F5D31"/>
    <w:rsid w:val="001F7C4D"/>
    <w:rsid w:val="001F7DCD"/>
    <w:rsid w:val="0020129B"/>
    <w:rsid w:val="00202A83"/>
    <w:rsid w:val="00204430"/>
    <w:rsid w:val="002068D0"/>
    <w:rsid w:val="00214607"/>
    <w:rsid w:val="00214F6D"/>
    <w:rsid w:val="00216A4E"/>
    <w:rsid w:val="00217680"/>
    <w:rsid w:val="00222B0D"/>
    <w:rsid w:val="00223408"/>
    <w:rsid w:val="00223DFA"/>
    <w:rsid w:val="002334D5"/>
    <w:rsid w:val="00233EEF"/>
    <w:rsid w:val="00236772"/>
    <w:rsid w:val="002408CE"/>
    <w:rsid w:val="00243393"/>
    <w:rsid w:val="00243C0A"/>
    <w:rsid w:val="002440D3"/>
    <w:rsid w:val="002446C6"/>
    <w:rsid w:val="00250D6F"/>
    <w:rsid w:val="002523FC"/>
    <w:rsid w:val="00252F3C"/>
    <w:rsid w:val="002540E9"/>
    <w:rsid w:val="0025573D"/>
    <w:rsid w:val="00260CF2"/>
    <w:rsid w:val="002624B0"/>
    <w:rsid w:val="0026342E"/>
    <w:rsid w:val="0026563A"/>
    <w:rsid w:val="00270100"/>
    <w:rsid w:val="00270E53"/>
    <w:rsid w:val="00273A79"/>
    <w:rsid w:val="002742C4"/>
    <w:rsid w:val="00276CFD"/>
    <w:rsid w:val="00277541"/>
    <w:rsid w:val="0028512F"/>
    <w:rsid w:val="002910D2"/>
    <w:rsid w:val="00291A7A"/>
    <w:rsid w:val="00293211"/>
    <w:rsid w:val="00295F64"/>
    <w:rsid w:val="002A49CC"/>
    <w:rsid w:val="002B3E31"/>
    <w:rsid w:val="002B57A5"/>
    <w:rsid w:val="002B7581"/>
    <w:rsid w:val="002C369A"/>
    <w:rsid w:val="002C38E4"/>
    <w:rsid w:val="002C7913"/>
    <w:rsid w:val="002D07BB"/>
    <w:rsid w:val="002D2413"/>
    <w:rsid w:val="002D355C"/>
    <w:rsid w:val="002D412B"/>
    <w:rsid w:val="002D42D0"/>
    <w:rsid w:val="002E1703"/>
    <w:rsid w:val="002E2823"/>
    <w:rsid w:val="002F3320"/>
    <w:rsid w:val="002F4D2F"/>
    <w:rsid w:val="002F6AA3"/>
    <w:rsid w:val="002F7A3A"/>
    <w:rsid w:val="00302080"/>
    <w:rsid w:val="00304E92"/>
    <w:rsid w:val="00310B7E"/>
    <w:rsid w:val="00310F98"/>
    <w:rsid w:val="00311F8F"/>
    <w:rsid w:val="00314B08"/>
    <w:rsid w:val="00316026"/>
    <w:rsid w:val="0031668D"/>
    <w:rsid w:val="00317968"/>
    <w:rsid w:val="00320ACF"/>
    <w:rsid w:val="00320E66"/>
    <w:rsid w:val="00321206"/>
    <w:rsid w:val="0032342E"/>
    <w:rsid w:val="00323F1C"/>
    <w:rsid w:val="00333225"/>
    <w:rsid w:val="0033323B"/>
    <w:rsid w:val="003336F6"/>
    <w:rsid w:val="00340741"/>
    <w:rsid w:val="00340F18"/>
    <w:rsid w:val="00346CDC"/>
    <w:rsid w:val="00350104"/>
    <w:rsid w:val="00352841"/>
    <w:rsid w:val="00352AE1"/>
    <w:rsid w:val="00353D6D"/>
    <w:rsid w:val="003540BC"/>
    <w:rsid w:val="00355F92"/>
    <w:rsid w:val="003608C8"/>
    <w:rsid w:val="003616A6"/>
    <w:rsid w:val="0036309F"/>
    <w:rsid w:val="00363E8D"/>
    <w:rsid w:val="0036474B"/>
    <w:rsid w:val="003648F1"/>
    <w:rsid w:val="00366E30"/>
    <w:rsid w:val="003672FC"/>
    <w:rsid w:val="003744EC"/>
    <w:rsid w:val="00375B2D"/>
    <w:rsid w:val="00377720"/>
    <w:rsid w:val="00377B5F"/>
    <w:rsid w:val="003804BC"/>
    <w:rsid w:val="00380567"/>
    <w:rsid w:val="00380662"/>
    <w:rsid w:val="0038120F"/>
    <w:rsid w:val="00383221"/>
    <w:rsid w:val="00383FEF"/>
    <w:rsid w:val="00390BD7"/>
    <w:rsid w:val="00391795"/>
    <w:rsid w:val="003917C4"/>
    <w:rsid w:val="00392006"/>
    <w:rsid w:val="00392387"/>
    <w:rsid w:val="00392D50"/>
    <w:rsid w:val="00393E94"/>
    <w:rsid w:val="00394C1E"/>
    <w:rsid w:val="00394CFC"/>
    <w:rsid w:val="003A34B3"/>
    <w:rsid w:val="003A3CFA"/>
    <w:rsid w:val="003A5B95"/>
    <w:rsid w:val="003A5C48"/>
    <w:rsid w:val="003A7875"/>
    <w:rsid w:val="003A7E8B"/>
    <w:rsid w:val="003B0656"/>
    <w:rsid w:val="003B4F8E"/>
    <w:rsid w:val="003B5E6F"/>
    <w:rsid w:val="003B7140"/>
    <w:rsid w:val="003B718F"/>
    <w:rsid w:val="003B7264"/>
    <w:rsid w:val="003B7A0D"/>
    <w:rsid w:val="003B7A90"/>
    <w:rsid w:val="003B7EB9"/>
    <w:rsid w:val="003C2008"/>
    <w:rsid w:val="003C2BCD"/>
    <w:rsid w:val="003C2C5E"/>
    <w:rsid w:val="003C6083"/>
    <w:rsid w:val="003D04A1"/>
    <w:rsid w:val="003D099D"/>
    <w:rsid w:val="003D1759"/>
    <w:rsid w:val="003D1804"/>
    <w:rsid w:val="003D5E80"/>
    <w:rsid w:val="003D7670"/>
    <w:rsid w:val="003E37C0"/>
    <w:rsid w:val="003E5A92"/>
    <w:rsid w:val="003F1B2D"/>
    <w:rsid w:val="003F26C6"/>
    <w:rsid w:val="003F2B92"/>
    <w:rsid w:val="003F3007"/>
    <w:rsid w:val="003F3536"/>
    <w:rsid w:val="003F3826"/>
    <w:rsid w:val="003F3F5A"/>
    <w:rsid w:val="003F5C33"/>
    <w:rsid w:val="003F76C5"/>
    <w:rsid w:val="003F7921"/>
    <w:rsid w:val="00400D55"/>
    <w:rsid w:val="0040169B"/>
    <w:rsid w:val="0040329E"/>
    <w:rsid w:val="00403AA0"/>
    <w:rsid w:val="0040679C"/>
    <w:rsid w:val="00407454"/>
    <w:rsid w:val="004110F8"/>
    <w:rsid w:val="00414A80"/>
    <w:rsid w:val="004161BA"/>
    <w:rsid w:val="00421DCF"/>
    <w:rsid w:val="00422781"/>
    <w:rsid w:val="00430AC3"/>
    <w:rsid w:val="004316CF"/>
    <w:rsid w:val="00436D7D"/>
    <w:rsid w:val="00437DA1"/>
    <w:rsid w:val="00442D06"/>
    <w:rsid w:val="00442F23"/>
    <w:rsid w:val="0045214B"/>
    <w:rsid w:val="004523A8"/>
    <w:rsid w:val="0045368A"/>
    <w:rsid w:val="004543B0"/>
    <w:rsid w:val="004611BE"/>
    <w:rsid w:val="00461DFE"/>
    <w:rsid w:val="0046322D"/>
    <w:rsid w:val="0046384D"/>
    <w:rsid w:val="004650D8"/>
    <w:rsid w:val="00465908"/>
    <w:rsid w:val="00465B44"/>
    <w:rsid w:val="00466B5B"/>
    <w:rsid w:val="00467500"/>
    <w:rsid w:val="00471969"/>
    <w:rsid w:val="004743D3"/>
    <w:rsid w:val="0047547D"/>
    <w:rsid w:val="00476E59"/>
    <w:rsid w:val="004871A8"/>
    <w:rsid w:val="0049539D"/>
    <w:rsid w:val="00497D9F"/>
    <w:rsid w:val="00497DF9"/>
    <w:rsid w:val="004A4F81"/>
    <w:rsid w:val="004B118F"/>
    <w:rsid w:val="004B1DB9"/>
    <w:rsid w:val="004B23AC"/>
    <w:rsid w:val="004B3EF2"/>
    <w:rsid w:val="004B4BED"/>
    <w:rsid w:val="004B6FA4"/>
    <w:rsid w:val="004C1027"/>
    <w:rsid w:val="004C3971"/>
    <w:rsid w:val="004C5A65"/>
    <w:rsid w:val="004C62F7"/>
    <w:rsid w:val="004D06EE"/>
    <w:rsid w:val="004D15C8"/>
    <w:rsid w:val="004D1B21"/>
    <w:rsid w:val="004D28E2"/>
    <w:rsid w:val="004D548F"/>
    <w:rsid w:val="004D5EAC"/>
    <w:rsid w:val="004D7341"/>
    <w:rsid w:val="004E0F3A"/>
    <w:rsid w:val="004E323F"/>
    <w:rsid w:val="004E34F6"/>
    <w:rsid w:val="004E40B4"/>
    <w:rsid w:val="004E48AF"/>
    <w:rsid w:val="004E4D22"/>
    <w:rsid w:val="004E79B3"/>
    <w:rsid w:val="004F0C54"/>
    <w:rsid w:val="004F3505"/>
    <w:rsid w:val="004F43AD"/>
    <w:rsid w:val="004F6656"/>
    <w:rsid w:val="00501BCD"/>
    <w:rsid w:val="00502123"/>
    <w:rsid w:val="005025B6"/>
    <w:rsid w:val="0050282A"/>
    <w:rsid w:val="00502F67"/>
    <w:rsid w:val="00504DFC"/>
    <w:rsid w:val="00506010"/>
    <w:rsid w:val="0051136F"/>
    <w:rsid w:val="00511E96"/>
    <w:rsid w:val="00512AAA"/>
    <w:rsid w:val="005131A7"/>
    <w:rsid w:val="00514106"/>
    <w:rsid w:val="005152ED"/>
    <w:rsid w:val="005176E9"/>
    <w:rsid w:val="005233EE"/>
    <w:rsid w:val="00525A93"/>
    <w:rsid w:val="00526AA4"/>
    <w:rsid w:val="00530FF7"/>
    <w:rsid w:val="005349B8"/>
    <w:rsid w:val="005437D7"/>
    <w:rsid w:val="005445A9"/>
    <w:rsid w:val="00545B0F"/>
    <w:rsid w:val="00545EDA"/>
    <w:rsid w:val="00546C6D"/>
    <w:rsid w:val="005472AC"/>
    <w:rsid w:val="00552BFE"/>
    <w:rsid w:val="0055364A"/>
    <w:rsid w:val="00553814"/>
    <w:rsid w:val="005559EF"/>
    <w:rsid w:val="00556850"/>
    <w:rsid w:val="00557D9D"/>
    <w:rsid w:val="00560FA5"/>
    <w:rsid w:val="00570695"/>
    <w:rsid w:val="00570A80"/>
    <w:rsid w:val="0057131C"/>
    <w:rsid w:val="005719FE"/>
    <w:rsid w:val="00571B2D"/>
    <w:rsid w:val="00571BF4"/>
    <w:rsid w:val="00573437"/>
    <w:rsid w:val="0057573F"/>
    <w:rsid w:val="00580FFF"/>
    <w:rsid w:val="005813AA"/>
    <w:rsid w:val="005819E6"/>
    <w:rsid w:val="005836F5"/>
    <w:rsid w:val="0058419F"/>
    <w:rsid w:val="0058424D"/>
    <w:rsid w:val="00585648"/>
    <w:rsid w:val="00585750"/>
    <w:rsid w:val="00587B33"/>
    <w:rsid w:val="00587EE7"/>
    <w:rsid w:val="00592E6E"/>
    <w:rsid w:val="00597DAE"/>
    <w:rsid w:val="005A0C25"/>
    <w:rsid w:val="005A2F4D"/>
    <w:rsid w:val="005A58A0"/>
    <w:rsid w:val="005A5AE7"/>
    <w:rsid w:val="005A77DE"/>
    <w:rsid w:val="005B0D72"/>
    <w:rsid w:val="005B12FC"/>
    <w:rsid w:val="005B4F4A"/>
    <w:rsid w:val="005B6134"/>
    <w:rsid w:val="005B6D3E"/>
    <w:rsid w:val="005B713A"/>
    <w:rsid w:val="005C0950"/>
    <w:rsid w:val="005C1315"/>
    <w:rsid w:val="005C2EBE"/>
    <w:rsid w:val="005C31D8"/>
    <w:rsid w:val="005C348C"/>
    <w:rsid w:val="005C5524"/>
    <w:rsid w:val="005E05D9"/>
    <w:rsid w:val="005E1550"/>
    <w:rsid w:val="005E1551"/>
    <w:rsid w:val="005E3CD4"/>
    <w:rsid w:val="005E568A"/>
    <w:rsid w:val="005F1588"/>
    <w:rsid w:val="005F1799"/>
    <w:rsid w:val="005F3936"/>
    <w:rsid w:val="005F4DD9"/>
    <w:rsid w:val="00600DB6"/>
    <w:rsid w:val="00600E8C"/>
    <w:rsid w:val="00601112"/>
    <w:rsid w:val="00601990"/>
    <w:rsid w:val="00601C7D"/>
    <w:rsid w:val="00605483"/>
    <w:rsid w:val="00605C0D"/>
    <w:rsid w:val="0060697E"/>
    <w:rsid w:val="006108EF"/>
    <w:rsid w:val="00611AE2"/>
    <w:rsid w:val="0061334B"/>
    <w:rsid w:val="006208B6"/>
    <w:rsid w:val="00623CBB"/>
    <w:rsid w:val="006254C8"/>
    <w:rsid w:val="00625A90"/>
    <w:rsid w:val="00626440"/>
    <w:rsid w:val="00626C53"/>
    <w:rsid w:val="00632811"/>
    <w:rsid w:val="0064101C"/>
    <w:rsid w:val="00643DA1"/>
    <w:rsid w:val="00643F91"/>
    <w:rsid w:val="006440C5"/>
    <w:rsid w:val="00650A5D"/>
    <w:rsid w:val="00652533"/>
    <w:rsid w:val="00655247"/>
    <w:rsid w:val="0065628A"/>
    <w:rsid w:val="00660E0D"/>
    <w:rsid w:val="00662519"/>
    <w:rsid w:val="0066386A"/>
    <w:rsid w:val="00663B35"/>
    <w:rsid w:val="00665EE2"/>
    <w:rsid w:val="00666B23"/>
    <w:rsid w:val="00666FAD"/>
    <w:rsid w:val="00670C90"/>
    <w:rsid w:val="00673400"/>
    <w:rsid w:val="006752BE"/>
    <w:rsid w:val="00675EFA"/>
    <w:rsid w:val="00676167"/>
    <w:rsid w:val="0067786F"/>
    <w:rsid w:val="00680A96"/>
    <w:rsid w:val="00695362"/>
    <w:rsid w:val="00696091"/>
    <w:rsid w:val="006A41B0"/>
    <w:rsid w:val="006A4E91"/>
    <w:rsid w:val="006A697B"/>
    <w:rsid w:val="006A6C1D"/>
    <w:rsid w:val="006A6C51"/>
    <w:rsid w:val="006A7A3D"/>
    <w:rsid w:val="006B0B8C"/>
    <w:rsid w:val="006B39F4"/>
    <w:rsid w:val="006C0B5F"/>
    <w:rsid w:val="006C1AF1"/>
    <w:rsid w:val="006C5E0C"/>
    <w:rsid w:val="006C6FDC"/>
    <w:rsid w:val="006D1D6E"/>
    <w:rsid w:val="006D5DC2"/>
    <w:rsid w:val="006D6868"/>
    <w:rsid w:val="006D68E9"/>
    <w:rsid w:val="006E113F"/>
    <w:rsid w:val="006E3B0E"/>
    <w:rsid w:val="006E6597"/>
    <w:rsid w:val="006F04C6"/>
    <w:rsid w:val="006F178A"/>
    <w:rsid w:val="006F27DA"/>
    <w:rsid w:val="006F679A"/>
    <w:rsid w:val="006F6F06"/>
    <w:rsid w:val="0070731A"/>
    <w:rsid w:val="007078D2"/>
    <w:rsid w:val="00710050"/>
    <w:rsid w:val="0071072B"/>
    <w:rsid w:val="00715F33"/>
    <w:rsid w:val="00716C02"/>
    <w:rsid w:val="00721CDB"/>
    <w:rsid w:val="00722075"/>
    <w:rsid w:val="00722852"/>
    <w:rsid w:val="00723BB3"/>
    <w:rsid w:val="00725899"/>
    <w:rsid w:val="00730AA3"/>
    <w:rsid w:val="007318D6"/>
    <w:rsid w:val="00732E91"/>
    <w:rsid w:val="00734C0A"/>
    <w:rsid w:val="00735499"/>
    <w:rsid w:val="00736606"/>
    <w:rsid w:val="00736A81"/>
    <w:rsid w:val="00736D22"/>
    <w:rsid w:val="00737211"/>
    <w:rsid w:val="00746E67"/>
    <w:rsid w:val="00751406"/>
    <w:rsid w:val="00754402"/>
    <w:rsid w:val="00757713"/>
    <w:rsid w:val="0076136B"/>
    <w:rsid w:val="00761FE4"/>
    <w:rsid w:val="0077039B"/>
    <w:rsid w:val="00770762"/>
    <w:rsid w:val="00774EB7"/>
    <w:rsid w:val="00775A96"/>
    <w:rsid w:val="00780DBA"/>
    <w:rsid w:val="00784AEB"/>
    <w:rsid w:val="00786BE1"/>
    <w:rsid w:val="00786E84"/>
    <w:rsid w:val="00795924"/>
    <w:rsid w:val="007A1ABD"/>
    <w:rsid w:val="007A26D5"/>
    <w:rsid w:val="007A27DA"/>
    <w:rsid w:val="007A2D91"/>
    <w:rsid w:val="007A427D"/>
    <w:rsid w:val="007A4B1E"/>
    <w:rsid w:val="007A5D6F"/>
    <w:rsid w:val="007A7296"/>
    <w:rsid w:val="007B7341"/>
    <w:rsid w:val="007B75B7"/>
    <w:rsid w:val="007C0DA7"/>
    <w:rsid w:val="007C132C"/>
    <w:rsid w:val="007C1D03"/>
    <w:rsid w:val="007C310A"/>
    <w:rsid w:val="007C6522"/>
    <w:rsid w:val="007D0DE8"/>
    <w:rsid w:val="007D1599"/>
    <w:rsid w:val="007D1771"/>
    <w:rsid w:val="007D72CF"/>
    <w:rsid w:val="007E22F0"/>
    <w:rsid w:val="007E2C8C"/>
    <w:rsid w:val="007E2D76"/>
    <w:rsid w:val="007E3D3C"/>
    <w:rsid w:val="007F322A"/>
    <w:rsid w:val="007F34B1"/>
    <w:rsid w:val="007F504A"/>
    <w:rsid w:val="007F5EEC"/>
    <w:rsid w:val="007F6863"/>
    <w:rsid w:val="007F6F97"/>
    <w:rsid w:val="007F732C"/>
    <w:rsid w:val="007F7440"/>
    <w:rsid w:val="0080049D"/>
    <w:rsid w:val="00801D96"/>
    <w:rsid w:val="00802536"/>
    <w:rsid w:val="008040F8"/>
    <w:rsid w:val="00804419"/>
    <w:rsid w:val="00806A01"/>
    <w:rsid w:val="00810680"/>
    <w:rsid w:val="0081114F"/>
    <w:rsid w:val="0081394A"/>
    <w:rsid w:val="00815E06"/>
    <w:rsid w:val="00816910"/>
    <w:rsid w:val="00820450"/>
    <w:rsid w:val="00820E08"/>
    <w:rsid w:val="00824E99"/>
    <w:rsid w:val="00830F99"/>
    <w:rsid w:val="00834EEC"/>
    <w:rsid w:val="00834F38"/>
    <w:rsid w:val="00835C26"/>
    <w:rsid w:val="00835CF6"/>
    <w:rsid w:val="00836578"/>
    <w:rsid w:val="00841759"/>
    <w:rsid w:val="00842B2C"/>
    <w:rsid w:val="00843093"/>
    <w:rsid w:val="00851DFB"/>
    <w:rsid w:val="0085386D"/>
    <w:rsid w:val="00855B70"/>
    <w:rsid w:val="0085766F"/>
    <w:rsid w:val="00857884"/>
    <w:rsid w:val="00861DEE"/>
    <w:rsid w:val="00863387"/>
    <w:rsid w:val="00863EDD"/>
    <w:rsid w:val="00871004"/>
    <w:rsid w:val="00871942"/>
    <w:rsid w:val="00874B73"/>
    <w:rsid w:val="00876E59"/>
    <w:rsid w:val="00877211"/>
    <w:rsid w:val="00877B08"/>
    <w:rsid w:val="00880064"/>
    <w:rsid w:val="00882B9C"/>
    <w:rsid w:val="0088586B"/>
    <w:rsid w:val="00886553"/>
    <w:rsid w:val="00886DD5"/>
    <w:rsid w:val="00887647"/>
    <w:rsid w:val="0088795A"/>
    <w:rsid w:val="008948AD"/>
    <w:rsid w:val="008966BE"/>
    <w:rsid w:val="008A30BA"/>
    <w:rsid w:val="008A657F"/>
    <w:rsid w:val="008B32B7"/>
    <w:rsid w:val="008B482C"/>
    <w:rsid w:val="008B5601"/>
    <w:rsid w:val="008B6529"/>
    <w:rsid w:val="008C2EA0"/>
    <w:rsid w:val="008C3068"/>
    <w:rsid w:val="008D03A4"/>
    <w:rsid w:val="008D2F43"/>
    <w:rsid w:val="008D35F1"/>
    <w:rsid w:val="008D3612"/>
    <w:rsid w:val="008D5777"/>
    <w:rsid w:val="008D66F5"/>
    <w:rsid w:val="008D7D59"/>
    <w:rsid w:val="008E0169"/>
    <w:rsid w:val="008E34E3"/>
    <w:rsid w:val="008E6235"/>
    <w:rsid w:val="008F0885"/>
    <w:rsid w:val="008F1A7A"/>
    <w:rsid w:val="008F1B81"/>
    <w:rsid w:val="008F3380"/>
    <w:rsid w:val="008F3383"/>
    <w:rsid w:val="008F56F4"/>
    <w:rsid w:val="009020C7"/>
    <w:rsid w:val="009037F4"/>
    <w:rsid w:val="00903A2D"/>
    <w:rsid w:val="00904312"/>
    <w:rsid w:val="0090640A"/>
    <w:rsid w:val="00907388"/>
    <w:rsid w:val="00911826"/>
    <w:rsid w:val="00913579"/>
    <w:rsid w:val="00914F14"/>
    <w:rsid w:val="00920FCC"/>
    <w:rsid w:val="00922817"/>
    <w:rsid w:val="00924C64"/>
    <w:rsid w:val="00927846"/>
    <w:rsid w:val="009312F0"/>
    <w:rsid w:val="0093723A"/>
    <w:rsid w:val="009402E6"/>
    <w:rsid w:val="00943700"/>
    <w:rsid w:val="00943BCA"/>
    <w:rsid w:val="00943F98"/>
    <w:rsid w:val="00944A15"/>
    <w:rsid w:val="0094643E"/>
    <w:rsid w:val="0094738D"/>
    <w:rsid w:val="00947542"/>
    <w:rsid w:val="00947E31"/>
    <w:rsid w:val="0095154D"/>
    <w:rsid w:val="00953F32"/>
    <w:rsid w:val="00954162"/>
    <w:rsid w:val="0095475D"/>
    <w:rsid w:val="00954A2F"/>
    <w:rsid w:val="00956AAC"/>
    <w:rsid w:val="00956F8A"/>
    <w:rsid w:val="00957AB7"/>
    <w:rsid w:val="0096000E"/>
    <w:rsid w:val="00960DA8"/>
    <w:rsid w:val="00961ECF"/>
    <w:rsid w:val="0096208D"/>
    <w:rsid w:val="009645E4"/>
    <w:rsid w:val="00967D22"/>
    <w:rsid w:val="0097080D"/>
    <w:rsid w:val="009714FE"/>
    <w:rsid w:val="00973398"/>
    <w:rsid w:val="00974D24"/>
    <w:rsid w:val="00975166"/>
    <w:rsid w:val="00977750"/>
    <w:rsid w:val="00980013"/>
    <w:rsid w:val="00982357"/>
    <w:rsid w:val="00982AD3"/>
    <w:rsid w:val="00983D56"/>
    <w:rsid w:val="009849C0"/>
    <w:rsid w:val="00985A3B"/>
    <w:rsid w:val="00985D50"/>
    <w:rsid w:val="00986520"/>
    <w:rsid w:val="009871A1"/>
    <w:rsid w:val="0098774A"/>
    <w:rsid w:val="00987ACE"/>
    <w:rsid w:val="009944A9"/>
    <w:rsid w:val="00995639"/>
    <w:rsid w:val="009957E4"/>
    <w:rsid w:val="00996ACC"/>
    <w:rsid w:val="00996DEE"/>
    <w:rsid w:val="00997506"/>
    <w:rsid w:val="009A271B"/>
    <w:rsid w:val="009A3ADE"/>
    <w:rsid w:val="009A4AD8"/>
    <w:rsid w:val="009A76B0"/>
    <w:rsid w:val="009B11C0"/>
    <w:rsid w:val="009B3048"/>
    <w:rsid w:val="009B3424"/>
    <w:rsid w:val="009B3425"/>
    <w:rsid w:val="009B5898"/>
    <w:rsid w:val="009B65B2"/>
    <w:rsid w:val="009B7AC2"/>
    <w:rsid w:val="009B7EEE"/>
    <w:rsid w:val="009C0D6D"/>
    <w:rsid w:val="009C250C"/>
    <w:rsid w:val="009C25F7"/>
    <w:rsid w:val="009C3359"/>
    <w:rsid w:val="009C689B"/>
    <w:rsid w:val="009D0F00"/>
    <w:rsid w:val="009D36C0"/>
    <w:rsid w:val="009D4836"/>
    <w:rsid w:val="009E04AF"/>
    <w:rsid w:val="009E1EB9"/>
    <w:rsid w:val="009E6F44"/>
    <w:rsid w:val="009F12A8"/>
    <w:rsid w:val="009F29EF"/>
    <w:rsid w:val="009F4958"/>
    <w:rsid w:val="00A05AF5"/>
    <w:rsid w:val="00A0777C"/>
    <w:rsid w:val="00A11B57"/>
    <w:rsid w:val="00A20400"/>
    <w:rsid w:val="00A22A13"/>
    <w:rsid w:val="00A22C00"/>
    <w:rsid w:val="00A22DB6"/>
    <w:rsid w:val="00A23081"/>
    <w:rsid w:val="00A2325C"/>
    <w:rsid w:val="00A27A08"/>
    <w:rsid w:val="00A30827"/>
    <w:rsid w:val="00A30AE5"/>
    <w:rsid w:val="00A30D36"/>
    <w:rsid w:val="00A30DFD"/>
    <w:rsid w:val="00A33A80"/>
    <w:rsid w:val="00A36FFA"/>
    <w:rsid w:val="00A37A42"/>
    <w:rsid w:val="00A40BC9"/>
    <w:rsid w:val="00A438C7"/>
    <w:rsid w:val="00A46DEF"/>
    <w:rsid w:val="00A470A4"/>
    <w:rsid w:val="00A51D8F"/>
    <w:rsid w:val="00A52A2B"/>
    <w:rsid w:val="00A54BC8"/>
    <w:rsid w:val="00A54CDF"/>
    <w:rsid w:val="00A56EA7"/>
    <w:rsid w:val="00A62860"/>
    <w:rsid w:val="00A6392C"/>
    <w:rsid w:val="00A65224"/>
    <w:rsid w:val="00A6623D"/>
    <w:rsid w:val="00A746C4"/>
    <w:rsid w:val="00A74910"/>
    <w:rsid w:val="00A813D2"/>
    <w:rsid w:val="00A86BBF"/>
    <w:rsid w:val="00A86D58"/>
    <w:rsid w:val="00A879DB"/>
    <w:rsid w:val="00A93D11"/>
    <w:rsid w:val="00A9702C"/>
    <w:rsid w:val="00AA0261"/>
    <w:rsid w:val="00AA0A09"/>
    <w:rsid w:val="00AA31F5"/>
    <w:rsid w:val="00AA4040"/>
    <w:rsid w:val="00AA54F2"/>
    <w:rsid w:val="00AA60AF"/>
    <w:rsid w:val="00AA698D"/>
    <w:rsid w:val="00AB0B65"/>
    <w:rsid w:val="00AB2994"/>
    <w:rsid w:val="00AB2B17"/>
    <w:rsid w:val="00AB3343"/>
    <w:rsid w:val="00AB7E13"/>
    <w:rsid w:val="00AC0121"/>
    <w:rsid w:val="00AC0533"/>
    <w:rsid w:val="00AC2834"/>
    <w:rsid w:val="00AC2D71"/>
    <w:rsid w:val="00AC4F94"/>
    <w:rsid w:val="00AC584B"/>
    <w:rsid w:val="00AC6B49"/>
    <w:rsid w:val="00AC7384"/>
    <w:rsid w:val="00AC74A7"/>
    <w:rsid w:val="00AD0725"/>
    <w:rsid w:val="00AD0E7C"/>
    <w:rsid w:val="00AD1C6F"/>
    <w:rsid w:val="00AD3D57"/>
    <w:rsid w:val="00AD52A3"/>
    <w:rsid w:val="00AD5F81"/>
    <w:rsid w:val="00AD634F"/>
    <w:rsid w:val="00AE02A5"/>
    <w:rsid w:val="00AE6740"/>
    <w:rsid w:val="00AF18BF"/>
    <w:rsid w:val="00AF43B5"/>
    <w:rsid w:val="00AF52D7"/>
    <w:rsid w:val="00AF7A8D"/>
    <w:rsid w:val="00B002B6"/>
    <w:rsid w:val="00B0070A"/>
    <w:rsid w:val="00B00D7E"/>
    <w:rsid w:val="00B01B55"/>
    <w:rsid w:val="00B059B9"/>
    <w:rsid w:val="00B071A3"/>
    <w:rsid w:val="00B130C4"/>
    <w:rsid w:val="00B13597"/>
    <w:rsid w:val="00B13A01"/>
    <w:rsid w:val="00B161F2"/>
    <w:rsid w:val="00B179B2"/>
    <w:rsid w:val="00B23342"/>
    <w:rsid w:val="00B32F04"/>
    <w:rsid w:val="00B33F02"/>
    <w:rsid w:val="00B3532C"/>
    <w:rsid w:val="00B36D9B"/>
    <w:rsid w:val="00B373F4"/>
    <w:rsid w:val="00B4269A"/>
    <w:rsid w:val="00B427CE"/>
    <w:rsid w:val="00B42EE7"/>
    <w:rsid w:val="00B4328F"/>
    <w:rsid w:val="00B47EC6"/>
    <w:rsid w:val="00B52520"/>
    <w:rsid w:val="00B5398F"/>
    <w:rsid w:val="00B5450E"/>
    <w:rsid w:val="00B54A0D"/>
    <w:rsid w:val="00B55103"/>
    <w:rsid w:val="00B55336"/>
    <w:rsid w:val="00B6118A"/>
    <w:rsid w:val="00B623F8"/>
    <w:rsid w:val="00B64209"/>
    <w:rsid w:val="00B654C6"/>
    <w:rsid w:val="00B67CCB"/>
    <w:rsid w:val="00B7052D"/>
    <w:rsid w:val="00B72757"/>
    <w:rsid w:val="00B7583B"/>
    <w:rsid w:val="00B84A3B"/>
    <w:rsid w:val="00B9091C"/>
    <w:rsid w:val="00B956F2"/>
    <w:rsid w:val="00B9796B"/>
    <w:rsid w:val="00BA10D5"/>
    <w:rsid w:val="00BA4681"/>
    <w:rsid w:val="00BA6D28"/>
    <w:rsid w:val="00BB2E2F"/>
    <w:rsid w:val="00BB5544"/>
    <w:rsid w:val="00BB78CC"/>
    <w:rsid w:val="00BB7B87"/>
    <w:rsid w:val="00BC0B10"/>
    <w:rsid w:val="00BC386C"/>
    <w:rsid w:val="00BC3AA1"/>
    <w:rsid w:val="00BC5E72"/>
    <w:rsid w:val="00BD0520"/>
    <w:rsid w:val="00BD0C54"/>
    <w:rsid w:val="00BD3707"/>
    <w:rsid w:val="00BD3936"/>
    <w:rsid w:val="00BD4626"/>
    <w:rsid w:val="00BD62C1"/>
    <w:rsid w:val="00BD661D"/>
    <w:rsid w:val="00BD681B"/>
    <w:rsid w:val="00BE0884"/>
    <w:rsid w:val="00BE0AF1"/>
    <w:rsid w:val="00BE21D1"/>
    <w:rsid w:val="00BE3563"/>
    <w:rsid w:val="00BE39DD"/>
    <w:rsid w:val="00BE5EC3"/>
    <w:rsid w:val="00BE732B"/>
    <w:rsid w:val="00BE75B6"/>
    <w:rsid w:val="00BF07A4"/>
    <w:rsid w:val="00BF3C10"/>
    <w:rsid w:val="00BF41FC"/>
    <w:rsid w:val="00BF5732"/>
    <w:rsid w:val="00BF7D77"/>
    <w:rsid w:val="00C00660"/>
    <w:rsid w:val="00C00EB1"/>
    <w:rsid w:val="00C0257A"/>
    <w:rsid w:val="00C0325F"/>
    <w:rsid w:val="00C04002"/>
    <w:rsid w:val="00C040D1"/>
    <w:rsid w:val="00C065D8"/>
    <w:rsid w:val="00C07CF6"/>
    <w:rsid w:val="00C1308B"/>
    <w:rsid w:val="00C13494"/>
    <w:rsid w:val="00C139FE"/>
    <w:rsid w:val="00C1592E"/>
    <w:rsid w:val="00C23268"/>
    <w:rsid w:val="00C2387D"/>
    <w:rsid w:val="00C25F20"/>
    <w:rsid w:val="00C27E56"/>
    <w:rsid w:val="00C37FEA"/>
    <w:rsid w:val="00C4044F"/>
    <w:rsid w:val="00C45763"/>
    <w:rsid w:val="00C52107"/>
    <w:rsid w:val="00C52140"/>
    <w:rsid w:val="00C52BFF"/>
    <w:rsid w:val="00C5427F"/>
    <w:rsid w:val="00C55A0D"/>
    <w:rsid w:val="00C601E7"/>
    <w:rsid w:val="00C62518"/>
    <w:rsid w:val="00C64D3E"/>
    <w:rsid w:val="00C6680F"/>
    <w:rsid w:val="00C66ACC"/>
    <w:rsid w:val="00C67445"/>
    <w:rsid w:val="00C7027C"/>
    <w:rsid w:val="00C719A5"/>
    <w:rsid w:val="00C72415"/>
    <w:rsid w:val="00C72788"/>
    <w:rsid w:val="00C7410C"/>
    <w:rsid w:val="00C77E82"/>
    <w:rsid w:val="00C8468C"/>
    <w:rsid w:val="00C85355"/>
    <w:rsid w:val="00C85EE4"/>
    <w:rsid w:val="00C92533"/>
    <w:rsid w:val="00C9289E"/>
    <w:rsid w:val="00C92F51"/>
    <w:rsid w:val="00C96CC6"/>
    <w:rsid w:val="00CA0F95"/>
    <w:rsid w:val="00CA58C2"/>
    <w:rsid w:val="00CA74CB"/>
    <w:rsid w:val="00CB0619"/>
    <w:rsid w:val="00CB10F9"/>
    <w:rsid w:val="00CB35C7"/>
    <w:rsid w:val="00CB3DF8"/>
    <w:rsid w:val="00CB413B"/>
    <w:rsid w:val="00CB7E19"/>
    <w:rsid w:val="00CC0136"/>
    <w:rsid w:val="00CD1C20"/>
    <w:rsid w:val="00CD3F02"/>
    <w:rsid w:val="00CD5939"/>
    <w:rsid w:val="00CD598D"/>
    <w:rsid w:val="00CD603F"/>
    <w:rsid w:val="00CD6A14"/>
    <w:rsid w:val="00CE0525"/>
    <w:rsid w:val="00CE0D85"/>
    <w:rsid w:val="00CE25DD"/>
    <w:rsid w:val="00CE2AAC"/>
    <w:rsid w:val="00CE38F3"/>
    <w:rsid w:val="00CE756D"/>
    <w:rsid w:val="00CF648A"/>
    <w:rsid w:val="00CF76A5"/>
    <w:rsid w:val="00CF7C7D"/>
    <w:rsid w:val="00D05835"/>
    <w:rsid w:val="00D06DCF"/>
    <w:rsid w:val="00D110C3"/>
    <w:rsid w:val="00D11965"/>
    <w:rsid w:val="00D1359D"/>
    <w:rsid w:val="00D146C0"/>
    <w:rsid w:val="00D14E3A"/>
    <w:rsid w:val="00D16A51"/>
    <w:rsid w:val="00D204F5"/>
    <w:rsid w:val="00D22361"/>
    <w:rsid w:val="00D22436"/>
    <w:rsid w:val="00D31F6C"/>
    <w:rsid w:val="00D41530"/>
    <w:rsid w:val="00D4462E"/>
    <w:rsid w:val="00D46851"/>
    <w:rsid w:val="00D5042D"/>
    <w:rsid w:val="00D5161E"/>
    <w:rsid w:val="00D52E37"/>
    <w:rsid w:val="00D53301"/>
    <w:rsid w:val="00D55D1C"/>
    <w:rsid w:val="00D57BB7"/>
    <w:rsid w:val="00D60C0E"/>
    <w:rsid w:val="00D63DE8"/>
    <w:rsid w:val="00D64944"/>
    <w:rsid w:val="00D64AB9"/>
    <w:rsid w:val="00D659A1"/>
    <w:rsid w:val="00D672D3"/>
    <w:rsid w:val="00D67CD5"/>
    <w:rsid w:val="00D7177A"/>
    <w:rsid w:val="00D729A2"/>
    <w:rsid w:val="00D74304"/>
    <w:rsid w:val="00D74377"/>
    <w:rsid w:val="00D74960"/>
    <w:rsid w:val="00D80086"/>
    <w:rsid w:val="00D84438"/>
    <w:rsid w:val="00D86717"/>
    <w:rsid w:val="00D872FA"/>
    <w:rsid w:val="00D874D9"/>
    <w:rsid w:val="00D90694"/>
    <w:rsid w:val="00D94C20"/>
    <w:rsid w:val="00D96250"/>
    <w:rsid w:val="00D9725E"/>
    <w:rsid w:val="00DA1DB9"/>
    <w:rsid w:val="00DA2761"/>
    <w:rsid w:val="00DA4143"/>
    <w:rsid w:val="00DA4421"/>
    <w:rsid w:val="00DB00B6"/>
    <w:rsid w:val="00DB272F"/>
    <w:rsid w:val="00DB3C8A"/>
    <w:rsid w:val="00DB53FD"/>
    <w:rsid w:val="00DB7C1D"/>
    <w:rsid w:val="00DC3997"/>
    <w:rsid w:val="00DC4938"/>
    <w:rsid w:val="00DC757A"/>
    <w:rsid w:val="00DD6657"/>
    <w:rsid w:val="00DE4A9E"/>
    <w:rsid w:val="00DE5303"/>
    <w:rsid w:val="00DE69AD"/>
    <w:rsid w:val="00DE7231"/>
    <w:rsid w:val="00DE7D7D"/>
    <w:rsid w:val="00DF018D"/>
    <w:rsid w:val="00DF236A"/>
    <w:rsid w:val="00DF2A5B"/>
    <w:rsid w:val="00E02B75"/>
    <w:rsid w:val="00E041C4"/>
    <w:rsid w:val="00E047B7"/>
    <w:rsid w:val="00E05801"/>
    <w:rsid w:val="00E05B42"/>
    <w:rsid w:val="00E10A24"/>
    <w:rsid w:val="00E129B1"/>
    <w:rsid w:val="00E13AF5"/>
    <w:rsid w:val="00E154F8"/>
    <w:rsid w:val="00E15A50"/>
    <w:rsid w:val="00E165F1"/>
    <w:rsid w:val="00E16916"/>
    <w:rsid w:val="00E22388"/>
    <w:rsid w:val="00E2369D"/>
    <w:rsid w:val="00E32C21"/>
    <w:rsid w:val="00E32ECC"/>
    <w:rsid w:val="00E34D2C"/>
    <w:rsid w:val="00E41743"/>
    <w:rsid w:val="00E42374"/>
    <w:rsid w:val="00E4245F"/>
    <w:rsid w:val="00E46DC3"/>
    <w:rsid w:val="00E51069"/>
    <w:rsid w:val="00E5342A"/>
    <w:rsid w:val="00E54453"/>
    <w:rsid w:val="00E54A20"/>
    <w:rsid w:val="00E56CC5"/>
    <w:rsid w:val="00E61692"/>
    <w:rsid w:val="00E63E1E"/>
    <w:rsid w:val="00E63F59"/>
    <w:rsid w:val="00E662A2"/>
    <w:rsid w:val="00E73A15"/>
    <w:rsid w:val="00E743B7"/>
    <w:rsid w:val="00E74BB3"/>
    <w:rsid w:val="00E8476C"/>
    <w:rsid w:val="00E85BB6"/>
    <w:rsid w:val="00E87213"/>
    <w:rsid w:val="00E87992"/>
    <w:rsid w:val="00E93210"/>
    <w:rsid w:val="00E9515A"/>
    <w:rsid w:val="00E9593B"/>
    <w:rsid w:val="00E96082"/>
    <w:rsid w:val="00E971BC"/>
    <w:rsid w:val="00E971FF"/>
    <w:rsid w:val="00EA0C6D"/>
    <w:rsid w:val="00EA3E08"/>
    <w:rsid w:val="00EA5A7E"/>
    <w:rsid w:val="00EA6278"/>
    <w:rsid w:val="00EB1E3A"/>
    <w:rsid w:val="00EB4033"/>
    <w:rsid w:val="00EB6B93"/>
    <w:rsid w:val="00EB7B8E"/>
    <w:rsid w:val="00EC24F9"/>
    <w:rsid w:val="00EC4B6A"/>
    <w:rsid w:val="00EC4E4E"/>
    <w:rsid w:val="00EC670D"/>
    <w:rsid w:val="00ED022B"/>
    <w:rsid w:val="00ED0545"/>
    <w:rsid w:val="00ED136C"/>
    <w:rsid w:val="00ED2B1C"/>
    <w:rsid w:val="00EE0682"/>
    <w:rsid w:val="00EE1CC9"/>
    <w:rsid w:val="00EE3BD6"/>
    <w:rsid w:val="00EE3C83"/>
    <w:rsid w:val="00EE67C3"/>
    <w:rsid w:val="00EE715C"/>
    <w:rsid w:val="00EF4ECA"/>
    <w:rsid w:val="00EF5BA2"/>
    <w:rsid w:val="00F02BA0"/>
    <w:rsid w:val="00F03DC1"/>
    <w:rsid w:val="00F046BE"/>
    <w:rsid w:val="00F04B4C"/>
    <w:rsid w:val="00F05713"/>
    <w:rsid w:val="00F05FC4"/>
    <w:rsid w:val="00F06447"/>
    <w:rsid w:val="00F06AFC"/>
    <w:rsid w:val="00F10234"/>
    <w:rsid w:val="00F12786"/>
    <w:rsid w:val="00F152FA"/>
    <w:rsid w:val="00F163B4"/>
    <w:rsid w:val="00F17360"/>
    <w:rsid w:val="00F21ECC"/>
    <w:rsid w:val="00F242DA"/>
    <w:rsid w:val="00F24BF3"/>
    <w:rsid w:val="00F25F14"/>
    <w:rsid w:val="00F32E9C"/>
    <w:rsid w:val="00F4110D"/>
    <w:rsid w:val="00F42684"/>
    <w:rsid w:val="00F43817"/>
    <w:rsid w:val="00F46F99"/>
    <w:rsid w:val="00F47226"/>
    <w:rsid w:val="00F512CE"/>
    <w:rsid w:val="00F55372"/>
    <w:rsid w:val="00F5567D"/>
    <w:rsid w:val="00F61538"/>
    <w:rsid w:val="00F620DA"/>
    <w:rsid w:val="00F64F07"/>
    <w:rsid w:val="00F70505"/>
    <w:rsid w:val="00F75217"/>
    <w:rsid w:val="00F75A31"/>
    <w:rsid w:val="00F80EBA"/>
    <w:rsid w:val="00F8250C"/>
    <w:rsid w:val="00F862CC"/>
    <w:rsid w:val="00F8671C"/>
    <w:rsid w:val="00F86D7F"/>
    <w:rsid w:val="00F93BA4"/>
    <w:rsid w:val="00F9468F"/>
    <w:rsid w:val="00FA05FF"/>
    <w:rsid w:val="00FA17B6"/>
    <w:rsid w:val="00FA228B"/>
    <w:rsid w:val="00FA3BFF"/>
    <w:rsid w:val="00FA4362"/>
    <w:rsid w:val="00FA50E0"/>
    <w:rsid w:val="00FA5D0F"/>
    <w:rsid w:val="00FA67DC"/>
    <w:rsid w:val="00FB38D4"/>
    <w:rsid w:val="00FB48E6"/>
    <w:rsid w:val="00FC2E73"/>
    <w:rsid w:val="00FC3DE6"/>
    <w:rsid w:val="00FC469F"/>
    <w:rsid w:val="00FC4DC6"/>
    <w:rsid w:val="00FD3D72"/>
    <w:rsid w:val="00FD44A8"/>
    <w:rsid w:val="00FD6838"/>
    <w:rsid w:val="00FE2024"/>
    <w:rsid w:val="00FE355F"/>
    <w:rsid w:val="00FE51C1"/>
    <w:rsid w:val="00FE60F8"/>
    <w:rsid w:val="00FF0EF6"/>
    <w:rsid w:val="00FF37B1"/>
    <w:rsid w:val="00FF4FBA"/>
    <w:rsid w:val="01403671"/>
    <w:rsid w:val="014557C2"/>
    <w:rsid w:val="01480E11"/>
    <w:rsid w:val="01565E3F"/>
    <w:rsid w:val="015B38D5"/>
    <w:rsid w:val="016E118E"/>
    <w:rsid w:val="01BA4543"/>
    <w:rsid w:val="01CD56AD"/>
    <w:rsid w:val="02547113"/>
    <w:rsid w:val="025B3C03"/>
    <w:rsid w:val="02920CD4"/>
    <w:rsid w:val="02A7476F"/>
    <w:rsid w:val="02B05493"/>
    <w:rsid w:val="02C003C4"/>
    <w:rsid w:val="02C570DB"/>
    <w:rsid w:val="02D47C59"/>
    <w:rsid w:val="02E01C88"/>
    <w:rsid w:val="02F21119"/>
    <w:rsid w:val="02F3645C"/>
    <w:rsid w:val="02F6692F"/>
    <w:rsid w:val="030B0508"/>
    <w:rsid w:val="031311D1"/>
    <w:rsid w:val="031E632F"/>
    <w:rsid w:val="03372233"/>
    <w:rsid w:val="03747233"/>
    <w:rsid w:val="03816118"/>
    <w:rsid w:val="03A5079A"/>
    <w:rsid w:val="03C904E1"/>
    <w:rsid w:val="03CE27DA"/>
    <w:rsid w:val="03F67248"/>
    <w:rsid w:val="04A3531D"/>
    <w:rsid w:val="04FD6B02"/>
    <w:rsid w:val="05094D59"/>
    <w:rsid w:val="052C6E01"/>
    <w:rsid w:val="055246D0"/>
    <w:rsid w:val="058028DD"/>
    <w:rsid w:val="059C5CE7"/>
    <w:rsid w:val="05A625A8"/>
    <w:rsid w:val="05CA03F9"/>
    <w:rsid w:val="05CA06F7"/>
    <w:rsid w:val="05D121C7"/>
    <w:rsid w:val="062C57BC"/>
    <w:rsid w:val="063162F8"/>
    <w:rsid w:val="065C35B6"/>
    <w:rsid w:val="067A2D06"/>
    <w:rsid w:val="0680104B"/>
    <w:rsid w:val="06826B71"/>
    <w:rsid w:val="06835E86"/>
    <w:rsid w:val="06B603EE"/>
    <w:rsid w:val="06B70F10"/>
    <w:rsid w:val="06C629C5"/>
    <w:rsid w:val="06CB5BC0"/>
    <w:rsid w:val="06F26247"/>
    <w:rsid w:val="071C2634"/>
    <w:rsid w:val="07356BCF"/>
    <w:rsid w:val="073A400F"/>
    <w:rsid w:val="073F3C4C"/>
    <w:rsid w:val="073F4608"/>
    <w:rsid w:val="07561103"/>
    <w:rsid w:val="07641770"/>
    <w:rsid w:val="07DC6378"/>
    <w:rsid w:val="07E61381"/>
    <w:rsid w:val="08020AF8"/>
    <w:rsid w:val="083E2F6B"/>
    <w:rsid w:val="084555EB"/>
    <w:rsid w:val="08536423"/>
    <w:rsid w:val="088E786F"/>
    <w:rsid w:val="08AC53DA"/>
    <w:rsid w:val="08AF444E"/>
    <w:rsid w:val="08BD2C57"/>
    <w:rsid w:val="08C77BBD"/>
    <w:rsid w:val="08CC53B2"/>
    <w:rsid w:val="08FD2001"/>
    <w:rsid w:val="09376D4E"/>
    <w:rsid w:val="093A7BD7"/>
    <w:rsid w:val="098531B0"/>
    <w:rsid w:val="09980083"/>
    <w:rsid w:val="099E65C9"/>
    <w:rsid w:val="09B1497E"/>
    <w:rsid w:val="09B434E5"/>
    <w:rsid w:val="09B61B8E"/>
    <w:rsid w:val="09B76B61"/>
    <w:rsid w:val="09D45A15"/>
    <w:rsid w:val="0A287A2F"/>
    <w:rsid w:val="0A636CB9"/>
    <w:rsid w:val="0A700A4D"/>
    <w:rsid w:val="0A740EC6"/>
    <w:rsid w:val="0AC62DC9"/>
    <w:rsid w:val="0ADA341F"/>
    <w:rsid w:val="0B2C0F9D"/>
    <w:rsid w:val="0B950B7A"/>
    <w:rsid w:val="0BA54784"/>
    <w:rsid w:val="0BC01D52"/>
    <w:rsid w:val="0BC55428"/>
    <w:rsid w:val="0BD315E6"/>
    <w:rsid w:val="0BE05656"/>
    <w:rsid w:val="0BE360C6"/>
    <w:rsid w:val="0BF30724"/>
    <w:rsid w:val="0BFC1173"/>
    <w:rsid w:val="0C0117E9"/>
    <w:rsid w:val="0C205F25"/>
    <w:rsid w:val="0C275F3F"/>
    <w:rsid w:val="0C3736E2"/>
    <w:rsid w:val="0C3926BE"/>
    <w:rsid w:val="0C610233"/>
    <w:rsid w:val="0C623A03"/>
    <w:rsid w:val="0C6F2C79"/>
    <w:rsid w:val="0CA01689"/>
    <w:rsid w:val="0CA72EDD"/>
    <w:rsid w:val="0CC0100D"/>
    <w:rsid w:val="0CEC2F96"/>
    <w:rsid w:val="0CF055D5"/>
    <w:rsid w:val="0D10137A"/>
    <w:rsid w:val="0D3548BF"/>
    <w:rsid w:val="0D5C7BA3"/>
    <w:rsid w:val="0D5F1532"/>
    <w:rsid w:val="0D694A2F"/>
    <w:rsid w:val="0D7038C8"/>
    <w:rsid w:val="0D7143BB"/>
    <w:rsid w:val="0D78221A"/>
    <w:rsid w:val="0D9A6466"/>
    <w:rsid w:val="0DFF319D"/>
    <w:rsid w:val="0E1F09AF"/>
    <w:rsid w:val="0E960993"/>
    <w:rsid w:val="0E9E33AB"/>
    <w:rsid w:val="0EAD1080"/>
    <w:rsid w:val="0F2A7686"/>
    <w:rsid w:val="0F3C0B05"/>
    <w:rsid w:val="0F492922"/>
    <w:rsid w:val="0F7D75CB"/>
    <w:rsid w:val="0FDE1E81"/>
    <w:rsid w:val="1026220D"/>
    <w:rsid w:val="104171FB"/>
    <w:rsid w:val="104A4BA3"/>
    <w:rsid w:val="105A7955"/>
    <w:rsid w:val="106B7E07"/>
    <w:rsid w:val="109F7FB9"/>
    <w:rsid w:val="10DF29DE"/>
    <w:rsid w:val="11122AE2"/>
    <w:rsid w:val="111C3EF7"/>
    <w:rsid w:val="1142523E"/>
    <w:rsid w:val="114F1E57"/>
    <w:rsid w:val="11647292"/>
    <w:rsid w:val="1165283D"/>
    <w:rsid w:val="116F4E27"/>
    <w:rsid w:val="1178291B"/>
    <w:rsid w:val="11B61AA5"/>
    <w:rsid w:val="11C14684"/>
    <w:rsid w:val="11CD39EE"/>
    <w:rsid w:val="11D778A3"/>
    <w:rsid w:val="11E701D0"/>
    <w:rsid w:val="120C136A"/>
    <w:rsid w:val="12175F9B"/>
    <w:rsid w:val="122E42F5"/>
    <w:rsid w:val="12865EC8"/>
    <w:rsid w:val="128D5658"/>
    <w:rsid w:val="129C3728"/>
    <w:rsid w:val="12C47DDB"/>
    <w:rsid w:val="12D3034B"/>
    <w:rsid w:val="12DF6F30"/>
    <w:rsid w:val="12F60A0D"/>
    <w:rsid w:val="130F7240"/>
    <w:rsid w:val="133457B3"/>
    <w:rsid w:val="133D5C9F"/>
    <w:rsid w:val="13554FAD"/>
    <w:rsid w:val="13556AB7"/>
    <w:rsid w:val="13770286"/>
    <w:rsid w:val="137F7643"/>
    <w:rsid w:val="13B567D8"/>
    <w:rsid w:val="14263231"/>
    <w:rsid w:val="143503C9"/>
    <w:rsid w:val="144013A4"/>
    <w:rsid w:val="14450541"/>
    <w:rsid w:val="14491D3A"/>
    <w:rsid w:val="146D1F90"/>
    <w:rsid w:val="147E40B8"/>
    <w:rsid w:val="14C4731A"/>
    <w:rsid w:val="14D00D03"/>
    <w:rsid w:val="14DC4FDC"/>
    <w:rsid w:val="14E223B2"/>
    <w:rsid w:val="14EA51D5"/>
    <w:rsid w:val="153B337D"/>
    <w:rsid w:val="154241BF"/>
    <w:rsid w:val="154716B1"/>
    <w:rsid w:val="155838BF"/>
    <w:rsid w:val="1585042C"/>
    <w:rsid w:val="158B6F91"/>
    <w:rsid w:val="15D04CD7"/>
    <w:rsid w:val="15D72A4D"/>
    <w:rsid w:val="15E82ED2"/>
    <w:rsid w:val="16007B0B"/>
    <w:rsid w:val="162B2D81"/>
    <w:rsid w:val="1633725E"/>
    <w:rsid w:val="165F40B1"/>
    <w:rsid w:val="166A0378"/>
    <w:rsid w:val="166E79D9"/>
    <w:rsid w:val="167156D9"/>
    <w:rsid w:val="167D5B33"/>
    <w:rsid w:val="16826D8C"/>
    <w:rsid w:val="169E5891"/>
    <w:rsid w:val="16B90DCC"/>
    <w:rsid w:val="17176DAF"/>
    <w:rsid w:val="172B5CA6"/>
    <w:rsid w:val="17353277"/>
    <w:rsid w:val="173C5E4F"/>
    <w:rsid w:val="173E6AE4"/>
    <w:rsid w:val="17512FB0"/>
    <w:rsid w:val="17956B04"/>
    <w:rsid w:val="17D905BB"/>
    <w:rsid w:val="17E479F9"/>
    <w:rsid w:val="17E7115F"/>
    <w:rsid w:val="17ED6DFD"/>
    <w:rsid w:val="17F1341C"/>
    <w:rsid w:val="17F3167D"/>
    <w:rsid w:val="18013F0A"/>
    <w:rsid w:val="181A42CC"/>
    <w:rsid w:val="18697B91"/>
    <w:rsid w:val="187F3EE9"/>
    <w:rsid w:val="189E1C6E"/>
    <w:rsid w:val="18C87A43"/>
    <w:rsid w:val="18D31086"/>
    <w:rsid w:val="18E47EBC"/>
    <w:rsid w:val="18F13CFE"/>
    <w:rsid w:val="19266E41"/>
    <w:rsid w:val="19287A4C"/>
    <w:rsid w:val="1935631D"/>
    <w:rsid w:val="19385AE9"/>
    <w:rsid w:val="193C565E"/>
    <w:rsid w:val="197B593B"/>
    <w:rsid w:val="19842053"/>
    <w:rsid w:val="198D5B01"/>
    <w:rsid w:val="19B67421"/>
    <w:rsid w:val="19B922DC"/>
    <w:rsid w:val="19B93006"/>
    <w:rsid w:val="19C66A1A"/>
    <w:rsid w:val="1A425EC8"/>
    <w:rsid w:val="1A501008"/>
    <w:rsid w:val="1A632FCD"/>
    <w:rsid w:val="1AC70AAC"/>
    <w:rsid w:val="1AD75601"/>
    <w:rsid w:val="1B261282"/>
    <w:rsid w:val="1B3A7727"/>
    <w:rsid w:val="1B3F32FF"/>
    <w:rsid w:val="1B440441"/>
    <w:rsid w:val="1B6D1746"/>
    <w:rsid w:val="1BA10C5D"/>
    <w:rsid w:val="1C57790E"/>
    <w:rsid w:val="1C6D4BDE"/>
    <w:rsid w:val="1C6F2930"/>
    <w:rsid w:val="1C8B27CB"/>
    <w:rsid w:val="1C8F0DDD"/>
    <w:rsid w:val="1CA77653"/>
    <w:rsid w:val="1CC01D49"/>
    <w:rsid w:val="1CE1195D"/>
    <w:rsid w:val="1CEA1890"/>
    <w:rsid w:val="1CFF0AC4"/>
    <w:rsid w:val="1D063C00"/>
    <w:rsid w:val="1D6B7F07"/>
    <w:rsid w:val="1D8A5533"/>
    <w:rsid w:val="1DA23326"/>
    <w:rsid w:val="1DA86E9A"/>
    <w:rsid w:val="1DCA05A0"/>
    <w:rsid w:val="1DE441A3"/>
    <w:rsid w:val="1E246660"/>
    <w:rsid w:val="1E494EA5"/>
    <w:rsid w:val="1E557970"/>
    <w:rsid w:val="1E853FDC"/>
    <w:rsid w:val="1E8B697F"/>
    <w:rsid w:val="1E8F40C9"/>
    <w:rsid w:val="1ECC70CB"/>
    <w:rsid w:val="1EE3403E"/>
    <w:rsid w:val="1EEC146E"/>
    <w:rsid w:val="1F2F3F0D"/>
    <w:rsid w:val="1F802684"/>
    <w:rsid w:val="1F964DBD"/>
    <w:rsid w:val="1FAD0CAB"/>
    <w:rsid w:val="1FBB6C99"/>
    <w:rsid w:val="1FCF301C"/>
    <w:rsid w:val="1FD06747"/>
    <w:rsid w:val="1FD81C9D"/>
    <w:rsid w:val="1FE07285"/>
    <w:rsid w:val="1FF16DE9"/>
    <w:rsid w:val="20263055"/>
    <w:rsid w:val="203B724A"/>
    <w:rsid w:val="205864D1"/>
    <w:rsid w:val="20932C32"/>
    <w:rsid w:val="20B313BD"/>
    <w:rsid w:val="20C27542"/>
    <w:rsid w:val="20C82CC5"/>
    <w:rsid w:val="20DC452C"/>
    <w:rsid w:val="20E06FE2"/>
    <w:rsid w:val="20F52909"/>
    <w:rsid w:val="20F67C1A"/>
    <w:rsid w:val="20FF16C4"/>
    <w:rsid w:val="211D43B7"/>
    <w:rsid w:val="211D7A29"/>
    <w:rsid w:val="21380A48"/>
    <w:rsid w:val="217A4039"/>
    <w:rsid w:val="21824439"/>
    <w:rsid w:val="21B26CDD"/>
    <w:rsid w:val="21B65F6F"/>
    <w:rsid w:val="21E0199C"/>
    <w:rsid w:val="21ED1832"/>
    <w:rsid w:val="22064238"/>
    <w:rsid w:val="22165EBB"/>
    <w:rsid w:val="22230DB0"/>
    <w:rsid w:val="226100B9"/>
    <w:rsid w:val="22647524"/>
    <w:rsid w:val="22882556"/>
    <w:rsid w:val="22934A02"/>
    <w:rsid w:val="22B67E76"/>
    <w:rsid w:val="22C23820"/>
    <w:rsid w:val="23286542"/>
    <w:rsid w:val="232A3799"/>
    <w:rsid w:val="23467926"/>
    <w:rsid w:val="234B541E"/>
    <w:rsid w:val="23913305"/>
    <w:rsid w:val="23A07194"/>
    <w:rsid w:val="23A72BFE"/>
    <w:rsid w:val="23B928B1"/>
    <w:rsid w:val="23FB1DD0"/>
    <w:rsid w:val="23FD3C54"/>
    <w:rsid w:val="24172534"/>
    <w:rsid w:val="24177BF4"/>
    <w:rsid w:val="24307591"/>
    <w:rsid w:val="2452597D"/>
    <w:rsid w:val="245F0F57"/>
    <w:rsid w:val="24870019"/>
    <w:rsid w:val="24AA7567"/>
    <w:rsid w:val="24B674CE"/>
    <w:rsid w:val="24BD4DA7"/>
    <w:rsid w:val="250102EB"/>
    <w:rsid w:val="258413A3"/>
    <w:rsid w:val="259056C0"/>
    <w:rsid w:val="25BE551C"/>
    <w:rsid w:val="25CD5C03"/>
    <w:rsid w:val="25FD04DD"/>
    <w:rsid w:val="26153534"/>
    <w:rsid w:val="26336354"/>
    <w:rsid w:val="2637689C"/>
    <w:rsid w:val="266E5E93"/>
    <w:rsid w:val="267442D0"/>
    <w:rsid w:val="26984814"/>
    <w:rsid w:val="26C71127"/>
    <w:rsid w:val="26CB3F21"/>
    <w:rsid w:val="26D75498"/>
    <w:rsid w:val="26E46EC1"/>
    <w:rsid w:val="26F4040C"/>
    <w:rsid w:val="271138CD"/>
    <w:rsid w:val="271824CB"/>
    <w:rsid w:val="276049DF"/>
    <w:rsid w:val="2787391E"/>
    <w:rsid w:val="278C389C"/>
    <w:rsid w:val="279A4B46"/>
    <w:rsid w:val="27E729C2"/>
    <w:rsid w:val="28495609"/>
    <w:rsid w:val="28AE2E38"/>
    <w:rsid w:val="28C2369D"/>
    <w:rsid w:val="28CF57EE"/>
    <w:rsid w:val="28DA7FDC"/>
    <w:rsid w:val="28E356FE"/>
    <w:rsid w:val="28EA087A"/>
    <w:rsid w:val="29025CB9"/>
    <w:rsid w:val="2932735B"/>
    <w:rsid w:val="293579CF"/>
    <w:rsid w:val="293607E6"/>
    <w:rsid w:val="29B469DB"/>
    <w:rsid w:val="29B826D0"/>
    <w:rsid w:val="29B9439B"/>
    <w:rsid w:val="29DD6D73"/>
    <w:rsid w:val="29F6588D"/>
    <w:rsid w:val="2A1D0A22"/>
    <w:rsid w:val="2A800326"/>
    <w:rsid w:val="2AC90AA2"/>
    <w:rsid w:val="2AC944BF"/>
    <w:rsid w:val="2AEC7DAD"/>
    <w:rsid w:val="2AF945FC"/>
    <w:rsid w:val="2B005D12"/>
    <w:rsid w:val="2B120678"/>
    <w:rsid w:val="2B277B63"/>
    <w:rsid w:val="2B3A04FB"/>
    <w:rsid w:val="2B3E1E7B"/>
    <w:rsid w:val="2B400C25"/>
    <w:rsid w:val="2B5E6CCE"/>
    <w:rsid w:val="2B6C4D6B"/>
    <w:rsid w:val="2BC82CEC"/>
    <w:rsid w:val="2BCD7A54"/>
    <w:rsid w:val="2C101AFB"/>
    <w:rsid w:val="2C263338"/>
    <w:rsid w:val="2C4C4BC1"/>
    <w:rsid w:val="2C4C5DC3"/>
    <w:rsid w:val="2C5950A4"/>
    <w:rsid w:val="2C5D466B"/>
    <w:rsid w:val="2C6941AB"/>
    <w:rsid w:val="2CA3714D"/>
    <w:rsid w:val="2CB12DBE"/>
    <w:rsid w:val="2CBC0995"/>
    <w:rsid w:val="2D0D7F55"/>
    <w:rsid w:val="2D295837"/>
    <w:rsid w:val="2D2D6D32"/>
    <w:rsid w:val="2D5A6413"/>
    <w:rsid w:val="2D5E1836"/>
    <w:rsid w:val="2D7236A3"/>
    <w:rsid w:val="2D7A3422"/>
    <w:rsid w:val="2D881DB7"/>
    <w:rsid w:val="2DA0078E"/>
    <w:rsid w:val="2DB233BB"/>
    <w:rsid w:val="2DB42757"/>
    <w:rsid w:val="2DD84916"/>
    <w:rsid w:val="2DFB7024"/>
    <w:rsid w:val="2E383EF0"/>
    <w:rsid w:val="2E60038B"/>
    <w:rsid w:val="2E643893"/>
    <w:rsid w:val="2E7A48CC"/>
    <w:rsid w:val="2E7D3F47"/>
    <w:rsid w:val="2EBB5C04"/>
    <w:rsid w:val="2ECF4EB4"/>
    <w:rsid w:val="2F380AAD"/>
    <w:rsid w:val="2F455FEE"/>
    <w:rsid w:val="2F8A06C1"/>
    <w:rsid w:val="2F8D29E4"/>
    <w:rsid w:val="2FB65BF0"/>
    <w:rsid w:val="2FC043C2"/>
    <w:rsid w:val="2FE222AB"/>
    <w:rsid w:val="30002D7F"/>
    <w:rsid w:val="30154C46"/>
    <w:rsid w:val="30523467"/>
    <w:rsid w:val="30640F12"/>
    <w:rsid w:val="3073370F"/>
    <w:rsid w:val="308A3E26"/>
    <w:rsid w:val="30A35A93"/>
    <w:rsid w:val="30C22777"/>
    <w:rsid w:val="30CC69E5"/>
    <w:rsid w:val="310E5321"/>
    <w:rsid w:val="311B539B"/>
    <w:rsid w:val="311F6E3F"/>
    <w:rsid w:val="317D61FD"/>
    <w:rsid w:val="31832A32"/>
    <w:rsid w:val="318907E0"/>
    <w:rsid w:val="319A102D"/>
    <w:rsid w:val="319E5241"/>
    <w:rsid w:val="31B716FF"/>
    <w:rsid w:val="31BB7FAE"/>
    <w:rsid w:val="31FD6BE3"/>
    <w:rsid w:val="32422414"/>
    <w:rsid w:val="324A3B67"/>
    <w:rsid w:val="32870722"/>
    <w:rsid w:val="328E3BC4"/>
    <w:rsid w:val="32C562B3"/>
    <w:rsid w:val="32E228AC"/>
    <w:rsid w:val="32EC3880"/>
    <w:rsid w:val="32F33286"/>
    <w:rsid w:val="330D0F47"/>
    <w:rsid w:val="331B5817"/>
    <w:rsid w:val="331C5F48"/>
    <w:rsid w:val="336F5645"/>
    <w:rsid w:val="3383489A"/>
    <w:rsid w:val="339428AF"/>
    <w:rsid w:val="339A72BB"/>
    <w:rsid w:val="33B9373F"/>
    <w:rsid w:val="33DE30D9"/>
    <w:rsid w:val="33F4623E"/>
    <w:rsid w:val="33FE1FFC"/>
    <w:rsid w:val="3402116D"/>
    <w:rsid w:val="340E19B7"/>
    <w:rsid w:val="342B30C2"/>
    <w:rsid w:val="3453223B"/>
    <w:rsid w:val="346A286F"/>
    <w:rsid w:val="34750CD4"/>
    <w:rsid w:val="34877217"/>
    <w:rsid w:val="34A83397"/>
    <w:rsid w:val="34D26DFB"/>
    <w:rsid w:val="35700359"/>
    <w:rsid w:val="35883210"/>
    <w:rsid w:val="35964017"/>
    <w:rsid w:val="35C765BD"/>
    <w:rsid w:val="360A3181"/>
    <w:rsid w:val="36296BDF"/>
    <w:rsid w:val="36592B9B"/>
    <w:rsid w:val="36603F29"/>
    <w:rsid w:val="367B47A7"/>
    <w:rsid w:val="36985729"/>
    <w:rsid w:val="369D799A"/>
    <w:rsid w:val="36C36143"/>
    <w:rsid w:val="36C42655"/>
    <w:rsid w:val="36EF1362"/>
    <w:rsid w:val="36F32FEF"/>
    <w:rsid w:val="3732520A"/>
    <w:rsid w:val="37426857"/>
    <w:rsid w:val="376000AB"/>
    <w:rsid w:val="376A4E33"/>
    <w:rsid w:val="3795282C"/>
    <w:rsid w:val="37D567BF"/>
    <w:rsid w:val="37DA59EA"/>
    <w:rsid w:val="37E961A0"/>
    <w:rsid w:val="3825542A"/>
    <w:rsid w:val="38505088"/>
    <w:rsid w:val="386D3CE0"/>
    <w:rsid w:val="38A37C03"/>
    <w:rsid w:val="38BB55E9"/>
    <w:rsid w:val="38F35529"/>
    <w:rsid w:val="39042B37"/>
    <w:rsid w:val="39246C0A"/>
    <w:rsid w:val="3926068E"/>
    <w:rsid w:val="392E3391"/>
    <w:rsid w:val="39477622"/>
    <w:rsid w:val="395824B9"/>
    <w:rsid w:val="396D38A4"/>
    <w:rsid w:val="3995677D"/>
    <w:rsid w:val="39B30897"/>
    <w:rsid w:val="39FC6A5F"/>
    <w:rsid w:val="3A0D5EBE"/>
    <w:rsid w:val="3A0F6C0A"/>
    <w:rsid w:val="3A4A6E36"/>
    <w:rsid w:val="3A5D3BD6"/>
    <w:rsid w:val="3A6241A0"/>
    <w:rsid w:val="3A862B04"/>
    <w:rsid w:val="3A9D0367"/>
    <w:rsid w:val="3AE26C84"/>
    <w:rsid w:val="3B1B2218"/>
    <w:rsid w:val="3B3A38E5"/>
    <w:rsid w:val="3B730DDD"/>
    <w:rsid w:val="3B8D0EDC"/>
    <w:rsid w:val="3BB97252"/>
    <w:rsid w:val="3BBA40DC"/>
    <w:rsid w:val="3BBB356A"/>
    <w:rsid w:val="3BC61945"/>
    <w:rsid w:val="3BDF3B42"/>
    <w:rsid w:val="3C2C40D1"/>
    <w:rsid w:val="3C3519B4"/>
    <w:rsid w:val="3C6127A9"/>
    <w:rsid w:val="3C812156"/>
    <w:rsid w:val="3C894AD7"/>
    <w:rsid w:val="3C897267"/>
    <w:rsid w:val="3C9A0A4E"/>
    <w:rsid w:val="3CB672D0"/>
    <w:rsid w:val="3CC83954"/>
    <w:rsid w:val="3CD236AA"/>
    <w:rsid w:val="3CE2519F"/>
    <w:rsid w:val="3CF7020F"/>
    <w:rsid w:val="3D053A7C"/>
    <w:rsid w:val="3D14326E"/>
    <w:rsid w:val="3D4E0DEB"/>
    <w:rsid w:val="3D7261AC"/>
    <w:rsid w:val="3D78042A"/>
    <w:rsid w:val="3D8B2D21"/>
    <w:rsid w:val="3DA07301"/>
    <w:rsid w:val="3DE109C2"/>
    <w:rsid w:val="3E33118C"/>
    <w:rsid w:val="3E6659BF"/>
    <w:rsid w:val="3ED05F99"/>
    <w:rsid w:val="3ED34027"/>
    <w:rsid w:val="3ED83069"/>
    <w:rsid w:val="3F146CB7"/>
    <w:rsid w:val="3F27377D"/>
    <w:rsid w:val="3F2E60A5"/>
    <w:rsid w:val="3F810878"/>
    <w:rsid w:val="3FC4466E"/>
    <w:rsid w:val="3FD5653A"/>
    <w:rsid w:val="3FD67F86"/>
    <w:rsid w:val="3FE575FD"/>
    <w:rsid w:val="3FFA3C90"/>
    <w:rsid w:val="3FFF55C7"/>
    <w:rsid w:val="40061FE5"/>
    <w:rsid w:val="404E4FA6"/>
    <w:rsid w:val="409E3FCC"/>
    <w:rsid w:val="40D72E48"/>
    <w:rsid w:val="41085069"/>
    <w:rsid w:val="411A73CB"/>
    <w:rsid w:val="411E4A4E"/>
    <w:rsid w:val="413074D6"/>
    <w:rsid w:val="4134048C"/>
    <w:rsid w:val="41454EA0"/>
    <w:rsid w:val="417064B7"/>
    <w:rsid w:val="41725811"/>
    <w:rsid w:val="417411D1"/>
    <w:rsid w:val="41876A2C"/>
    <w:rsid w:val="41AA3A75"/>
    <w:rsid w:val="41DB2FFE"/>
    <w:rsid w:val="42071C06"/>
    <w:rsid w:val="42840153"/>
    <w:rsid w:val="4292119F"/>
    <w:rsid w:val="42AE19C4"/>
    <w:rsid w:val="42B570F5"/>
    <w:rsid w:val="42BB2CEE"/>
    <w:rsid w:val="42E26525"/>
    <w:rsid w:val="42FE142D"/>
    <w:rsid w:val="431534D6"/>
    <w:rsid w:val="432C225D"/>
    <w:rsid w:val="433125CD"/>
    <w:rsid w:val="434037B2"/>
    <w:rsid w:val="4352589F"/>
    <w:rsid w:val="437107E7"/>
    <w:rsid w:val="438D1DAF"/>
    <w:rsid w:val="43C11228"/>
    <w:rsid w:val="43E62F75"/>
    <w:rsid w:val="43F12506"/>
    <w:rsid w:val="440A4EB6"/>
    <w:rsid w:val="4427252A"/>
    <w:rsid w:val="443E76BE"/>
    <w:rsid w:val="443F32A6"/>
    <w:rsid w:val="443F6104"/>
    <w:rsid w:val="445F7F16"/>
    <w:rsid w:val="4468744F"/>
    <w:rsid w:val="449064E2"/>
    <w:rsid w:val="44940813"/>
    <w:rsid w:val="44A1488D"/>
    <w:rsid w:val="44B45493"/>
    <w:rsid w:val="44BD3440"/>
    <w:rsid w:val="44C91833"/>
    <w:rsid w:val="44CF58D8"/>
    <w:rsid w:val="44E400B6"/>
    <w:rsid w:val="44FF34A7"/>
    <w:rsid w:val="45541CEF"/>
    <w:rsid w:val="457270FA"/>
    <w:rsid w:val="457A76CF"/>
    <w:rsid w:val="457D6FE0"/>
    <w:rsid w:val="45957DF5"/>
    <w:rsid w:val="45BB37DA"/>
    <w:rsid w:val="46431441"/>
    <w:rsid w:val="46456C98"/>
    <w:rsid w:val="46606ECA"/>
    <w:rsid w:val="46802D92"/>
    <w:rsid w:val="46873754"/>
    <w:rsid w:val="46B24AE8"/>
    <w:rsid w:val="46BC217B"/>
    <w:rsid w:val="46DC3AA0"/>
    <w:rsid w:val="4723522B"/>
    <w:rsid w:val="47246A79"/>
    <w:rsid w:val="47337AE5"/>
    <w:rsid w:val="47356BA1"/>
    <w:rsid w:val="473705CB"/>
    <w:rsid w:val="475A2C17"/>
    <w:rsid w:val="475E5BFC"/>
    <w:rsid w:val="477F61D9"/>
    <w:rsid w:val="478764F9"/>
    <w:rsid w:val="47A83391"/>
    <w:rsid w:val="47D55B24"/>
    <w:rsid w:val="47F72214"/>
    <w:rsid w:val="483311FC"/>
    <w:rsid w:val="486674EF"/>
    <w:rsid w:val="48873598"/>
    <w:rsid w:val="488B5D32"/>
    <w:rsid w:val="48901050"/>
    <w:rsid w:val="48E72065"/>
    <w:rsid w:val="49026271"/>
    <w:rsid w:val="490626F9"/>
    <w:rsid w:val="493910C5"/>
    <w:rsid w:val="49551C8A"/>
    <w:rsid w:val="49763089"/>
    <w:rsid w:val="49886F6A"/>
    <w:rsid w:val="498D2E30"/>
    <w:rsid w:val="49AE42D7"/>
    <w:rsid w:val="49C06FBE"/>
    <w:rsid w:val="49D23DC9"/>
    <w:rsid w:val="49EE2C4A"/>
    <w:rsid w:val="49EF541C"/>
    <w:rsid w:val="49F82981"/>
    <w:rsid w:val="4A220DCC"/>
    <w:rsid w:val="4AAC461A"/>
    <w:rsid w:val="4ABB6C2D"/>
    <w:rsid w:val="4AC7287E"/>
    <w:rsid w:val="4ADB7BCB"/>
    <w:rsid w:val="4B1B1CDA"/>
    <w:rsid w:val="4B2649CE"/>
    <w:rsid w:val="4B3D2C24"/>
    <w:rsid w:val="4B622465"/>
    <w:rsid w:val="4B8F2F8B"/>
    <w:rsid w:val="4B9857C9"/>
    <w:rsid w:val="4BB42B5B"/>
    <w:rsid w:val="4BBC5EF3"/>
    <w:rsid w:val="4BD41042"/>
    <w:rsid w:val="4BD930FE"/>
    <w:rsid w:val="4C025B04"/>
    <w:rsid w:val="4C0A16FB"/>
    <w:rsid w:val="4C3457E4"/>
    <w:rsid w:val="4C352267"/>
    <w:rsid w:val="4C427EDF"/>
    <w:rsid w:val="4C622CCB"/>
    <w:rsid w:val="4C6A33A6"/>
    <w:rsid w:val="4C9D00C0"/>
    <w:rsid w:val="4CB165C8"/>
    <w:rsid w:val="4CBB227D"/>
    <w:rsid w:val="4CBB5F06"/>
    <w:rsid w:val="4CF97470"/>
    <w:rsid w:val="4D2B208A"/>
    <w:rsid w:val="4D632A32"/>
    <w:rsid w:val="4D8C4A6E"/>
    <w:rsid w:val="4DDA6C57"/>
    <w:rsid w:val="4DE354C1"/>
    <w:rsid w:val="4DED05FB"/>
    <w:rsid w:val="4E200716"/>
    <w:rsid w:val="4E3135D6"/>
    <w:rsid w:val="4E4E3A5B"/>
    <w:rsid w:val="4E7F7398"/>
    <w:rsid w:val="4E830CA5"/>
    <w:rsid w:val="4E864E0D"/>
    <w:rsid w:val="4E8F40BA"/>
    <w:rsid w:val="4EA529C9"/>
    <w:rsid w:val="4ECA68D4"/>
    <w:rsid w:val="4F0919D0"/>
    <w:rsid w:val="4F2F557E"/>
    <w:rsid w:val="4F5E7A11"/>
    <w:rsid w:val="4F822814"/>
    <w:rsid w:val="4FBC0F82"/>
    <w:rsid w:val="4FC82461"/>
    <w:rsid w:val="4FCA5068"/>
    <w:rsid w:val="4FEB7DF0"/>
    <w:rsid w:val="4FFA1365"/>
    <w:rsid w:val="4FFA65D4"/>
    <w:rsid w:val="500F0584"/>
    <w:rsid w:val="5010599C"/>
    <w:rsid w:val="501C76A9"/>
    <w:rsid w:val="502C1FE3"/>
    <w:rsid w:val="50371D47"/>
    <w:rsid w:val="5042748B"/>
    <w:rsid w:val="50593A6B"/>
    <w:rsid w:val="50761668"/>
    <w:rsid w:val="5081540F"/>
    <w:rsid w:val="50A11FE0"/>
    <w:rsid w:val="50AD585A"/>
    <w:rsid w:val="50AF5D81"/>
    <w:rsid w:val="50C97A0F"/>
    <w:rsid w:val="50CA132D"/>
    <w:rsid w:val="50FA129A"/>
    <w:rsid w:val="50FB6299"/>
    <w:rsid w:val="51275918"/>
    <w:rsid w:val="513A25DC"/>
    <w:rsid w:val="51525279"/>
    <w:rsid w:val="516C2456"/>
    <w:rsid w:val="517046A0"/>
    <w:rsid w:val="51855BFC"/>
    <w:rsid w:val="519812D4"/>
    <w:rsid w:val="51DF11E2"/>
    <w:rsid w:val="51E568EC"/>
    <w:rsid w:val="51EC2B84"/>
    <w:rsid w:val="520F15DA"/>
    <w:rsid w:val="5243741C"/>
    <w:rsid w:val="526F0D6C"/>
    <w:rsid w:val="52895D34"/>
    <w:rsid w:val="528974DE"/>
    <w:rsid w:val="528B1787"/>
    <w:rsid w:val="529B64D4"/>
    <w:rsid w:val="52BB0AFC"/>
    <w:rsid w:val="52C04276"/>
    <w:rsid w:val="52DD06B0"/>
    <w:rsid w:val="52E03863"/>
    <w:rsid w:val="52EA2412"/>
    <w:rsid w:val="52ED74D1"/>
    <w:rsid w:val="53737428"/>
    <w:rsid w:val="537A6B31"/>
    <w:rsid w:val="538B6B0E"/>
    <w:rsid w:val="538E7ED0"/>
    <w:rsid w:val="53B1208A"/>
    <w:rsid w:val="53F6606A"/>
    <w:rsid w:val="54047EF9"/>
    <w:rsid w:val="54243237"/>
    <w:rsid w:val="543030E8"/>
    <w:rsid w:val="545D3065"/>
    <w:rsid w:val="54CF0192"/>
    <w:rsid w:val="54EF084A"/>
    <w:rsid w:val="552E0DA0"/>
    <w:rsid w:val="553C77BE"/>
    <w:rsid w:val="55411CE2"/>
    <w:rsid w:val="55944A4D"/>
    <w:rsid w:val="55955230"/>
    <w:rsid w:val="55A15426"/>
    <w:rsid w:val="55AD530D"/>
    <w:rsid w:val="55BE7E12"/>
    <w:rsid w:val="56096451"/>
    <w:rsid w:val="5621641A"/>
    <w:rsid w:val="5641016C"/>
    <w:rsid w:val="56440D1A"/>
    <w:rsid w:val="56494582"/>
    <w:rsid w:val="56643E6F"/>
    <w:rsid w:val="56D24D25"/>
    <w:rsid w:val="56D26326"/>
    <w:rsid w:val="56DC142E"/>
    <w:rsid w:val="56DF13E7"/>
    <w:rsid w:val="56E47955"/>
    <w:rsid w:val="56EE2D40"/>
    <w:rsid w:val="56FB1D20"/>
    <w:rsid w:val="572A176D"/>
    <w:rsid w:val="57532621"/>
    <w:rsid w:val="57763155"/>
    <w:rsid w:val="577E3A14"/>
    <w:rsid w:val="577F7C32"/>
    <w:rsid w:val="57990BC5"/>
    <w:rsid w:val="57C472B3"/>
    <w:rsid w:val="57CF6D04"/>
    <w:rsid w:val="57D51805"/>
    <w:rsid w:val="57E722A5"/>
    <w:rsid w:val="580939BE"/>
    <w:rsid w:val="583628E4"/>
    <w:rsid w:val="58370A57"/>
    <w:rsid w:val="58410DE3"/>
    <w:rsid w:val="585A0807"/>
    <w:rsid w:val="586A6100"/>
    <w:rsid w:val="587D63AB"/>
    <w:rsid w:val="58814983"/>
    <w:rsid w:val="58963FB2"/>
    <w:rsid w:val="58B2640F"/>
    <w:rsid w:val="58DF3C3A"/>
    <w:rsid w:val="58F22A1F"/>
    <w:rsid w:val="59010D92"/>
    <w:rsid w:val="595E0345"/>
    <w:rsid w:val="597471AE"/>
    <w:rsid w:val="597A7A02"/>
    <w:rsid w:val="59893E25"/>
    <w:rsid w:val="5996188C"/>
    <w:rsid w:val="59C15A6E"/>
    <w:rsid w:val="59CB2D2E"/>
    <w:rsid w:val="5A5522BF"/>
    <w:rsid w:val="5A7E2B14"/>
    <w:rsid w:val="5AA962A2"/>
    <w:rsid w:val="5ABC30B1"/>
    <w:rsid w:val="5AD82EB4"/>
    <w:rsid w:val="5AFE0CF5"/>
    <w:rsid w:val="5B0D25D3"/>
    <w:rsid w:val="5B0E6533"/>
    <w:rsid w:val="5B0F1268"/>
    <w:rsid w:val="5B254A6C"/>
    <w:rsid w:val="5B271883"/>
    <w:rsid w:val="5B652DFD"/>
    <w:rsid w:val="5B7A3CE8"/>
    <w:rsid w:val="5BAC2B33"/>
    <w:rsid w:val="5BC528FD"/>
    <w:rsid w:val="5BD31468"/>
    <w:rsid w:val="5BF61F1A"/>
    <w:rsid w:val="5C03301C"/>
    <w:rsid w:val="5C262BEB"/>
    <w:rsid w:val="5C7B1ABC"/>
    <w:rsid w:val="5C8661FC"/>
    <w:rsid w:val="5C916134"/>
    <w:rsid w:val="5CAB2656"/>
    <w:rsid w:val="5CC1720C"/>
    <w:rsid w:val="5D203E0F"/>
    <w:rsid w:val="5D276C9F"/>
    <w:rsid w:val="5D5E045B"/>
    <w:rsid w:val="5D5E3D75"/>
    <w:rsid w:val="5D616655"/>
    <w:rsid w:val="5D7E2D63"/>
    <w:rsid w:val="5D9D0697"/>
    <w:rsid w:val="5DE71C80"/>
    <w:rsid w:val="5DE7441E"/>
    <w:rsid w:val="5DFE4FD8"/>
    <w:rsid w:val="5E2723EF"/>
    <w:rsid w:val="5E326D83"/>
    <w:rsid w:val="5E437DFE"/>
    <w:rsid w:val="5E8E347A"/>
    <w:rsid w:val="5EB442D3"/>
    <w:rsid w:val="5ECC0D42"/>
    <w:rsid w:val="5EDA0D5C"/>
    <w:rsid w:val="5EE33434"/>
    <w:rsid w:val="5F1B07F4"/>
    <w:rsid w:val="5F542834"/>
    <w:rsid w:val="5F55327D"/>
    <w:rsid w:val="5F582B2A"/>
    <w:rsid w:val="5FC86363"/>
    <w:rsid w:val="5FCE41B9"/>
    <w:rsid w:val="5FD26974"/>
    <w:rsid w:val="60115946"/>
    <w:rsid w:val="60120D58"/>
    <w:rsid w:val="603B74B6"/>
    <w:rsid w:val="604B3035"/>
    <w:rsid w:val="606103C9"/>
    <w:rsid w:val="6075016A"/>
    <w:rsid w:val="6078689C"/>
    <w:rsid w:val="60C66909"/>
    <w:rsid w:val="60D06B2F"/>
    <w:rsid w:val="60F62E01"/>
    <w:rsid w:val="60FA11ED"/>
    <w:rsid w:val="611078BE"/>
    <w:rsid w:val="614F560D"/>
    <w:rsid w:val="617B7D63"/>
    <w:rsid w:val="61BA27D8"/>
    <w:rsid w:val="61CB20D0"/>
    <w:rsid w:val="62026E12"/>
    <w:rsid w:val="6205157F"/>
    <w:rsid w:val="62372DE1"/>
    <w:rsid w:val="624B20D7"/>
    <w:rsid w:val="627A57C5"/>
    <w:rsid w:val="62A85356"/>
    <w:rsid w:val="62AD24C1"/>
    <w:rsid w:val="62B34391"/>
    <w:rsid w:val="62BE3C02"/>
    <w:rsid w:val="63023516"/>
    <w:rsid w:val="63072E16"/>
    <w:rsid w:val="631B6E3C"/>
    <w:rsid w:val="6322425F"/>
    <w:rsid w:val="63414F5F"/>
    <w:rsid w:val="636A6C8B"/>
    <w:rsid w:val="63730052"/>
    <w:rsid w:val="638A4297"/>
    <w:rsid w:val="638F5DC8"/>
    <w:rsid w:val="63BA5EF7"/>
    <w:rsid w:val="63C418C9"/>
    <w:rsid w:val="63E47698"/>
    <w:rsid w:val="641C262F"/>
    <w:rsid w:val="641E2BAA"/>
    <w:rsid w:val="64286FD4"/>
    <w:rsid w:val="644648EE"/>
    <w:rsid w:val="647404E0"/>
    <w:rsid w:val="64894C7A"/>
    <w:rsid w:val="64995B94"/>
    <w:rsid w:val="64B92EF7"/>
    <w:rsid w:val="64D42FF2"/>
    <w:rsid w:val="64DD3611"/>
    <w:rsid w:val="64E86E28"/>
    <w:rsid w:val="64EC5B2E"/>
    <w:rsid w:val="65117B0D"/>
    <w:rsid w:val="654707C7"/>
    <w:rsid w:val="65526009"/>
    <w:rsid w:val="658E5B0E"/>
    <w:rsid w:val="65B30125"/>
    <w:rsid w:val="65C418F3"/>
    <w:rsid w:val="65EE2A50"/>
    <w:rsid w:val="66566C26"/>
    <w:rsid w:val="668A4527"/>
    <w:rsid w:val="6695111E"/>
    <w:rsid w:val="66A038BA"/>
    <w:rsid w:val="66A13942"/>
    <w:rsid w:val="66A96AD0"/>
    <w:rsid w:val="66CE735F"/>
    <w:rsid w:val="66F71F79"/>
    <w:rsid w:val="66F76E44"/>
    <w:rsid w:val="66FB1F7E"/>
    <w:rsid w:val="672F1572"/>
    <w:rsid w:val="67437FD6"/>
    <w:rsid w:val="67477C06"/>
    <w:rsid w:val="67535652"/>
    <w:rsid w:val="677D0530"/>
    <w:rsid w:val="677E1BB2"/>
    <w:rsid w:val="67B07301"/>
    <w:rsid w:val="67BA0E3C"/>
    <w:rsid w:val="67C60C96"/>
    <w:rsid w:val="67D54CC3"/>
    <w:rsid w:val="684D1CBC"/>
    <w:rsid w:val="68660051"/>
    <w:rsid w:val="6873323B"/>
    <w:rsid w:val="687D1C62"/>
    <w:rsid w:val="689A4D5B"/>
    <w:rsid w:val="689F6284"/>
    <w:rsid w:val="68C841AC"/>
    <w:rsid w:val="68E81C48"/>
    <w:rsid w:val="68F22081"/>
    <w:rsid w:val="690D76B4"/>
    <w:rsid w:val="69470DF5"/>
    <w:rsid w:val="696077C1"/>
    <w:rsid w:val="697E39F0"/>
    <w:rsid w:val="69E1349A"/>
    <w:rsid w:val="69FE209D"/>
    <w:rsid w:val="6A472119"/>
    <w:rsid w:val="6A621AA8"/>
    <w:rsid w:val="6A843983"/>
    <w:rsid w:val="6A8A6310"/>
    <w:rsid w:val="6A941928"/>
    <w:rsid w:val="6AB335D2"/>
    <w:rsid w:val="6AC30B71"/>
    <w:rsid w:val="6ADA2A3D"/>
    <w:rsid w:val="6AE245A6"/>
    <w:rsid w:val="6AF35DA5"/>
    <w:rsid w:val="6AFD7E87"/>
    <w:rsid w:val="6B0F7F8C"/>
    <w:rsid w:val="6B3F3FB9"/>
    <w:rsid w:val="6B4C26F3"/>
    <w:rsid w:val="6B6D235B"/>
    <w:rsid w:val="6B6F1F3D"/>
    <w:rsid w:val="6B765C1F"/>
    <w:rsid w:val="6B830DFA"/>
    <w:rsid w:val="6B9145AA"/>
    <w:rsid w:val="6B920945"/>
    <w:rsid w:val="6BA271CB"/>
    <w:rsid w:val="6BC71D79"/>
    <w:rsid w:val="6BDF06DA"/>
    <w:rsid w:val="6BFE563E"/>
    <w:rsid w:val="6C26158D"/>
    <w:rsid w:val="6C2F084B"/>
    <w:rsid w:val="6C370611"/>
    <w:rsid w:val="6C81461E"/>
    <w:rsid w:val="6C871509"/>
    <w:rsid w:val="6C92246C"/>
    <w:rsid w:val="6CAE2F39"/>
    <w:rsid w:val="6D1E1AC0"/>
    <w:rsid w:val="6D855A48"/>
    <w:rsid w:val="6D916243"/>
    <w:rsid w:val="6D9F7C0A"/>
    <w:rsid w:val="6DBD08FB"/>
    <w:rsid w:val="6DC91A73"/>
    <w:rsid w:val="6E3959E0"/>
    <w:rsid w:val="6E447D77"/>
    <w:rsid w:val="6E6B2732"/>
    <w:rsid w:val="6E9B5CA7"/>
    <w:rsid w:val="6EBF363D"/>
    <w:rsid w:val="6EC51EAD"/>
    <w:rsid w:val="6EDA6523"/>
    <w:rsid w:val="6F0148E1"/>
    <w:rsid w:val="6F107D0D"/>
    <w:rsid w:val="6F1E257D"/>
    <w:rsid w:val="6F3A5877"/>
    <w:rsid w:val="6F850995"/>
    <w:rsid w:val="6FB9467A"/>
    <w:rsid w:val="6FBF46F7"/>
    <w:rsid w:val="6FC90979"/>
    <w:rsid w:val="700A0487"/>
    <w:rsid w:val="70134A68"/>
    <w:rsid w:val="703655B3"/>
    <w:rsid w:val="70756E4E"/>
    <w:rsid w:val="708725E8"/>
    <w:rsid w:val="709A708A"/>
    <w:rsid w:val="70C40053"/>
    <w:rsid w:val="70FB7D88"/>
    <w:rsid w:val="71027666"/>
    <w:rsid w:val="710947E4"/>
    <w:rsid w:val="712660E4"/>
    <w:rsid w:val="712E6BAD"/>
    <w:rsid w:val="713904D0"/>
    <w:rsid w:val="714B2F53"/>
    <w:rsid w:val="715D6753"/>
    <w:rsid w:val="71706F03"/>
    <w:rsid w:val="7195135F"/>
    <w:rsid w:val="719E47DC"/>
    <w:rsid w:val="71BE0EDD"/>
    <w:rsid w:val="71D25A30"/>
    <w:rsid w:val="71E06E2B"/>
    <w:rsid w:val="71E511AB"/>
    <w:rsid w:val="720A62E7"/>
    <w:rsid w:val="722E26F2"/>
    <w:rsid w:val="72404633"/>
    <w:rsid w:val="724444C2"/>
    <w:rsid w:val="724539F8"/>
    <w:rsid w:val="72954B0E"/>
    <w:rsid w:val="72A44EEB"/>
    <w:rsid w:val="72A46970"/>
    <w:rsid w:val="72AA0407"/>
    <w:rsid w:val="72B361CA"/>
    <w:rsid w:val="72CD4EB3"/>
    <w:rsid w:val="72D57F0A"/>
    <w:rsid w:val="72E23969"/>
    <w:rsid w:val="72F55F75"/>
    <w:rsid w:val="731C1343"/>
    <w:rsid w:val="733817AF"/>
    <w:rsid w:val="734466D3"/>
    <w:rsid w:val="735054C7"/>
    <w:rsid w:val="735B4188"/>
    <w:rsid w:val="73610BAB"/>
    <w:rsid w:val="73D777C5"/>
    <w:rsid w:val="73EA4857"/>
    <w:rsid w:val="741B09DD"/>
    <w:rsid w:val="74AE3E21"/>
    <w:rsid w:val="74D014FF"/>
    <w:rsid w:val="74D97C66"/>
    <w:rsid w:val="74F639C5"/>
    <w:rsid w:val="751F5C04"/>
    <w:rsid w:val="75524DAA"/>
    <w:rsid w:val="75690FD3"/>
    <w:rsid w:val="75A1748E"/>
    <w:rsid w:val="75AF0E5F"/>
    <w:rsid w:val="75EE5304"/>
    <w:rsid w:val="75EF25F8"/>
    <w:rsid w:val="75F51A3D"/>
    <w:rsid w:val="761C3083"/>
    <w:rsid w:val="764626C8"/>
    <w:rsid w:val="768631AC"/>
    <w:rsid w:val="76E12736"/>
    <w:rsid w:val="76EC4A14"/>
    <w:rsid w:val="76EF7C19"/>
    <w:rsid w:val="76FD6069"/>
    <w:rsid w:val="77133717"/>
    <w:rsid w:val="772726B5"/>
    <w:rsid w:val="77403B29"/>
    <w:rsid w:val="774424D0"/>
    <w:rsid w:val="77550D16"/>
    <w:rsid w:val="77687633"/>
    <w:rsid w:val="777A5C6D"/>
    <w:rsid w:val="77801FFB"/>
    <w:rsid w:val="77944FDE"/>
    <w:rsid w:val="77BD3384"/>
    <w:rsid w:val="77C6752A"/>
    <w:rsid w:val="77C74EAF"/>
    <w:rsid w:val="77C80D16"/>
    <w:rsid w:val="77EE267B"/>
    <w:rsid w:val="77F711E5"/>
    <w:rsid w:val="78062955"/>
    <w:rsid w:val="783575A5"/>
    <w:rsid w:val="78824228"/>
    <w:rsid w:val="78B73E46"/>
    <w:rsid w:val="78C338C8"/>
    <w:rsid w:val="78CF6711"/>
    <w:rsid w:val="78D00B7C"/>
    <w:rsid w:val="78F50341"/>
    <w:rsid w:val="7926203B"/>
    <w:rsid w:val="792D688C"/>
    <w:rsid w:val="793D7B1F"/>
    <w:rsid w:val="7966200E"/>
    <w:rsid w:val="796C6412"/>
    <w:rsid w:val="7983681E"/>
    <w:rsid w:val="798611E0"/>
    <w:rsid w:val="79964A94"/>
    <w:rsid w:val="79B355A5"/>
    <w:rsid w:val="79DE3DF7"/>
    <w:rsid w:val="79F52B25"/>
    <w:rsid w:val="79F72E19"/>
    <w:rsid w:val="7A352C7B"/>
    <w:rsid w:val="7A5247E6"/>
    <w:rsid w:val="7A77581A"/>
    <w:rsid w:val="7A972191"/>
    <w:rsid w:val="7A9808F2"/>
    <w:rsid w:val="7A992FCA"/>
    <w:rsid w:val="7AB21E46"/>
    <w:rsid w:val="7AE47205"/>
    <w:rsid w:val="7AF579A1"/>
    <w:rsid w:val="7B0A3A31"/>
    <w:rsid w:val="7B2F3561"/>
    <w:rsid w:val="7B753A39"/>
    <w:rsid w:val="7BB12F43"/>
    <w:rsid w:val="7BC45F60"/>
    <w:rsid w:val="7BC9010B"/>
    <w:rsid w:val="7BDC1CC4"/>
    <w:rsid w:val="7BEE48F8"/>
    <w:rsid w:val="7BF6336D"/>
    <w:rsid w:val="7C286864"/>
    <w:rsid w:val="7C322558"/>
    <w:rsid w:val="7C4A7135"/>
    <w:rsid w:val="7C8E6F15"/>
    <w:rsid w:val="7C962AD2"/>
    <w:rsid w:val="7CAB24B0"/>
    <w:rsid w:val="7CB448F6"/>
    <w:rsid w:val="7CDE1719"/>
    <w:rsid w:val="7D336727"/>
    <w:rsid w:val="7D3F1AC1"/>
    <w:rsid w:val="7D9D4621"/>
    <w:rsid w:val="7DBC5F1E"/>
    <w:rsid w:val="7E017037"/>
    <w:rsid w:val="7E047ABB"/>
    <w:rsid w:val="7E1B6364"/>
    <w:rsid w:val="7E1C3341"/>
    <w:rsid w:val="7E33042D"/>
    <w:rsid w:val="7E8178BC"/>
    <w:rsid w:val="7E830DE1"/>
    <w:rsid w:val="7EEA1BAF"/>
    <w:rsid w:val="7EFF76E1"/>
    <w:rsid w:val="7F2A2623"/>
    <w:rsid w:val="7F4249C5"/>
    <w:rsid w:val="7F526932"/>
    <w:rsid w:val="7F861E4E"/>
    <w:rsid w:val="7FCE00F0"/>
    <w:rsid w:val="7FFC1AA9"/>
    <w:rsid w:val="957DD9BF"/>
    <w:rsid w:val="98F7B690"/>
    <w:rsid w:val="FCFB7457"/>
    <w:rsid w:val="FFBF98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0" w:semiHidden="0" w:name="heading 4"/>
    <w:lsdException w:qFormat="1" w:unhideWhenUsed="0" w:uiPriority="0" w:semiHidden="0" w:name="heading 5"/>
    <w:lsdException w:qFormat="1"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qFormat="1" w:uiPriority="0" w:semiHidden="0" w:name="toc 1"/>
    <w:lsdException w:qFormat="1" w:uiPriority="0" w:semiHidden="0" w:name="toc 2"/>
    <w:lsdException w:qFormat="1" w:uiPriority="0"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qFormat="1" w:uiPriority="0" w:semiHidden="0" w:name="Body Text First Indent"/>
    <w:lsdException w:qFormat="1" w:uiPriority="0" w:name="Body Text First Indent 2"/>
    <w:lsdException w:uiPriority="99" w:name="Note Heading"/>
    <w:lsdException w:qFormat="1" w:uiPriority="0" w:semiHidden="0" w:name="Body Text 2"/>
    <w:lsdException w:qFormat="1" w:uiPriority="0" w:semiHidden="0" w:name="Body Text 3"/>
    <w:lsdException w:qFormat="1" w:uiPriority="0" w:semiHidden="0" w:name="Body Text Indent 2"/>
    <w:lsdException w:qFormat="1" w:unhideWhenUsed="0" w:uiPriority="0" w:semiHidden="0" w:name="Body Text Indent 3"/>
    <w:lsdException w:uiPriority="99"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qFormat="1" w:uiPriority="99" w:name="HTML Keyboard"/>
    <w:lsdException w:qFormat="1" w:unhideWhenUsed="0" w:uiPriority="99" w:semiHidden="0" w:name="HTML Preformatted"/>
    <w:lsdException w:qFormat="1"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qFormat="1" w:uiPriority="0"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qFormat="1" w:uiPriority="0"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qFormat="1" w:uiPriority="0"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qFormat="1" w:uiPriority="0"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qFormat="1" w:uiPriority="0"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qFormat="1" w:uiPriority="0"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qFormat="1" w:uiPriority="0"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5"/>
    <w:next w:val="5"/>
    <w:link w:val="70"/>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71"/>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101"/>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8">
    <w:name w:val="heading 6"/>
    <w:basedOn w:val="1"/>
    <w:next w:val="1"/>
    <w:link w:val="181"/>
    <w:unhideWhenUsed/>
    <w:qFormat/>
    <w:uiPriority w:val="0"/>
    <w:pPr>
      <w:keepNext/>
      <w:keepLines/>
      <w:spacing w:before="240" w:after="64" w:line="320" w:lineRule="auto"/>
      <w:outlineLvl w:val="5"/>
    </w:pPr>
    <w:rPr>
      <w:rFonts w:asciiTheme="majorHAnsi" w:hAnsiTheme="majorHAnsi" w:eastAsiaTheme="majorEastAsia" w:cstheme="majorBidi"/>
      <w:b/>
      <w:bCs/>
      <w:sz w:val="24"/>
      <w:szCs w:val="24"/>
    </w:rPr>
  </w:style>
  <w:style w:type="character" w:default="1" w:styleId="51">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customStyle="1" w:styleId="5">
    <w:name w:val="无间隔1"/>
    <w:link w:val="176"/>
    <w:qFormat/>
    <w:uiPriority w:val="99"/>
    <w:pPr>
      <w:widowControl w:val="0"/>
      <w:jc w:val="both"/>
    </w:pPr>
    <w:rPr>
      <w:rFonts w:ascii="Calibri" w:hAnsi="Calibri" w:eastAsia="宋体" w:cs="Times New Roman"/>
      <w:kern w:val="2"/>
      <w:sz w:val="21"/>
      <w:szCs w:val="22"/>
      <w:lang w:val="en-US" w:eastAsia="zh-CN" w:bidi="ar-SA"/>
    </w:rPr>
  </w:style>
  <w:style w:type="paragraph" w:styleId="9">
    <w:name w:val="toc 7"/>
    <w:basedOn w:val="1"/>
    <w:next w:val="1"/>
    <w:unhideWhenUsed/>
    <w:qFormat/>
    <w:uiPriority w:val="39"/>
    <w:pPr>
      <w:ind w:left="2520" w:leftChars="1200"/>
    </w:pPr>
  </w:style>
  <w:style w:type="paragraph" w:styleId="10">
    <w:name w:val="Normal Indent"/>
    <w:basedOn w:val="1"/>
    <w:link w:val="83"/>
    <w:qFormat/>
    <w:uiPriority w:val="99"/>
    <w:pPr>
      <w:ind w:firstLine="420"/>
    </w:pPr>
  </w:style>
  <w:style w:type="paragraph" w:styleId="11">
    <w:name w:val="index 5"/>
    <w:basedOn w:val="1"/>
    <w:next w:val="1"/>
    <w:unhideWhenUsed/>
    <w:qFormat/>
    <w:uiPriority w:val="99"/>
    <w:pPr>
      <w:ind w:left="1680"/>
    </w:pPr>
  </w:style>
  <w:style w:type="paragraph" w:styleId="12">
    <w:name w:val="Document Map"/>
    <w:basedOn w:val="1"/>
    <w:link w:val="115"/>
    <w:qFormat/>
    <w:uiPriority w:val="0"/>
    <w:pPr>
      <w:shd w:val="clear" w:color="auto" w:fill="000080"/>
    </w:pPr>
    <w:rPr>
      <w:rFonts w:ascii="Times New Roman" w:hAnsi="Times New Roman" w:eastAsia="宋体" w:cs="Times New Roman"/>
      <w:szCs w:val="24"/>
    </w:rPr>
  </w:style>
  <w:style w:type="paragraph" w:styleId="13">
    <w:name w:val="annotation text"/>
    <w:basedOn w:val="1"/>
    <w:link w:val="79"/>
    <w:unhideWhenUsed/>
    <w:qFormat/>
    <w:uiPriority w:val="0"/>
    <w:pPr>
      <w:jc w:val="left"/>
    </w:pPr>
  </w:style>
  <w:style w:type="paragraph" w:styleId="14">
    <w:name w:val="Body Text 3"/>
    <w:basedOn w:val="1"/>
    <w:link w:val="213"/>
    <w:unhideWhenUsed/>
    <w:qFormat/>
    <w:uiPriority w:val="0"/>
    <w:pPr>
      <w:spacing w:after="120"/>
    </w:pPr>
    <w:rPr>
      <w:rFonts w:ascii="Times New Roman" w:hAnsi="Times New Roman" w:eastAsia="宋体" w:cs="Times New Roman"/>
      <w:sz w:val="16"/>
      <w:szCs w:val="16"/>
    </w:rPr>
  </w:style>
  <w:style w:type="paragraph" w:styleId="15">
    <w:name w:val="Body Text"/>
    <w:basedOn w:val="1"/>
    <w:link w:val="86"/>
    <w:unhideWhenUsed/>
    <w:qFormat/>
    <w:uiPriority w:val="0"/>
    <w:pPr>
      <w:spacing w:after="120"/>
    </w:pPr>
    <w:rPr>
      <w:rFonts w:ascii="Times New Roman" w:hAnsi="Times New Roman" w:eastAsia="宋体" w:cs="Times New Roman"/>
      <w:szCs w:val="24"/>
    </w:rPr>
  </w:style>
  <w:style w:type="paragraph" w:styleId="16">
    <w:name w:val="Body Text Indent"/>
    <w:basedOn w:val="1"/>
    <w:next w:val="11"/>
    <w:link w:val="96"/>
    <w:qFormat/>
    <w:uiPriority w:val="0"/>
    <w:pPr>
      <w:spacing w:after="120"/>
      <w:ind w:left="420" w:leftChars="200"/>
    </w:pPr>
    <w:rPr>
      <w:rFonts w:ascii="Times New Roman" w:hAnsi="Times New Roman" w:eastAsia="宋体" w:cs="Times New Roman"/>
      <w:szCs w:val="24"/>
    </w:rPr>
  </w:style>
  <w:style w:type="paragraph" w:styleId="17">
    <w:name w:val="toc 5"/>
    <w:basedOn w:val="1"/>
    <w:next w:val="1"/>
    <w:unhideWhenUsed/>
    <w:qFormat/>
    <w:uiPriority w:val="39"/>
    <w:pPr>
      <w:ind w:left="1680" w:leftChars="800"/>
    </w:pPr>
  </w:style>
  <w:style w:type="paragraph" w:styleId="18">
    <w:name w:val="toc 3"/>
    <w:basedOn w:val="1"/>
    <w:next w:val="1"/>
    <w:unhideWhenUsed/>
    <w:qFormat/>
    <w:uiPriority w:val="0"/>
    <w:pPr>
      <w:widowControl/>
      <w:spacing w:after="100" w:line="276" w:lineRule="auto"/>
      <w:ind w:left="440"/>
      <w:jc w:val="left"/>
    </w:pPr>
    <w:rPr>
      <w:kern w:val="0"/>
      <w:sz w:val="22"/>
    </w:rPr>
  </w:style>
  <w:style w:type="paragraph" w:styleId="19">
    <w:name w:val="Plain Text"/>
    <w:basedOn w:val="1"/>
    <w:link w:val="81"/>
    <w:qFormat/>
    <w:uiPriority w:val="0"/>
    <w:rPr>
      <w:rFonts w:ascii="宋体" w:hAnsi="Courier New" w:cs="Courier New"/>
      <w:szCs w:val="21"/>
    </w:rPr>
  </w:style>
  <w:style w:type="paragraph" w:styleId="20">
    <w:name w:val="toc 8"/>
    <w:basedOn w:val="1"/>
    <w:next w:val="1"/>
    <w:unhideWhenUsed/>
    <w:qFormat/>
    <w:uiPriority w:val="39"/>
    <w:pPr>
      <w:ind w:left="2940" w:leftChars="1400"/>
    </w:pPr>
  </w:style>
  <w:style w:type="paragraph" w:styleId="21">
    <w:name w:val="Date"/>
    <w:basedOn w:val="1"/>
    <w:next w:val="1"/>
    <w:link w:val="91"/>
    <w:unhideWhenUsed/>
    <w:qFormat/>
    <w:uiPriority w:val="0"/>
    <w:pPr>
      <w:ind w:left="100" w:leftChars="2500"/>
    </w:pPr>
  </w:style>
  <w:style w:type="paragraph" w:styleId="22">
    <w:name w:val="Body Text Indent 2"/>
    <w:basedOn w:val="1"/>
    <w:next w:val="23"/>
    <w:link w:val="89"/>
    <w:unhideWhenUsed/>
    <w:qFormat/>
    <w:uiPriority w:val="0"/>
    <w:pPr>
      <w:spacing w:after="120" w:line="480" w:lineRule="auto"/>
      <w:ind w:left="420" w:leftChars="200"/>
    </w:pPr>
    <w:rPr>
      <w:rFonts w:ascii="Times New Roman" w:hAnsi="Times New Roman" w:eastAsia="宋体" w:cs="Times New Roman"/>
      <w:szCs w:val="24"/>
    </w:rPr>
  </w:style>
  <w:style w:type="paragraph" w:styleId="23">
    <w:name w:val="Body Text First Indent 2"/>
    <w:basedOn w:val="16"/>
    <w:semiHidden/>
    <w:unhideWhenUsed/>
    <w:qFormat/>
    <w:uiPriority w:val="0"/>
    <w:pPr>
      <w:ind w:firstLine="420" w:firstLineChars="200"/>
    </w:pPr>
  </w:style>
  <w:style w:type="paragraph" w:styleId="24">
    <w:name w:val="endnote text"/>
    <w:basedOn w:val="1"/>
    <w:link w:val="80"/>
    <w:unhideWhenUsed/>
    <w:qFormat/>
    <w:uiPriority w:val="99"/>
    <w:pPr>
      <w:snapToGrid w:val="0"/>
      <w:jc w:val="left"/>
    </w:pPr>
  </w:style>
  <w:style w:type="paragraph" w:styleId="25">
    <w:name w:val="Balloon Text"/>
    <w:basedOn w:val="1"/>
    <w:link w:val="74"/>
    <w:unhideWhenUsed/>
    <w:qFormat/>
    <w:uiPriority w:val="0"/>
    <w:rPr>
      <w:sz w:val="18"/>
      <w:szCs w:val="18"/>
    </w:rPr>
  </w:style>
  <w:style w:type="paragraph" w:styleId="26">
    <w:name w:val="footer"/>
    <w:basedOn w:val="1"/>
    <w:next w:val="1"/>
    <w:link w:val="73"/>
    <w:unhideWhenUsed/>
    <w:qFormat/>
    <w:uiPriority w:val="0"/>
    <w:pPr>
      <w:tabs>
        <w:tab w:val="center" w:pos="4153"/>
        <w:tab w:val="right" w:pos="8306"/>
      </w:tabs>
      <w:snapToGrid w:val="0"/>
      <w:jc w:val="left"/>
    </w:pPr>
    <w:rPr>
      <w:sz w:val="18"/>
      <w:szCs w:val="18"/>
    </w:rPr>
  </w:style>
  <w:style w:type="paragraph" w:styleId="27">
    <w:name w:val="header"/>
    <w:basedOn w:val="1"/>
    <w:next w:val="1"/>
    <w:link w:val="72"/>
    <w:unhideWhenUsed/>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29"/>
    <w:next w:val="2"/>
    <w:unhideWhenUsed/>
    <w:qFormat/>
    <w:uiPriority w:val="0"/>
    <w:pPr>
      <w:widowControl/>
      <w:spacing w:line="440" w:lineRule="exact"/>
      <w:jc w:val="left"/>
    </w:pPr>
    <w:rPr>
      <w:rFonts w:eastAsia="黑体"/>
      <w:b/>
      <w:i w:val="0"/>
      <w:kern w:val="0"/>
      <w:sz w:val="28"/>
    </w:rPr>
  </w:style>
  <w:style w:type="paragraph" w:styleId="29">
    <w:name w:val="Quote"/>
    <w:basedOn w:val="1"/>
    <w:next w:val="1"/>
    <w:link w:val="78"/>
    <w:qFormat/>
    <w:uiPriority w:val="29"/>
    <w:rPr>
      <w:i/>
      <w:iCs/>
      <w:color w:val="000000" w:themeColor="text1"/>
      <w14:textFill>
        <w14:solidFill>
          <w14:schemeClr w14:val="tx1"/>
        </w14:solidFill>
      </w14:textFill>
    </w:rPr>
  </w:style>
  <w:style w:type="paragraph" w:styleId="30">
    <w:name w:val="toc 4"/>
    <w:basedOn w:val="1"/>
    <w:next w:val="1"/>
    <w:unhideWhenUsed/>
    <w:qFormat/>
    <w:uiPriority w:val="39"/>
    <w:pPr>
      <w:ind w:left="1260" w:leftChars="600"/>
    </w:pPr>
  </w:style>
  <w:style w:type="paragraph" w:styleId="31">
    <w:name w:val="Subtitle"/>
    <w:basedOn w:val="1"/>
    <w:next w:val="1"/>
    <w:link w:val="120"/>
    <w:qFormat/>
    <w:uiPriority w:val="11"/>
    <w:pPr>
      <w:adjustRightInd w:val="0"/>
      <w:snapToGrid w:val="0"/>
      <w:ind w:firstLine="200" w:firstLineChars="200"/>
      <w:jc w:val="left"/>
      <w:outlineLvl w:val="3"/>
    </w:pPr>
    <w:rPr>
      <w:rFonts w:ascii="Calibri Light" w:hAnsi="Calibri Light" w:eastAsia="楷体" w:cs="Times New Roman"/>
      <w:b/>
      <w:bCs/>
      <w:kern w:val="28"/>
      <w:sz w:val="28"/>
      <w:szCs w:val="32"/>
    </w:rPr>
  </w:style>
  <w:style w:type="paragraph" w:styleId="32">
    <w:name w:val="toc 6"/>
    <w:basedOn w:val="1"/>
    <w:next w:val="1"/>
    <w:unhideWhenUsed/>
    <w:qFormat/>
    <w:uiPriority w:val="39"/>
    <w:pPr>
      <w:ind w:left="2100" w:leftChars="1000"/>
    </w:pPr>
  </w:style>
  <w:style w:type="paragraph" w:styleId="33">
    <w:name w:val="Body Text Indent 3"/>
    <w:basedOn w:val="1"/>
    <w:link w:val="123"/>
    <w:qFormat/>
    <w:uiPriority w:val="0"/>
    <w:pPr>
      <w:spacing w:after="120"/>
      <w:ind w:left="420" w:leftChars="200"/>
    </w:pPr>
    <w:rPr>
      <w:rFonts w:ascii="Times New Roman" w:hAnsi="Times New Roman" w:eastAsia="宋体" w:cs="Times New Roman"/>
      <w:kern w:val="0"/>
      <w:sz w:val="16"/>
      <w:szCs w:val="16"/>
    </w:rPr>
  </w:style>
  <w:style w:type="paragraph" w:styleId="34">
    <w:name w:val="toc 2"/>
    <w:basedOn w:val="29"/>
    <w:next w:val="3"/>
    <w:unhideWhenUsed/>
    <w:qFormat/>
    <w:uiPriority w:val="0"/>
    <w:pPr>
      <w:widowControl/>
      <w:tabs>
        <w:tab w:val="left" w:pos="756"/>
        <w:tab w:val="left" w:pos="966"/>
        <w:tab w:val="left" w:pos="1204"/>
        <w:tab w:val="left" w:pos="1320"/>
        <w:tab w:val="right" w:leader="dot" w:pos="9514"/>
      </w:tabs>
      <w:spacing w:line="276" w:lineRule="auto"/>
      <w:ind w:left="220"/>
      <w:jc w:val="left"/>
    </w:pPr>
    <w:rPr>
      <w:rFonts w:ascii="宋体" w:hAnsi="宋体"/>
      <w:i w:val="0"/>
      <w:kern w:val="0"/>
      <w:sz w:val="24"/>
    </w:rPr>
  </w:style>
  <w:style w:type="paragraph" w:styleId="35">
    <w:name w:val="toc 9"/>
    <w:basedOn w:val="1"/>
    <w:next w:val="1"/>
    <w:unhideWhenUsed/>
    <w:qFormat/>
    <w:uiPriority w:val="39"/>
    <w:pPr>
      <w:ind w:left="3360" w:leftChars="1600"/>
    </w:pPr>
  </w:style>
  <w:style w:type="paragraph" w:styleId="36">
    <w:name w:val="Body Text 2"/>
    <w:basedOn w:val="1"/>
    <w:link w:val="210"/>
    <w:unhideWhenUsed/>
    <w:qFormat/>
    <w:uiPriority w:val="0"/>
    <w:pPr>
      <w:spacing w:after="120" w:line="480" w:lineRule="auto"/>
    </w:pPr>
    <w:rPr>
      <w:rFonts w:ascii="Times New Roman" w:hAnsi="Times New Roman" w:eastAsia="宋体" w:cs="Times New Roman"/>
      <w:szCs w:val="20"/>
    </w:rPr>
  </w:style>
  <w:style w:type="paragraph" w:styleId="37">
    <w:name w:val="HTML Preformatted"/>
    <w:basedOn w:val="1"/>
    <w:link w:val="13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4"/>
    </w:rPr>
  </w:style>
  <w:style w:type="paragraph" w:styleId="38">
    <w:name w:val="Normal (Web)"/>
    <w:basedOn w:val="1"/>
    <w:next w:val="1"/>
    <w:unhideWhenUsed/>
    <w:qFormat/>
    <w:uiPriority w:val="0"/>
    <w:pPr>
      <w:spacing w:beforeAutospacing="1" w:afterAutospacing="1"/>
      <w:jc w:val="left"/>
    </w:pPr>
    <w:rPr>
      <w:rFonts w:cs="Times New Roman"/>
      <w:kern w:val="0"/>
      <w:sz w:val="24"/>
    </w:rPr>
  </w:style>
  <w:style w:type="paragraph" w:styleId="39">
    <w:name w:val="Title"/>
    <w:basedOn w:val="1"/>
    <w:next w:val="1"/>
    <w:link w:val="118"/>
    <w:qFormat/>
    <w:uiPriority w:val="10"/>
    <w:pPr>
      <w:adjustRightInd w:val="0"/>
      <w:snapToGrid w:val="0"/>
      <w:ind w:firstLine="200" w:firstLineChars="200"/>
      <w:jc w:val="left"/>
      <w:outlineLvl w:val="2"/>
    </w:pPr>
    <w:rPr>
      <w:rFonts w:ascii="Calibri Light" w:hAnsi="Calibri Light" w:eastAsia="宋体" w:cs="Times New Roman"/>
      <w:b/>
      <w:bCs/>
      <w:kern w:val="0"/>
      <w:sz w:val="28"/>
      <w:szCs w:val="32"/>
    </w:rPr>
  </w:style>
  <w:style w:type="paragraph" w:styleId="40">
    <w:name w:val="annotation subject"/>
    <w:basedOn w:val="13"/>
    <w:next w:val="13"/>
    <w:link w:val="84"/>
    <w:unhideWhenUsed/>
    <w:qFormat/>
    <w:uiPriority w:val="0"/>
    <w:rPr>
      <w:b/>
      <w:bCs/>
    </w:rPr>
  </w:style>
  <w:style w:type="paragraph" w:styleId="41">
    <w:name w:val="Body Text First Indent"/>
    <w:basedOn w:val="15"/>
    <w:link w:val="212"/>
    <w:unhideWhenUsed/>
    <w:qFormat/>
    <w:uiPriority w:val="0"/>
    <w:pPr>
      <w:ind w:firstLine="420" w:firstLineChars="100"/>
    </w:pPr>
  </w:style>
  <w:style w:type="table" w:styleId="43">
    <w:name w:val="Table Grid"/>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4">
    <w:name w:val="Medium Grid 3"/>
    <w:basedOn w:val="42"/>
    <w:unhideWhenUsed/>
    <w:qFormat/>
    <w:uiPriority w:val="0"/>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C0C0C0"/>
    </w:tcPr>
    <w:tblStylePr w:type="firstRow">
      <w:rPr>
        <w:b/>
        <w:bCs/>
        <w:i w:val="0"/>
        <w:iCs w:val="0"/>
        <w:color w:val="FFFFFF"/>
      </w:rPr>
      <w:tbl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000000"/>
      </w:tcPr>
    </w:tblStylePr>
    <w:tblStylePr w:type="lastRow">
      <w:rPr>
        <w:b/>
        <w:bCs/>
        <w:i w:val="0"/>
        <w:iCs w:val="0"/>
        <w:color w:val="FFFFFF"/>
      </w:rPr>
      <w:tbl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000000"/>
      </w:tcPr>
    </w:tblStylePr>
    <w:tblStylePr w:type="firstCol">
      <w:rPr>
        <w:b/>
        <w:bCs/>
        <w:i w:val="0"/>
        <w:iCs w:val="0"/>
        <w:color w:val="FFFFFF"/>
      </w:rPr>
      <w:tblPr/>
      <w:tcPr>
        <w:tcBorders>
          <w:top w:val="nil"/>
          <w:left w:val="single" w:color="CCE8CF" w:sz="8" w:space="0"/>
          <w:bottom w:val="nil"/>
          <w:right w:val="single" w:color="CCE8CF" w:sz="24" w:space="0"/>
          <w:insideH w:val="nil"/>
          <w:insideV w:val="nil"/>
          <w:tl2br w:val="nil"/>
          <w:tr2bl w:val="nil"/>
        </w:tcBorders>
        <w:shd w:val="clear" w:color="auto" w:fill="000000"/>
      </w:tcPr>
    </w:tblStylePr>
    <w:tblStylePr w:type="lastCol">
      <w:rPr>
        <w:b/>
        <w:bCs/>
        <w:i w:val="0"/>
        <w:iCs w:val="0"/>
        <w:color w:val="FFFFFF"/>
      </w:rPr>
      <w:tblPr/>
      <w:tcPr>
        <w:tcBorders>
          <w:top w:val="nil"/>
          <w:left w:val="single" w:color="CCE8CF" w:sz="24" w:space="0"/>
          <w:bottom w:val="nil"/>
          <w:right w:val="nil"/>
          <w:insideH w:val="nil"/>
          <w:insideV w:val="nil"/>
          <w:tl2br w:val="nil"/>
          <w:tr2bl w:val="nil"/>
        </w:tcBorders>
        <w:shd w:val="clear" w:color="auto" w:fill="000000"/>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808080"/>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808080"/>
      </w:tcPr>
    </w:tblStylePr>
  </w:style>
  <w:style w:type="table" w:styleId="45">
    <w:name w:val="Medium Grid 3 Accent 1"/>
    <w:basedOn w:val="42"/>
    <w:unhideWhenUsed/>
    <w:qFormat/>
    <w:uiPriority w:val="0"/>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3DFEE"/>
    </w:tcPr>
    <w:tblStylePr w:type="firstRow">
      <w:rPr>
        <w:b/>
        <w:bCs/>
        <w:i w:val="0"/>
        <w:iCs w:val="0"/>
        <w:color w:val="FFFFFF"/>
      </w:rPr>
      <w:tbl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4F81BD"/>
      </w:tcPr>
    </w:tblStylePr>
    <w:tblStylePr w:type="lastRow">
      <w:rPr>
        <w:b/>
        <w:bCs/>
        <w:i w:val="0"/>
        <w:iCs w:val="0"/>
        <w:color w:val="FFFFFF"/>
      </w:rPr>
      <w:tbl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4F81BD"/>
      </w:tcPr>
    </w:tblStylePr>
    <w:tblStylePr w:type="firstCol">
      <w:rPr>
        <w:b/>
        <w:bCs/>
        <w:i w:val="0"/>
        <w:iCs w:val="0"/>
        <w:color w:val="FFFFFF"/>
      </w:rPr>
      <w:tblPr/>
      <w:tcPr>
        <w:tcBorders>
          <w:top w:val="nil"/>
          <w:left w:val="single" w:color="CCE8CF" w:sz="8" w:space="0"/>
          <w:bottom w:val="nil"/>
          <w:right w:val="single" w:color="CCE8CF" w:sz="24" w:space="0"/>
          <w:insideH w:val="nil"/>
          <w:insideV w:val="nil"/>
          <w:tl2br w:val="nil"/>
          <w:tr2bl w:val="nil"/>
        </w:tcBorders>
        <w:shd w:val="clear" w:color="auto" w:fill="4F81BD"/>
      </w:tcPr>
    </w:tblStylePr>
    <w:tblStylePr w:type="lastCol">
      <w:rPr>
        <w:b/>
        <w:bCs/>
        <w:i w:val="0"/>
        <w:iCs w:val="0"/>
        <w:color w:val="FFFFFF"/>
      </w:rPr>
      <w:tblPr/>
      <w:tcPr>
        <w:tcBorders>
          <w:top w:val="nil"/>
          <w:left w:val="single" w:color="CCE8CF" w:sz="24" w:space="0"/>
          <w:bottom w:val="nil"/>
          <w:right w:val="nil"/>
          <w:insideH w:val="nil"/>
          <w:insideV w:val="nil"/>
          <w:tl2br w:val="nil"/>
          <w:tr2bl w:val="nil"/>
        </w:tcBorders>
        <w:shd w:val="clear" w:color="auto" w:fill="4F81B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A7BFDE"/>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A7BFDE"/>
      </w:tcPr>
    </w:tblStylePr>
  </w:style>
  <w:style w:type="table" w:styleId="46">
    <w:name w:val="Medium Grid 3 Accent 2"/>
    <w:basedOn w:val="42"/>
    <w:unhideWhenUsed/>
    <w:qFormat/>
    <w:uiPriority w:val="0"/>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FD3D2"/>
    </w:tcPr>
    <w:tblStylePr w:type="firstRow">
      <w:rPr>
        <w:b/>
        <w:bCs/>
        <w:i w:val="0"/>
        <w:iCs w:val="0"/>
        <w:color w:val="FFFFFF"/>
      </w:rPr>
      <w:tbl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C0504D"/>
      </w:tcPr>
    </w:tblStylePr>
    <w:tblStylePr w:type="lastRow">
      <w:rPr>
        <w:b/>
        <w:bCs/>
        <w:i w:val="0"/>
        <w:iCs w:val="0"/>
        <w:color w:val="FFFFFF"/>
      </w:rPr>
      <w:tbl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C0504D"/>
      </w:tcPr>
    </w:tblStylePr>
    <w:tblStylePr w:type="firstCol">
      <w:rPr>
        <w:b/>
        <w:bCs/>
        <w:i w:val="0"/>
        <w:iCs w:val="0"/>
        <w:color w:val="FFFFFF"/>
      </w:rPr>
      <w:tblPr/>
      <w:tcPr>
        <w:tcBorders>
          <w:top w:val="nil"/>
          <w:left w:val="single" w:color="CCE8CF" w:sz="8" w:space="0"/>
          <w:bottom w:val="nil"/>
          <w:right w:val="single" w:color="CCE8CF" w:sz="24" w:space="0"/>
          <w:insideH w:val="nil"/>
          <w:insideV w:val="nil"/>
          <w:tl2br w:val="nil"/>
          <w:tr2bl w:val="nil"/>
        </w:tcBorders>
        <w:shd w:val="clear" w:color="auto" w:fill="C0504D"/>
      </w:tcPr>
    </w:tblStylePr>
    <w:tblStylePr w:type="lastCol">
      <w:rPr>
        <w:b/>
        <w:bCs/>
        <w:i w:val="0"/>
        <w:iCs w:val="0"/>
        <w:color w:val="FFFFFF"/>
      </w:rPr>
      <w:tblPr/>
      <w:tcPr>
        <w:tcBorders>
          <w:top w:val="nil"/>
          <w:left w:val="single" w:color="CCE8CF" w:sz="24" w:space="0"/>
          <w:bottom w:val="nil"/>
          <w:right w:val="nil"/>
          <w:insideH w:val="nil"/>
          <w:insideV w:val="nil"/>
          <w:tl2br w:val="nil"/>
          <w:tr2bl w:val="nil"/>
        </w:tcBorders>
        <w:shd w:val="clear" w:color="auto" w:fill="C0504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DFA7A6"/>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DFA7A6"/>
      </w:tcPr>
    </w:tblStylePr>
  </w:style>
  <w:style w:type="table" w:styleId="47">
    <w:name w:val="Medium Grid 3 Accent 3"/>
    <w:basedOn w:val="42"/>
    <w:unhideWhenUsed/>
    <w:qFormat/>
    <w:uiPriority w:val="0"/>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6EED5"/>
    </w:tcPr>
    <w:tblStylePr w:type="firstRow">
      <w:rPr>
        <w:b/>
        <w:bCs/>
        <w:i w:val="0"/>
        <w:iCs w:val="0"/>
        <w:color w:val="FFFFFF"/>
      </w:rPr>
      <w:tbl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9BBB59"/>
      </w:tcPr>
    </w:tblStylePr>
    <w:tblStylePr w:type="lastRow">
      <w:rPr>
        <w:b/>
        <w:bCs/>
        <w:i w:val="0"/>
        <w:iCs w:val="0"/>
        <w:color w:val="FFFFFF"/>
      </w:rPr>
      <w:tbl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9BBB59"/>
      </w:tcPr>
    </w:tblStylePr>
    <w:tblStylePr w:type="firstCol">
      <w:rPr>
        <w:b/>
        <w:bCs/>
        <w:i w:val="0"/>
        <w:iCs w:val="0"/>
        <w:color w:val="FFFFFF"/>
      </w:rPr>
      <w:tblPr/>
      <w:tcPr>
        <w:tcBorders>
          <w:top w:val="nil"/>
          <w:left w:val="single" w:color="CCE8CF" w:sz="8" w:space="0"/>
          <w:bottom w:val="nil"/>
          <w:right w:val="single" w:color="CCE8CF" w:sz="24" w:space="0"/>
          <w:insideH w:val="nil"/>
          <w:insideV w:val="nil"/>
          <w:tl2br w:val="nil"/>
          <w:tr2bl w:val="nil"/>
        </w:tcBorders>
        <w:shd w:val="clear" w:color="auto" w:fill="9BBB59"/>
      </w:tcPr>
    </w:tblStylePr>
    <w:tblStylePr w:type="lastCol">
      <w:rPr>
        <w:b/>
        <w:bCs/>
        <w:i w:val="0"/>
        <w:iCs w:val="0"/>
        <w:color w:val="FFFFFF"/>
      </w:rPr>
      <w:tblPr/>
      <w:tcPr>
        <w:tcBorders>
          <w:top w:val="nil"/>
          <w:left w:val="single" w:color="CCE8CF" w:sz="24" w:space="0"/>
          <w:bottom w:val="nil"/>
          <w:right w:val="nil"/>
          <w:insideH w:val="nil"/>
          <w:insideV w:val="nil"/>
          <w:tl2br w:val="nil"/>
          <w:tr2bl w:val="nil"/>
        </w:tcBorders>
        <w:shd w:val="clear" w:color="auto" w:fill="9BBB59"/>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CDDDAC"/>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CDDDAC"/>
      </w:tcPr>
    </w:tblStylePr>
  </w:style>
  <w:style w:type="table" w:styleId="48">
    <w:name w:val="Medium Grid 3 Accent 4"/>
    <w:basedOn w:val="42"/>
    <w:unhideWhenUsed/>
    <w:qFormat/>
    <w:uiPriority w:val="0"/>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FD8E8"/>
    </w:tcPr>
    <w:tblStylePr w:type="firstRow">
      <w:rPr>
        <w:b/>
        <w:bCs/>
        <w:i w:val="0"/>
        <w:iCs w:val="0"/>
        <w:color w:val="FFFFFF"/>
      </w:rPr>
      <w:tbl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8064A2"/>
      </w:tcPr>
    </w:tblStylePr>
    <w:tblStylePr w:type="lastRow">
      <w:rPr>
        <w:b/>
        <w:bCs/>
        <w:i w:val="0"/>
        <w:iCs w:val="0"/>
        <w:color w:val="FFFFFF"/>
      </w:rPr>
      <w:tbl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8064A2"/>
      </w:tcPr>
    </w:tblStylePr>
    <w:tblStylePr w:type="firstCol">
      <w:rPr>
        <w:b/>
        <w:bCs/>
        <w:i w:val="0"/>
        <w:iCs w:val="0"/>
        <w:color w:val="FFFFFF"/>
      </w:rPr>
      <w:tblPr/>
      <w:tcPr>
        <w:tcBorders>
          <w:top w:val="nil"/>
          <w:left w:val="single" w:color="CCE8CF" w:sz="8" w:space="0"/>
          <w:bottom w:val="nil"/>
          <w:right w:val="single" w:color="CCE8CF" w:sz="24" w:space="0"/>
          <w:insideH w:val="nil"/>
          <w:insideV w:val="nil"/>
          <w:tl2br w:val="nil"/>
          <w:tr2bl w:val="nil"/>
        </w:tcBorders>
        <w:shd w:val="clear" w:color="auto" w:fill="8064A2"/>
      </w:tcPr>
    </w:tblStylePr>
    <w:tblStylePr w:type="lastCol">
      <w:rPr>
        <w:b/>
        <w:bCs/>
        <w:i w:val="0"/>
        <w:iCs w:val="0"/>
        <w:color w:val="FFFFFF"/>
      </w:rPr>
      <w:tblPr/>
      <w:tcPr>
        <w:tcBorders>
          <w:top w:val="nil"/>
          <w:left w:val="single" w:color="CCE8CF" w:sz="24" w:space="0"/>
          <w:bottom w:val="nil"/>
          <w:right w:val="nil"/>
          <w:insideH w:val="nil"/>
          <w:insideV w:val="nil"/>
          <w:tl2br w:val="nil"/>
          <w:tr2bl w:val="nil"/>
        </w:tcBorders>
        <w:shd w:val="clear" w:color="auto" w:fill="8064A2"/>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BFB1D0"/>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BFB1D0"/>
      </w:tcPr>
    </w:tblStylePr>
  </w:style>
  <w:style w:type="table" w:styleId="49">
    <w:name w:val="Medium Grid 3 Accent 5"/>
    <w:basedOn w:val="42"/>
    <w:unhideWhenUsed/>
    <w:qFormat/>
    <w:uiPriority w:val="0"/>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2EAF1"/>
    </w:tcPr>
    <w:tblStylePr w:type="firstRow">
      <w:rPr>
        <w:b/>
        <w:bCs/>
        <w:i w:val="0"/>
        <w:iCs w:val="0"/>
        <w:color w:val="FFFFFF"/>
      </w:rPr>
      <w:tbl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4BACC6"/>
      </w:tcPr>
    </w:tblStylePr>
    <w:tblStylePr w:type="lastRow">
      <w:rPr>
        <w:b/>
        <w:bCs/>
        <w:i w:val="0"/>
        <w:iCs w:val="0"/>
        <w:color w:val="FFFFFF"/>
      </w:rPr>
      <w:tbl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4BACC6"/>
      </w:tcPr>
    </w:tblStylePr>
    <w:tblStylePr w:type="firstCol">
      <w:rPr>
        <w:b/>
        <w:bCs/>
        <w:i w:val="0"/>
        <w:iCs w:val="0"/>
        <w:color w:val="FFFFFF"/>
      </w:rPr>
      <w:tblPr/>
      <w:tcPr>
        <w:tcBorders>
          <w:top w:val="nil"/>
          <w:left w:val="single" w:color="CCE8CF" w:sz="8" w:space="0"/>
          <w:bottom w:val="nil"/>
          <w:right w:val="single" w:color="CCE8CF" w:sz="24" w:space="0"/>
          <w:insideH w:val="nil"/>
          <w:insideV w:val="nil"/>
          <w:tl2br w:val="nil"/>
          <w:tr2bl w:val="nil"/>
        </w:tcBorders>
        <w:shd w:val="clear" w:color="auto" w:fill="4BACC6"/>
      </w:tcPr>
    </w:tblStylePr>
    <w:tblStylePr w:type="lastCol">
      <w:rPr>
        <w:b/>
        <w:bCs/>
        <w:i w:val="0"/>
        <w:iCs w:val="0"/>
        <w:color w:val="FFFFFF"/>
      </w:rPr>
      <w:tblPr/>
      <w:tcPr>
        <w:tcBorders>
          <w:top w:val="nil"/>
          <w:left w:val="single" w:color="CCE8CF" w:sz="24" w:space="0"/>
          <w:bottom w:val="nil"/>
          <w:right w:val="nil"/>
          <w:insideH w:val="nil"/>
          <w:insideV w:val="nil"/>
          <w:tl2br w:val="nil"/>
          <w:tr2bl w:val="nil"/>
        </w:tcBorders>
        <w:shd w:val="clear" w:color="auto" w:fill="4BACC6"/>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A5D5E2"/>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A5D5E2"/>
      </w:tcPr>
    </w:tblStylePr>
  </w:style>
  <w:style w:type="table" w:styleId="50">
    <w:name w:val="Medium Grid 3 Accent 6"/>
    <w:basedOn w:val="42"/>
    <w:unhideWhenUsed/>
    <w:qFormat/>
    <w:uiPriority w:val="0"/>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FDE4D0"/>
    </w:tcPr>
    <w:tblStylePr w:type="firstRow">
      <w:rPr>
        <w:b/>
        <w:bCs/>
        <w:i w:val="0"/>
        <w:iCs w:val="0"/>
        <w:color w:val="FFFFFF"/>
      </w:rPr>
      <w:tblPr/>
      <w:tcPr>
        <w:tcBorders>
          <w:top w:val="single" w:color="CCE8CF" w:sz="8" w:space="0"/>
          <w:left w:val="single" w:color="CCE8CF" w:sz="8" w:space="0"/>
          <w:bottom w:val="single" w:color="CCE8CF" w:sz="24" w:space="0"/>
          <w:right w:val="single" w:color="CCE8CF" w:sz="8" w:space="0"/>
          <w:insideH w:val="nil"/>
          <w:insideV w:val="single" w:sz="8" w:space="0"/>
          <w:tl2br w:val="nil"/>
          <w:tr2bl w:val="nil"/>
        </w:tcBorders>
        <w:shd w:val="clear" w:color="auto" w:fill="F79646"/>
      </w:tcPr>
    </w:tblStylePr>
    <w:tblStylePr w:type="lastRow">
      <w:rPr>
        <w:b/>
        <w:bCs/>
        <w:i w:val="0"/>
        <w:iCs w:val="0"/>
        <w:color w:val="FFFFFF"/>
      </w:rPr>
      <w:tblPr/>
      <w:tcPr>
        <w:tcBorders>
          <w:top w:val="single" w:color="CCE8CF" w:sz="24" w:space="0"/>
          <w:left w:val="single" w:color="CCE8CF" w:sz="8" w:space="0"/>
          <w:bottom w:val="single" w:color="CCE8CF" w:sz="8" w:space="0"/>
          <w:right w:val="single" w:color="CCE8CF" w:sz="8" w:space="0"/>
          <w:insideH w:val="nil"/>
          <w:insideV w:val="single" w:sz="8" w:space="0"/>
          <w:tl2br w:val="nil"/>
          <w:tr2bl w:val="nil"/>
        </w:tcBorders>
        <w:shd w:val="clear" w:color="auto" w:fill="F79646"/>
      </w:tcPr>
    </w:tblStylePr>
    <w:tblStylePr w:type="firstCol">
      <w:rPr>
        <w:b/>
        <w:bCs/>
        <w:i w:val="0"/>
        <w:iCs w:val="0"/>
        <w:color w:val="FFFFFF"/>
      </w:rPr>
      <w:tblPr/>
      <w:tcPr>
        <w:tcBorders>
          <w:top w:val="nil"/>
          <w:left w:val="single" w:color="CCE8CF" w:sz="8" w:space="0"/>
          <w:bottom w:val="nil"/>
          <w:right w:val="single" w:color="CCE8CF" w:sz="24" w:space="0"/>
          <w:insideH w:val="nil"/>
          <w:insideV w:val="nil"/>
          <w:tl2br w:val="nil"/>
          <w:tr2bl w:val="nil"/>
        </w:tcBorders>
        <w:shd w:val="clear" w:color="auto" w:fill="F79646"/>
      </w:tcPr>
    </w:tblStylePr>
    <w:tblStylePr w:type="lastCol">
      <w:rPr>
        <w:b/>
        <w:bCs/>
        <w:i w:val="0"/>
        <w:iCs w:val="0"/>
        <w:color w:val="FFFFFF"/>
      </w:rPr>
      <w:tblPr/>
      <w:tcPr>
        <w:tcBorders>
          <w:top w:val="nil"/>
          <w:left w:val="single" w:color="CCE8CF" w:sz="24" w:space="0"/>
          <w:bottom w:val="nil"/>
          <w:right w:val="nil"/>
          <w:insideH w:val="nil"/>
          <w:insideV w:val="nil"/>
          <w:tl2br w:val="nil"/>
          <w:tr2bl w:val="nil"/>
        </w:tcBorders>
        <w:shd w:val="clear" w:color="auto" w:fill="F79646"/>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l2br w:val="nil"/>
          <w:tr2bl w:val="nil"/>
        </w:tcBorders>
        <w:shd w:val="clear" w:color="auto" w:fill="FBCAA2"/>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l2br w:val="nil"/>
          <w:tr2bl w:val="nil"/>
        </w:tcBorders>
        <w:shd w:val="clear" w:color="auto" w:fill="FBCAA2"/>
      </w:tcPr>
    </w:tblStylePr>
  </w:style>
  <w:style w:type="character" w:styleId="52">
    <w:name w:val="Strong"/>
    <w:qFormat/>
    <w:uiPriority w:val="0"/>
    <w:rPr>
      <w:b/>
    </w:rPr>
  </w:style>
  <w:style w:type="character" w:styleId="53">
    <w:name w:val="endnote reference"/>
    <w:basedOn w:val="51"/>
    <w:unhideWhenUsed/>
    <w:qFormat/>
    <w:uiPriority w:val="99"/>
    <w:rPr>
      <w:vertAlign w:val="superscript"/>
    </w:rPr>
  </w:style>
  <w:style w:type="character" w:styleId="54">
    <w:name w:val="page number"/>
    <w:basedOn w:val="51"/>
    <w:qFormat/>
    <w:uiPriority w:val="0"/>
  </w:style>
  <w:style w:type="character" w:styleId="55">
    <w:name w:val="FollowedHyperlink"/>
    <w:basedOn w:val="51"/>
    <w:unhideWhenUsed/>
    <w:qFormat/>
    <w:uiPriority w:val="0"/>
    <w:rPr>
      <w:color w:val="800080" w:themeColor="followedHyperlink"/>
      <w:u w:val="single"/>
      <w14:textFill>
        <w14:solidFill>
          <w14:schemeClr w14:val="folHlink"/>
        </w14:solidFill>
      </w14:textFill>
    </w:rPr>
  </w:style>
  <w:style w:type="character" w:styleId="56">
    <w:name w:val="Emphasis"/>
    <w:basedOn w:val="51"/>
    <w:qFormat/>
    <w:uiPriority w:val="20"/>
  </w:style>
  <w:style w:type="character" w:styleId="57">
    <w:name w:val="Hyperlink"/>
    <w:basedOn w:val="51"/>
    <w:unhideWhenUsed/>
    <w:qFormat/>
    <w:uiPriority w:val="0"/>
    <w:rPr>
      <w:color w:val="0000FF" w:themeColor="hyperlink"/>
      <w:u w:val="single"/>
      <w14:textFill>
        <w14:solidFill>
          <w14:schemeClr w14:val="hlink"/>
        </w14:solidFill>
      </w14:textFill>
    </w:rPr>
  </w:style>
  <w:style w:type="character" w:styleId="58">
    <w:name w:val="HTML Code"/>
    <w:basedOn w:val="51"/>
    <w:semiHidden/>
    <w:unhideWhenUsed/>
    <w:qFormat/>
    <w:uiPriority w:val="99"/>
    <w:rPr>
      <w:rFonts w:ascii="Consolas" w:hAnsi="Consolas" w:eastAsia="Consolas" w:cs="Consolas"/>
      <w:sz w:val="20"/>
    </w:rPr>
  </w:style>
  <w:style w:type="character" w:styleId="59">
    <w:name w:val="annotation reference"/>
    <w:basedOn w:val="51"/>
    <w:qFormat/>
    <w:uiPriority w:val="0"/>
    <w:rPr>
      <w:sz w:val="21"/>
    </w:rPr>
  </w:style>
  <w:style w:type="character" w:styleId="60">
    <w:name w:val="HTML Keyboard"/>
    <w:basedOn w:val="51"/>
    <w:semiHidden/>
    <w:unhideWhenUsed/>
    <w:qFormat/>
    <w:uiPriority w:val="99"/>
    <w:rPr>
      <w:rFonts w:hint="default" w:ascii="Consolas" w:hAnsi="Consolas" w:eastAsia="Consolas" w:cs="Consolas"/>
      <w:sz w:val="20"/>
    </w:rPr>
  </w:style>
  <w:style w:type="character" w:styleId="61">
    <w:name w:val="HTML Sample"/>
    <w:basedOn w:val="51"/>
    <w:semiHidden/>
    <w:unhideWhenUsed/>
    <w:qFormat/>
    <w:uiPriority w:val="99"/>
    <w:rPr>
      <w:rFonts w:hint="default" w:ascii="Consolas" w:hAnsi="Consolas" w:eastAsia="Consolas" w:cs="Consolas"/>
    </w:rPr>
  </w:style>
  <w:style w:type="paragraph" w:customStyle="1" w:styleId="62">
    <w:name w:val="一级条标题"/>
    <w:basedOn w:val="63"/>
    <w:next w:val="64"/>
    <w:qFormat/>
    <w:uiPriority w:val="0"/>
    <w:pPr>
      <w:spacing w:line="240" w:lineRule="auto"/>
      <w:ind w:left="420"/>
      <w:outlineLvl w:val="2"/>
    </w:pPr>
  </w:style>
  <w:style w:type="paragraph" w:customStyle="1" w:styleId="63">
    <w:name w:val="章标题"/>
    <w:next w:val="1"/>
    <w:qFormat/>
    <w:uiPriority w:val="0"/>
    <w:pPr>
      <w:spacing w:line="360" w:lineRule="auto"/>
      <w:jc w:val="both"/>
      <w:outlineLvl w:val="1"/>
    </w:pPr>
    <w:rPr>
      <w:rFonts w:ascii="黑体" w:hAnsi="Times New Roman" w:eastAsia="黑体" w:cs="黑体"/>
      <w:sz w:val="21"/>
      <w:szCs w:val="21"/>
      <w:lang w:val="en-US" w:eastAsia="zh-CN" w:bidi="ar-SA"/>
    </w:rPr>
  </w:style>
  <w:style w:type="paragraph" w:customStyle="1" w:styleId="64">
    <w:name w:val="段"/>
    <w:basedOn w:val="1"/>
    <w:next w:val="1"/>
    <w:qFormat/>
    <w:uiPriority w:val="0"/>
    <w:pPr>
      <w:widowControl/>
      <w:autoSpaceDE w:val="0"/>
      <w:autoSpaceDN w:val="0"/>
      <w:ind w:firstLine="200" w:firstLineChars="200"/>
    </w:pPr>
    <w:rPr>
      <w:rFonts w:ascii="宋体" w:hAnsi="宋体" w:cs="宋体"/>
      <w:kern w:val="0"/>
      <w:szCs w:val="24"/>
    </w:rPr>
  </w:style>
  <w:style w:type="paragraph" w:customStyle="1" w:styleId="65">
    <w:name w:val="正文文本首行缩进1"/>
    <w:basedOn w:val="1"/>
    <w:qFormat/>
    <w:uiPriority w:val="0"/>
    <w:pPr>
      <w:ind w:firstLine="420" w:firstLineChars="100"/>
    </w:pPr>
    <w:rPr>
      <w:rFonts w:ascii="Calibri" w:hAnsi="Calibri" w:eastAsia="宋体" w:cs="Times New Roman"/>
    </w:rPr>
  </w:style>
  <w:style w:type="paragraph" w:customStyle="1" w:styleId="66">
    <w:name w:val="表格文字"/>
    <w:basedOn w:val="1"/>
    <w:next w:val="15"/>
    <w:qFormat/>
    <w:uiPriority w:val="0"/>
    <w:pPr>
      <w:spacing w:before="25" w:after="25"/>
      <w:jc w:val="left"/>
    </w:pPr>
    <w:rPr>
      <w:bCs/>
      <w:spacing w:val="10"/>
      <w:kern w:val="0"/>
      <w:sz w:val="24"/>
    </w:rPr>
  </w:style>
  <w:style w:type="paragraph" w:customStyle="1" w:styleId="67">
    <w:name w:val="正文缩进1"/>
    <w:basedOn w:val="1"/>
    <w:qFormat/>
    <w:uiPriority w:val="0"/>
  </w:style>
  <w:style w:type="character" w:customStyle="1" w:styleId="68">
    <w:name w:val="标题 1 字符"/>
    <w:basedOn w:val="51"/>
    <w:link w:val="2"/>
    <w:qFormat/>
    <w:uiPriority w:val="0"/>
    <w:rPr>
      <w:b/>
      <w:bCs/>
      <w:kern w:val="44"/>
      <w:sz w:val="44"/>
      <w:szCs w:val="44"/>
    </w:rPr>
  </w:style>
  <w:style w:type="character" w:customStyle="1" w:styleId="69">
    <w:name w:val="标题 2 字符"/>
    <w:basedOn w:val="51"/>
    <w:link w:val="3"/>
    <w:qFormat/>
    <w:uiPriority w:val="9"/>
    <w:rPr>
      <w:rFonts w:asciiTheme="majorHAnsi" w:hAnsiTheme="majorHAnsi" w:eastAsiaTheme="majorEastAsia" w:cstheme="majorBidi"/>
      <w:b/>
      <w:bCs/>
      <w:sz w:val="32"/>
      <w:szCs w:val="32"/>
    </w:rPr>
  </w:style>
  <w:style w:type="character" w:customStyle="1" w:styleId="70">
    <w:name w:val="标题 3 字符"/>
    <w:basedOn w:val="51"/>
    <w:link w:val="4"/>
    <w:qFormat/>
    <w:uiPriority w:val="0"/>
    <w:rPr>
      <w:b/>
      <w:bCs/>
      <w:sz w:val="32"/>
      <w:szCs w:val="32"/>
    </w:rPr>
  </w:style>
  <w:style w:type="character" w:customStyle="1" w:styleId="71">
    <w:name w:val="标题 4 字符"/>
    <w:basedOn w:val="51"/>
    <w:link w:val="6"/>
    <w:qFormat/>
    <w:uiPriority w:val="0"/>
    <w:rPr>
      <w:rFonts w:asciiTheme="majorHAnsi" w:hAnsiTheme="majorHAnsi" w:eastAsiaTheme="majorEastAsia" w:cstheme="majorBidi"/>
      <w:b/>
      <w:bCs/>
      <w:sz w:val="28"/>
      <w:szCs w:val="28"/>
    </w:rPr>
  </w:style>
  <w:style w:type="character" w:customStyle="1" w:styleId="72">
    <w:name w:val="页眉 字符"/>
    <w:basedOn w:val="51"/>
    <w:link w:val="27"/>
    <w:qFormat/>
    <w:uiPriority w:val="0"/>
    <w:rPr>
      <w:sz w:val="18"/>
      <w:szCs w:val="18"/>
    </w:rPr>
  </w:style>
  <w:style w:type="character" w:customStyle="1" w:styleId="73">
    <w:name w:val="页脚 字符"/>
    <w:basedOn w:val="51"/>
    <w:link w:val="26"/>
    <w:qFormat/>
    <w:uiPriority w:val="0"/>
    <w:rPr>
      <w:sz w:val="18"/>
      <w:szCs w:val="18"/>
    </w:rPr>
  </w:style>
  <w:style w:type="character" w:customStyle="1" w:styleId="74">
    <w:name w:val="批注框文本 字符"/>
    <w:basedOn w:val="51"/>
    <w:link w:val="25"/>
    <w:qFormat/>
    <w:uiPriority w:val="0"/>
    <w:rPr>
      <w:sz w:val="18"/>
      <w:szCs w:val="18"/>
    </w:rPr>
  </w:style>
  <w:style w:type="paragraph" w:styleId="75">
    <w:name w:val="List Paragraph"/>
    <w:basedOn w:val="1"/>
    <w:link w:val="76"/>
    <w:qFormat/>
    <w:uiPriority w:val="0"/>
    <w:pPr>
      <w:ind w:firstLine="420" w:firstLineChars="200"/>
    </w:pPr>
  </w:style>
  <w:style w:type="character" w:customStyle="1" w:styleId="76">
    <w:name w:val="列表段落 字符1"/>
    <w:link w:val="75"/>
    <w:qFormat/>
    <w:locked/>
    <w:uiPriority w:val="0"/>
  </w:style>
  <w:style w:type="paragraph" w:customStyle="1" w:styleId="7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78">
    <w:name w:val="引用 字符"/>
    <w:basedOn w:val="51"/>
    <w:link w:val="29"/>
    <w:qFormat/>
    <w:uiPriority w:val="29"/>
    <w:rPr>
      <w:i/>
      <w:iCs/>
      <w:color w:val="000000" w:themeColor="text1"/>
      <w14:textFill>
        <w14:solidFill>
          <w14:schemeClr w14:val="tx1"/>
        </w14:solidFill>
      </w14:textFill>
    </w:rPr>
  </w:style>
  <w:style w:type="character" w:customStyle="1" w:styleId="79">
    <w:name w:val="批注文字 字符"/>
    <w:basedOn w:val="51"/>
    <w:link w:val="13"/>
    <w:qFormat/>
    <w:uiPriority w:val="0"/>
  </w:style>
  <w:style w:type="character" w:customStyle="1" w:styleId="80">
    <w:name w:val="尾注文本 字符"/>
    <w:basedOn w:val="51"/>
    <w:link w:val="24"/>
    <w:qFormat/>
    <w:uiPriority w:val="99"/>
  </w:style>
  <w:style w:type="character" w:customStyle="1" w:styleId="81">
    <w:name w:val="纯文本 字符"/>
    <w:link w:val="19"/>
    <w:qFormat/>
    <w:uiPriority w:val="0"/>
    <w:rPr>
      <w:rFonts w:ascii="宋体" w:hAnsi="Courier New" w:cs="Courier New"/>
      <w:szCs w:val="21"/>
    </w:rPr>
  </w:style>
  <w:style w:type="character" w:customStyle="1" w:styleId="82">
    <w:name w:val="纯文本 Char1"/>
    <w:basedOn w:val="51"/>
    <w:qFormat/>
    <w:uiPriority w:val="99"/>
    <w:rPr>
      <w:rFonts w:ascii="宋体" w:hAnsi="Courier New" w:eastAsia="宋体" w:cs="Courier New"/>
      <w:szCs w:val="21"/>
    </w:rPr>
  </w:style>
  <w:style w:type="character" w:customStyle="1" w:styleId="83">
    <w:name w:val="正文缩进 字符"/>
    <w:link w:val="10"/>
    <w:qFormat/>
    <w:uiPriority w:val="0"/>
  </w:style>
  <w:style w:type="character" w:customStyle="1" w:styleId="84">
    <w:name w:val="批注主题 字符"/>
    <w:basedOn w:val="79"/>
    <w:link w:val="40"/>
    <w:qFormat/>
    <w:uiPriority w:val="0"/>
    <w:rPr>
      <w:b/>
      <w:bCs/>
    </w:rPr>
  </w:style>
  <w:style w:type="character" w:customStyle="1" w:styleId="85">
    <w:name w:val="正文文本 Char1"/>
    <w:basedOn w:val="51"/>
    <w:qFormat/>
    <w:locked/>
    <w:uiPriority w:val="0"/>
    <w:rPr>
      <w:rFonts w:ascii="Times New Roman" w:hAnsi="Times New Roman" w:eastAsia="宋体" w:cs="Times New Roman"/>
      <w:szCs w:val="24"/>
    </w:rPr>
  </w:style>
  <w:style w:type="character" w:customStyle="1" w:styleId="86">
    <w:name w:val="正文文本 字符"/>
    <w:basedOn w:val="51"/>
    <w:link w:val="15"/>
    <w:qFormat/>
    <w:uiPriority w:val="0"/>
  </w:style>
  <w:style w:type="paragraph" w:customStyle="1" w:styleId="87">
    <w:name w:val="列出段落1"/>
    <w:basedOn w:val="1"/>
    <w:link w:val="174"/>
    <w:qFormat/>
    <w:uiPriority w:val="0"/>
    <w:pPr>
      <w:ind w:firstLine="420" w:firstLineChars="200"/>
    </w:pPr>
    <w:rPr>
      <w:rFonts w:ascii="Calibri" w:hAnsi="Calibri" w:eastAsia="宋体" w:cs="Calibri"/>
      <w:szCs w:val="21"/>
    </w:rPr>
  </w:style>
  <w:style w:type="paragraph" w:customStyle="1" w:styleId="88">
    <w:name w:val="_Style 3"/>
    <w:basedOn w:val="1"/>
    <w:qFormat/>
    <w:uiPriority w:val="34"/>
    <w:pPr>
      <w:ind w:firstLine="420" w:firstLineChars="200"/>
    </w:pPr>
    <w:rPr>
      <w:rFonts w:ascii="Calibri" w:hAnsi="Calibri" w:eastAsia="宋体" w:cs="Times New Roman"/>
      <w:szCs w:val="24"/>
    </w:rPr>
  </w:style>
  <w:style w:type="character" w:customStyle="1" w:styleId="89">
    <w:name w:val="正文文本缩进 2 字符"/>
    <w:basedOn w:val="51"/>
    <w:link w:val="22"/>
    <w:qFormat/>
    <w:uiPriority w:val="0"/>
    <w:rPr>
      <w:rFonts w:ascii="Times New Roman" w:hAnsi="Times New Roman" w:eastAsia="宋体" w:cs="Times New Roman"/>
      <w:kern w:val="2"/>
      <w:sz w:val="21"/>
      <w:szCs w:val="24"/>
    </w:rPr>
  </w:style>
  <w:style w:type="character" w:customStyle="1" w:styleId="90">
    <w:name w:val="font51"/>
    <w:basedOn w:val="51"/>
    <w:qFormat/>
    <w:uiPriority w:val="0"/>
    <w:rPr>
      <w:rFonts w:hint="eastAsia" w:ascii="仿宋" w:hAnsi="仿宋" w:eastAsia="仿宋" w:cs="仿宋"/>
      <w:color w:val="000000"/>
      <w:sz w:val="24"/>
      <w:szCs w:val="24"/>
      <w:u w:val="none"/>
    </w:rPr>
  </w:style>
  <w:style w:type="character" w:customStyle="1" w:styleId="91">
    <w:name w:val="日期 字符"/>
    <w:basedOn w:val="51"/>
    <w:link w:val="21"/>
    <w:semiHidden/>
    <w:qFormat/>
    <w:uiPriority w:val="0"/>
    <w:rPr>
      <w:rFonts w:asciiTheme="minorHAnsi" w:hAnsiTheme="minorHAnsi" w:eastAsiaTheme="minorEastAsia" w:cstheme="minorBidi"/>
      <w:kern w:val="2"/>
      <w:sz w:val="21"/>
      <w:szCs w:val="22"/>
    </w:rPr>
  </w:style>
  <w:style w:type="character" w:customStyle="1" w:styleId="92">
    <w:name w:val="font01"/>
    <w:basedOn w:val="51"/>
    <w:qFormat/>
    <w:uiPriority w:val="0"/>
    <w:rPr>
      <w:rFonts w:hint="eastAsia" w:ascii="宋体" w:hAnsi="宋体" w:eastAsia="宋体" w:cs="宋体"/>
      <w:color w:val="000000"/>
      <w:sz w:val="18"/>
      <w:szCs w:val="18"/>
      <w:u w:val="none"/>
    </w:rPr>
  </w:style>
  <w:style w:type="paragraph" w:customStyle="1" w:styleId="93">
    <w:name w:val="正文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94">
    <w:name w:val="列出段落11"/>
    <w:basedOn w:val="1"/>
    <w:qFormat/>
    <w:uiPriority w:val="99"/>
    <w:pPr>
      <w:spacing w:line="360" w:lineRule="auto"/>
      <w:ind w:firstLine="480" w:firstLineChars="200"/>
    </w:pPr>
    <w:rPr>
      <w:rFonts w:ascii="Times New Roman" w:hAnsi="Times New Roman" w:eastAsia="宋体" w:cs="Times New Roman"/>
      <w:sz w:val="24"/>
    </w:rPr>
  </w:style>
  <w:style w:type="paragraph" w:customStyle="1" w:styleId="95">
    <w:name w:val="正文 New New New New"/>
    <w:qFormat/>
    <w:uiPriority w:val="0"/>
    <w:pPr>
      <w:widowControl w:val="0"/>
      <w:jc w:val="both"/>
    </w:pPr>
    <w:rPr>
      <w:rFonts w:ascii="Times New Roman" w:hAnsi="Times New Roman" w:eastAsia="宋体" w:cs="Times New Roman"/>
      <w:szCs w:val="24"/>
      <w:lang w:val="en-US" w:eastAsia="zh-CN" w:bidi="ar-SA"/>
    </w:rPr>
  </w:style>
  <w:style w:type="character" w:customStyle="1" w:styleId="96">
    <w:name w:val="正文文本缩进 字符"/>
    <w:basedOn w:val="51"/>
    <w:link w:val="16"/>
    <w:qFormat/>
    <w:uiPriority w:val="0"/>
    <w:rPr>
      <w:kern w:val="2"/>
      <w:sz w:val="21"/>
      <w:szCs w:val="24"/>
    </w:rPr>
  </w:style>
  <w:style w:type="character" w:customStyle="1" w:styleId="97">
    <w:name w:val="正文文本缩进 Char1"/>
    <w:basedOn w:val="51"/>
    <w:semiHidden/>
    <w:qFormat/>
    <w:uiPriority w:val="99"/>
    <w:rPr>
      <w:rFonts w:asciiTheme="minorHAnsi" w:hAnsiTheme="minorHAnsi" w:eastAsiaTheme="minorEastAsia" w:cstheme="minorBidi"/>
      <w:kern w:val="2"/>
      <w:sz w:val="21"/>
      <w:szCs w:val="22"/>
    </w:rPr>
  </w:style>
  <w:style w:type="character" w:customStyle="1" w:styleId="98">
    <w:name w:val="font41"/>
    <w:basedOn w:val="51"/>
    <w:qFormat/>
    <w:uiPriority w:val="0"/>
    <w:rPr>
      <w:rFonts w:hint="eastAsia" w:ascii="宋体" w:hAnsi="宋体" w:eastAsia="宋体" w:cs="宋体"/>
      <w:color w:val="000000"/>
      <w:sz w:val="20"/>
      <w:szCs w:val="20"/>
      <w:u w:val="none"/>
    </w:rPr>
  </w:style>
  <w:style w:type="character" w:customStyle="1" w:styleId="99">
    <w:name w:val="font21"/>
    <w:qFormat/>
    <w:uiPriority w:val="0"/>
    <w:rPr>
      <w:rFonts w:ascii="宋体" w:hAnsi="宋体" w:eastAsia="宋体" w:cs="宋体"/>
      <w:b/>
      <w:color w:val="000000"/>
      <w:sz w:val="18"/>
      <w:szCs w:val="18"/>
      <w:u w:val="none"/>
    </w:rPr>
  </w:style>
  <w:style w:type="character" w:customStyle="1" w:styleId="100">
    <w:name w:val="font31"/>
    <w:qFormat/>
    <w:uiPriority w:val="0"/>
    <w:rPr>
      <w:rFonts w:hint="eastAsia" w:ascii="宋体" w:hAnsi="宋体" w:eastAsia="宋体" w:cs="宋体"/>
      <w:color w:val="000000"/>
      <w:sz w:val="21"/>
      <w:szCs w:val="21"/>
      <w:u w:val="none"/>
    </w:rPr>
  </w:style>
  <w:style w:type="character" w:customStyle="1" w:styleId="101">
    <w:name w:val="标题 5 字符"/>
    <w:basedOn w:val="51"/>
    <w:link w:val="7"/>
    <w:qFormat/>
    <w:uiPriority w:val="0"/>
    <w:rPr>
      <w:b/>
      <w:bCs/>
      <w:kern w:val="2"/>
      <w:sz w:val="28"/>
      <w:szCs w:val="28"/>
    </w:rPr>
  </w:style>
  <w:style w:type="character" w:customStyle="1" w:styleId="102">
    <w:name w:val="标题 3 Char1"/>
    <w:qFormat/>
    <w:uiPriority w:val="0"/>
    <w:rPr>
      <w:rFonts w:eastAsia="宋体"/>
      <w:b/>
      <w:bCs/>
      <w:kern w:val="2"/>
      <w:sz w:val="32"/>
      <w:szCs w:val="32"/>
      <w:lang w:val="en-US" w:eastAsia="zh-CN" w:bidi="ar-SA"/>
    </w:rPr>
  </w:style>
  <w:style w:type="character" w:customStyle="1" w:styleId="103">
    <w:name w:val="文档结构图 Char"/>
    <w:qFormat/>
    <w:uiPriority w:val="99"/>
    <w:rPr>
      <w:kern w:val="2"/>
      <w:sz w:val="21"/>
      <w:szCs w:val="24"/>
      <w:shd w:val="clear" w:color="auto" w:fill="000080"/>
    </w:rPr>
  </w:style>
  <w:style w:type="character" w:customStyle="1" w:styleId="104">
    <w:name w:val="正文文本缩进 3 Char"/>
    <w:qFormat/>
    <w:uiPriority w:val="0"/>
    <w:rPr>
      <w:sz w:val="16"/>
      <w:szCs w:val="16"/>
    </w:rPr>
  </w:style>
  <w:style w:type="character" w:customStyle="1" w:styleId="105">
    <w:name w:val="正文文本缩进 3 Char1"/>
    <w:qFormat/>
    <w:uiPriority w:val="0"/>
    <w:rPr>
      <w:kern w:val="2"/>
      <w:sz w:val="16"/>
      <w:szCs w:val="16"/>
    </w:rPr>
  </w:style>
  <w:style w:type="character" w:customStyle="1" w:styleId="106">
    <w:name w:val="font11"/>
    <w:basedOn w:val="51"/>
    <w:qFormat/>
    <w:uiPriority w:val="0"/>
    <w:rPr>
      <w:rFonts w:ascii="宋体" w:hAnsi="宋体" w:eastAsia="宋体" w:cs="宋体"/>
      <w:color w:val="000000"/>
      <w:sz w:val="18"/>
      <w:szCs w:val="18"/>
      <w:u w:val="none"/>
    </w:rPr>
  </w:style>
  <w:style w:type="character" w:customStyle="1" w:styleId="107">
    <w:name w:val="批注主题 Char1"/>
    <w:qFormat/>
    <w:uiPriority w:val="0"/>
    <w:rPr>
      <w:rFonts w:ascii="Calibri" w:hAnsi="Calibri"/>
      <w:b/>
      <w:bCs/>
      <w:sz w:val="24"/>
    </w:rPr>
  </w:style>
  <w:style w:type="character" w:customStyle="1" w:styleId="108">
    <w:name w:val="Table Text Char"/>
    <w:link w:val="109"/>
    <w:qFormat/>
    <w:locked/>
    <w:uiPriority w:val="99"/>
    <w:rPr>
      <w:sz w:val="18"/>
      <w:szCs w:val="21"/>
    </w:rPr>
  </w:style>
  <w:style w:type="paragraph" w:customStyle="1" w:styleId="109">
    <w:name w:val="Table Text"/>
    <w:basedOn w:val="1"/>
    <w:link w:val="108"/>
    <w:qFormat/>
    <w:uiPriority w:val="99"/>
    <w:pPr>
      <w:topLinePunct/>
      <w:adjustRightInd w:val="0"/>
      <w:snapToGrid w:val="0"/>
      <w:spacing w:before="80" w:after="80"/>
      <w:jc w:val="left"/>
    </w:pPr>
    <w:rPr>
      <w:rFonts w:ascii="Times New Roman" w:hAnsi="Times New Roman" w:eastAsia="宋体" w:cs="Times New Roman"/>
      <w:kern w:val="0"/>
      <w:sz w:val="18"/>
      <w:szCs w:val="21"/>
    </w:rPr>
  </w:style>
  <w:style w:type="character" w:customStyle="1" w:styleId="110">
    <w:name w:val="尾注文本 Char1"/>
    <w:qFormat/>
    <w:uiPriority w:val="0"/>
    <w:rPr>
      <w:kern w:val="2"/>
      <w:sz w:val="21"/>
      <w:szCs w:val="24"/>
    </w:rPr>
  </w:style>
  <w:style w:type="character" w:customStyle="1" w:styleId="111">
    <w:name w:val="Char Char7"/>
    <w:qFormat/>
    <w:uiPriority w:val="0"/>
    <w:rPr>
      <w:rFonts w:ascii="Calibri Light" w:hAnsi="Calibri Light" w:eastAsia="宋体" w:cs="Times New Roman"/>
      <w:b/>
      <w:bCs/>
      <w:sz w:val="30"/>
      <w:szCs w:val="32"/>
    </w:rPr>
  </w:style>
  <w:style w:type="character" w:customStyle="1" w:styleId="112">
    <w:name w:val="Char Char8"/>
    <w:qFormat/>
    <w:uiPriority w:val="0"/>
    <w:rPr>
      <w:b/>
      <w:bCs/>
      <w:kern w:val="44"/>
      <w:sz w:val="32"/>
      <w:szCs w:val="44"/>
    </w:rPr>
  </w:style>
  <w:style w:type="character" w:customStyle="1" w:styleId="113">
    <w:name w:val="四野 正文 Char"/>
    <w:link w:val="114"/>
    <w:qFormat/>
    <w:uiPriority w:val="0"/>
    <w:rPr>
      <w:sz w:val="28"/>
    </w:rPr>
  </w:style>
  <w:style w:type="paragraph" w:customStyle="1" w:styleId="114">
    <w:name w:val="四野 正文"/>
    <w:basedOn w:val="1"/>
    <w:link w:val="113"/>
    <w:qFormat/>
    <w:uiPriority w:val="0"/>
    <w:pPr>
      <w:adjustRightInd w:val="0"/>
      <w:snapToGrid w:val="0"/>
      <w:ind w:firstLine="200" w:firstLineChars="200"/>
      <w:jc w:val="left"/>
    </w:pPr>
    <w:rPr>
      <w:rFonts w:ascii="Times New Roman" w:hAnsi="Times New Roman" w:eastAsia="宋体" w:cs="Times New Roman"/>
      <w:kern w:val="0"/>
      <w:sz w:val="28"/>
      <w:szCs w:val="20"/>
    </w:rPr>
  </w:style>
  <w:style w:type="character" w:customStyle="1" w:styleId="115">
    <w:name w:val="文档结构图 字符"/>
    <w:basedOn w:val="51"/>
    <w:link w:val="12"/>
    <w:semiHidden/>
    <w:qFormat/>
    <w:uiPriority w:val="0"/>
    <w:rPr>
      <w:rFonts w:ascii="宋体" w:hAnsiTheme="minorHAnsi" w:cstheme="minorBidi"/>
      <w:kern w:val="2"/>
      <w:sz w:val="18"/>
      <w:szCs w:val="18"/>
    </w:rPr>
  </w:style>
  <w:style w:type="paragraph" w:customStyle="1" w:styleId="116">
    <w:name w:val="列出段落2"/>
    <w:basedOn w:val="1"/>
    <w:qFormat/>
    <w:uiPriority w:val="0"/>
    <w:pPr>
      <w:ind w:firstLine="420"/>
    </w:pPr>
    <w:rPr>
      <w:rFonts w:ascii="Times New Roman" w:hAnsi="Times New Roman" w:eastAsia="宋体" w:cs="Times New Roman"/>
    </w:rPr>
  </w:style>
  <w:style w:type="paragraph" w:customStyle="1" w:styleId="117">
    <w:name w:val="_Style 5"/>
    <w:basedOn w:val="1"/>
    <w:qFormat/>
    <w:uiPriority w:val="0"/>
    <w:pPr>
      <w:ind w:firstLine="420" w:firstLineChars="200"/>
    </w:pPr>
    <w:rPr>
      <w:rFonts w:ascii="Times New Roman" w:hAnsi="Times New Roman" w:eastAsia="宋体" w:cs="Times New Roman"/>
      <w:szCs w:val="24"/>
    </w:rPr>
  </w:style>
  <w:style w:type="character" w:customStyle="1" w:styleId="118">
    <w:name w:val="标题 字符"/>
    <w:basedOn w:val="51"/>
    <w:link w:val="39"/>
    <w:qFormat/>
    <w:uiPriority w:val="10"/>
    <w:rPr>
      <w:rFonts w:ascii="Calibri Light" w:hAnsi="Calibri Light"/>
      <w:b/>
      <w:bCs/>
      <w:sz w:val="28"/>
      <w:szCs w:val="32"/>
    </w:rPr>
  </w:style>
  <w:style w:type="paragraph" w:customStyle="1" w:styleId="119">
    <w:name w:val="列出段落3"/>
    <w:basedOn w:val="1"/>
    <w:qFormat/>
    <w:uiPriority w:val="0"/>
    <w:pPr>
      <w:ind w:firstLine="420" w:firstLineChars="200"/>
    </w:pPr>
    <w:rPr>
      <w:rFonts w:ascii="Times New Roman" w:hAnsi="Times New Roman" w:eastAsia="宋体" w:cs="Times New Roman"/>
      <w:szCs w:val="24"/>
    </w:rPr>
  </w:style>
  <w:style w:type="character" w:customStyle="1" w:styleId="120">
    <w:name w:val="副标题 字符"/>
    <w:basedOn w:val="51"/>
    <w:link w:val="31"/>
    <w:qFormat/>
    <w:uiPriority w:val="11"/>
    <w:rPr>
      <w:rFonts w:ascii="Calibri Light" w:hAnsi="Calibri Light" w:eastAsia="楷体"/>
      <w:b/>
      <w:bCs/>
      <w:kern w:val="28"/>
      <w:sz w:val="28"/>
      <w:szCs w:val="32"/>
    </w:rPr>
  </w:style>
  <w:style w:type="paragraph" w:customStyle="1" w:styleId="121">
    <w:name w:val="Default"/>
    <w:qFormat/>
    <w:uiPriority w:val="0"/>
    <w:pPr>
      <w:widowControl w:val="0"/>
      <w:autoSpaceDE w:val="0"/>
      <w:autoSpaceDN w:val="0"/>
      <w:adjustRightInd w:val="0"/>
    </w:pPr>
    <w:rPr>
      <w:rFonts w:ascii="Times New Roman" w:hAnsi="Times New Roman" w:eastAsia="宋体" w:cs="Times New Roman"/>
      <w:color w:val="000000"/>
      <w:sz w:val="24"/>
      <w:lang w:val="en-US" w:eastAsia="zh-CN" w:bidi="ar-SA"/>
    </w:rPr>
  </w:style>
  <w:style w:type="paragraph" w:customStyle="1" w:styleId="122">
    <w:name w:val="Char2"/>
    <w:basedOn w:val="1"/>
    <w:qFormat/>
    <w:uiPriority w:val="0"/>
    <w:rPr>
      <w:rFonts w:ascii="Times New Roman" w:hAnsi="Times New Roman" w:eastAsia="宋体" w:cs="Times New Roman"/>
      <w:szCs w:val="20"/>
    </w:rPr>
  </w:style>
  <w:style w:type="character" w:customStyle="1" w:styleId="123">
    <w:name w:val="正文文本缩进 3 字符"/>
    <w:basedOn w:val="51"/>
    <w:link w:val="33"/>
    <w:qFormat/>
    <w:uiPriority w:val="0"/>
    <w:rPr>
      <w:rFonts w:asciiTheme="minorHAnsi" w:hAnsiTheme="minorHAnsi" w:eastAsiaTheme="minorEastAsia" w:cstheme="minorBidi"/>
      <w:kern w:val="2"/>
      <w:sz w:val="16"/>
      <w:szCs w:val="16"/>
    </w:rPr>
  </w:style>
  <w:style w:type="paragraph" w:customStyle="1" w:styleId="124">
    <w:name w:val="p0"/>
    <w:basedOn w:val="1"/>
    <w:qFormat/>
    <w:uiPriority w:val="0"/>
    <w:pPr>
      <w:widowControl/>
    </w:pPr>
    <w:rPr>
      <w:rFonts w:ascii="Times New Roman" w:hAnsi="Times New Roman" w:eastAsia="宋体" w:cs="Times New Roman"/>
      <w:kern w:val="0"/>
      <w:szCs w:val="21"/>
    </w:rPr>
  </w:style>
  <w:style w:type="paragraph" w:customStyle="1" w:styleId="125">
    <w:name w:val="CD正文"/>
    <w:basedOn w:val="1"/>
    <w:qFormat/>
    <w:uiPriority w:val="0"/>
    <w:pPr>
      <w:spacing w:line="360" w:lineRule="auto"/>
      <w:ind w:firstLine="493"/>
    </w:pPr>
    <w:rPr>
      <w:rFonts w:ascii="Calibri" w:hAnsi="Calibri" w:eastAsia="宋体" w:cs="Times New Roman"/>
      <w:sz w:val="30"/>
      <w:szCs w:val="28"/>
    </w:rPr>
  </w:style>
  <w:style w:type="paragraph" w:customStyle="1" w:styleId="126">
    <w:name w:val="_Style 2"/>
    <w:qFormat/>
    <w:uiPriority w:val="0"/>
    <w:pPr>
      <w:widowControl w:val="0"/>
      <w:jc w:val="both"/>
    </w:pPr>
    <w:rPr>
      <w:rFonts w:ascii="Calibri" w:hAnsi="Calibri" w:eastAsia="宋体" w:cs="Times New Roman"/>
      <w:kern w:val="2"/>
      <w:sz w:val="24"/>
      <w:szCs w:val="22"/>
      <w:lang w:val="en-US" w:eastAsia="zh-CN" w:bidi="ar-SA"/>
    </w:rPr>
  </w:style>
  <w:style w:type="paragraph" w:customStyle="1" w:styleId="127">
    <w:name w:val="List Paragraph_4dc96a6a-66f9-4f4b-8c21-922dee6fd9ad"/>
    <w:basedOn w:val="1"/>
    <w:qFormat/>
    <w:uiPriority w:val="0"/>
    <w:pPr>
      <w:ind w:firstLine="420" w:firstLineChars="200"/>
    </w:pPr>
    <w:rPr>
      <w:rFonts w:ascii="宋体" w:hAnsi="宋体" w:eastAsia="宋体" w:cs="Times New Roman"/>
      <w:sz w:val="24"/>
    </w:rPr>
  </w:style>
  <w:style w:type="paragraph" w:customStyle="1" w:styleId="128">
    <w:name w:val="1 Char Char Char Char"/>
    <w:basedOn w:val="1"/>
    <w:qFormat/>
    <w:uiPriority w:val="0"/>
    <w:rPr>
      <w:rFonts w:ascii="Tahoma" w:hAnsi="Tahoma" w:eastAsia="宋体" w:cs="Tahoma"/>
      <w:sz w:val="24"/>
      <w:szCs w:val="24"/>
    </w:rPr>
  </w:style>
  <w:style w:type="table" w:customStyle="1" w:styleId="129">
    <w:name w:val="表样式"/>
    <w:qFormat/>
    <w:uiPriority w:val="99"/>
    <w:pPr>
      <w:jc w:val="both"/>
    </w:pPr>
    <w:rPr>
      <w:sz w:val="1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0">
    <w:name w:val="HTML 预设格式 字符"/>
    <w:basedOn w:val="51"/>
    <w:link w:val="37"/>
    <w:qFormat/>
    <w:uiPriority w:val="99"/>
    <w:rPr>
      <w:rFonts w:ascii="宋体" w:hAnsi="宋体"/>
      <w:sz w:val="24"/>
      <w:szCs w:val="24"/>
    </w:rPr>
  </w:style>
  <w:style w:type="paragraph" w:customStyle="1" w:styleId="131">
    <w:name w:val="HD正文1"/>
    <w:basedOn w:val="1"/>
    <w:next w:val="16"/>
    <w:qFormat/>
    <w:uiPriority w:val="0"/>
    <w:pPr>
      <w:autoSpaceDE w:val="0"/>
      <w:autoSpaceDN w:val="0"/>
      <w:adjustRightInd w:val="0"/>
      <w:ind w:firstLine="510"/>
    </w:pPr>
    <w:rPr>
      <w:rFonts w:ascii="仿宋_GB2312" w:hAnsi="Arial" w:eastAsia="仿宋_GB2312" w:cs="Times New Roman"/>
      <w:color w:val="000000"/>
      <w:sz w:val="28"/>
      <w:szCs w:val="20"/>
    </w:rPr>
  </w:style>
  <w:style w:type="paragraph" w:customStyle="1" w:styleId="132">
    <w:name w:val="Char1 Char Char Char Char Char Char"/>
    <w:basedOn w:val="1"/>
    <w:qFormat/>
    <w:uiPriority w:val="0"/>
    <w:rPr>
      <w:rFonts w:ascii="Tahoma" w:hAnsi="Tahoma" w:eastAsia="宋体" w:cs="Times New Roman"/>
      <w:sz w:val="24"/>
      <w:szCs w:val="20"/>
    </w:rPr>
  </w:style>
  <w:style w:type="paragraph" w:styleId="133">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134">
    <w:name w:val="Header Char_5fbac1ec-14ab-495f-bc9f-8c0e2347392f"/>
    <w:qFormat/>
    <w:uiPriority w:val="0"/>
    <w:rPr>
      <w:rFonts w:ascii="Times New Roman" w:hAnsi="Times New Roman" w:eastAsia="宋体" w:cs="Times New Roman"/>
      <w:sz w:val="18"/>
      <w:szCs w:val="18"/>
    </w:rPr>
  </w:style>
  <w:style w:type="character" w:customStyle="1" w:styleId="135">
    <w:name w:val="font91"/>
    <w:basedOn w:val="51"/>
    <w:qFormat/>
    <w:uiPriority w:val="0"/>
    <w:rPr>
      <w:rFonts w:ascii="Helvetica" w:hAnsi="Helvetica" w:eastAsia="Helvetica" w:cs="Helvetica"/>
      <w:b/>
      <w:color w:val="000000"/>
      <w:sz w:val="24"/>
      <w:szCs w:val="24"/>
      <w:u w:val="none"/>
    </w:rPr>
  </w:style>
  <w:style w:type="character" w:customStyle="1" w:styleId="136">
    <w:name w:val="font101"/>
    <w:basedOn w:val="51"/>
    <w:qFormat/>
    <w:uiPriority w:val="0"/>
    <w:rPr>
      <w:rFonts w:hint="eastAsia" w:ascii="宋体" w:hAnsi="宋体" w:eastAsia="宋体" w:cs="宋体"/>
      <w:color w:val="000000"/>
      <w:sz w:val="20"/>
      <w:szCs w:val="20"/>
      <w:u w:val="none"/>
    </w:rPr>
  </w:style>
  <w:style w:type="character" w:customStyle="1" w:styleId="137">
    <w:name w:val="font81"/>
    <w:qFormat/>
    <w:uiPriority w:val="0"/>
    <w:rPr>
      <w:rFonts w:hint="eastAsia" w:ascii="宋体" w:hAnsi="宋体" w:eastAsia="宋体" w:cs="宋体"/>
      <w:b/>
      <w:color w:val="00B050"/>
      <w:sz w:val="20"/>
      <w:szCs w:val="20"/>
      <w:u w:val="none"/>
    </w:rPr>
  </w:style>
  <w:style w:type="character" w:customStyle="1" w:styleId="138">
    <w:name w:val="font71"/>
    <w:basedOn w:val="51"/>
    <w:qFormat/>
    <w:uiPriority w:val="0"/>
    <w:rPr>
      <w:rFonts w:hint="eastAsia" w:ascii="宋体" w:hAnsi="宋体" w:eastAsia="宋体" w:cs="宋体"/>
      <w:b/>
      <w:color w:val="FF0000"/>
      <w:sz w:val="20"/>
      <w:szCs w:val="20"/>
      <w:u w:val="none"/>
    </w:rPr>
  </w:style>
  <w:style w:type="character" w:customStyle="1" w:styleId="139">
    <w:name w:val="Header Char"/>
    <w:qFormat/>
    <w:locked/>
    <w:uiPriority w:val="0"/>
    <w:rPr>
      <w:rFonts w:ascii="Times New Roman" w:hAnsi="Times New Roman" w:eastAsia="宋体" w:cs="Times New Roman"/>
      <w:sz w:val="18"/>
      <w:szCs w:val="18"/>
    </w:rPr>
  </w:style>
  <w:style w:type="paragraph" w:customStyle="1" w:styleId="140">
    <w:name w:val="0表格样式"/>
    <w:qFormat/>
    <w:uiPriority w:val="0"/>
    <w:rPr>
      <w:rFonts w:ascii="Calibri" w:hAnsi="Calibri" w:eastAsia="仿宋" w:cs="仿宋_GB2312"/>
      <w:kern w:val="2"/>
      <w:sz w:val="21"/>
      <w:szCs w:val="28"/>
      <w:lang w:val="en-US" w:eastAsia="zh-CN" w:bidi="ar-SA"/>
    </w:rPr>
  </w:style>
  <w:style w:type="paragraph" w:customStyle="1" w:styleId="141">
    <w:name w:val="列表样式(一级)"/>
    <w:basedOn w:val="1"/>
    <w:qFormat/>
    <w:uiPriority w:val="0"/>
    <w:pPr>
      <w:spacing w:before="160" w:after="160" w:line="280" w:lineRule="exact"/>
      <w:ind w:left="420" w:hanging="420"/>
      <w:jc w:val="left"/>
    </w:pPr>
    <w:rPr>
      <w:rFonts w:ascii="Arial" w:hAnsi="Arial" w:eastAsia="华文细黑" w:cs="Times New Roman"/>
      <w:color w:val="505050"/>
      <w:sz w:val="16"/>
      <w:szCs w:val="16"/>
    </w:rPr>
  </w:style>
  <w:style w:type="paragraph" w:customStyle="1" w:styleId="142">
    <w:name w:val="正文 首行缩进2"/>
    <w:basedOn w:val="1"/>
    <w:qFormat/>
    <w:uiPriority w:val="0"/>
    <w:pPr>
      <w:widowControl/>
      <w:spacing w:line="360" w:lineRule="auto"/>
      <w:jc w:val="left"/>
    </w:pPr>
    <w:rPr>
      <w:rFonts w:ascii="Calibri" w:hAnsi="Calibri" w:eastAsia="宋体" w:cs="Times New Roman"/>
      <w:sz w:val="24"/>
    </w:rPr>
  </w:style>
  <w:style w:type="character" w:customStyle="1" w:styleId="143">
    <w:name w:val="cc"/>
    <w:basedOn w:val="51"/>
    <w:qFormat/>
    <w:uiPriority w:val="0"/>
  </w:style>
  <w:style w:type="character" w:customStyle="1" w:styleId="144">
    <w:name w:val="hywx"/>
    <w:basedOn w:val="51"/>
    <w:qFormat/>
    <w:uiPriority w:val="0"/>
  </w:style>
  <w:style w:type="character" w:customStyle="1" w:styleId="145">
    <w:name w:val="xa"/>
    <w:basedOn w:val="51"/>
    <w:qFormat/>
    <w:uiPriority w:val="0"/>
  </w:style>
  <w:style w:type="character" w:customStyle="1" w:styleId="146">
    <w:name w:val="gfwx"/>
    <w:basedOn w:val="51"/>
    <w:qFormat/>
    <w:uiPriority w:val="0"/>
  </w:style>
  <w:style w:type="character" w:customStyle="1" w:styleId="147">
    <w:name w:val="gz"/>
    <w:basedOn w:val="51"/>
    <w:qFormat/>
    <w:uiPriority w:val="0"/>
  </w:style>
  <w:style w:type="character" w:customStyle="1" w:styleId="148">
    <w:name w:val="weihai"/>
    <w:basedOn w:val="51"/>
    <w:qFormat/>
    <w:uiPriority w:val="0"/>
  </w:style>
  <w:style w:type="character" w:customStyle="1" w:styleId="149">
    <w:name w:val="hover64"/>
    <w:qFormat/>
    <w:uiPriority w:val="0"/>
    <w:rPr>
      <w:b/>
      <w:color w:val="FF7000"/>
    </w:rPr>
  </w:style>
  <w:style w:type="character" w:customStyle="1" w:styleId="150">
    <w:name w:val="ty"/>
    <w:basedOn w:val="51"/>
    <w:qFormat/>
    <w:uiPriority w:val="0"/>
  </w:style>
  <w:style w:type="character" w:customStyle="1" w:styleId="151">
    <w:name w:val="gs"/>
    <w:basedOn w:val="51"/>
    <w:qFormat/>
    <w:uiPriority w:val="0"/>
  </w:style>
  <w:style w:type="character" w:customStyle="1" w:styleId="152">
    <w:name w:val="hz"/>
    <w:basedOn w:val="51"/>
    <w:qFormat/>
    <w:uiPriority w:val="0"/>
  </w:style>
  <w:style w:type="character" w:customStyle="1" w:styleId="153">
    <w:name w:val="wh"/>
    <w:basedOn w:val="51"/>
    <w:qFormat/>
    <w:uiPriority w:val="0"/>
  </w:style>
  <w:style w:type="character" w:customStyle="1" w:styleId="154">
    <w:name w:val="cd"/>
    <w:basedOn w:val="51"/>
    <w:qFormat/>
    <w:uiPriority w:val="0"/>
  </w:style>
  <w:style w:type="character" w:customStyle="1" w:styleId="155">
    <w:name w:val="hf"/>
    <w:basedOn w:val="51"/>
    <w:qFormat/>
    <w:uiPriority w:val="0"/>
  </w:style>
  <w:style w:type="character" w:customStyle="1" w:styleId="156">
    <w:name w:val="cq"/>
    <w:basedOn w:val="51"/>
    <w:qFormat/>
    <w:uiPriority w:val="0"/>
  </w:style>
  <w:style w:type="character" w:customStyle="1" w:styleId="157">
    <w:name w:val="km"/>
    <w:basedOn w:val="51"/>
    <w:qFormat/>
    <w:uiPriority w:val="0"/>
  </w:style>
  <w:style w:type="character" w:customStyle="1" w:styleId="158">
    <w:name w:val="cs"/>
    <w:basedOn w:val="51"/>
    <w:qFormat/>
    <w:uiPriority w:val="0"/>
  </w:style>
  <w:style w:type="character" w:customStyle="1" w:styleId="159">
    <w:name w:val="nj"/>
    <w:basedOn w:val="51"/>
    <w:qFormat/>
    <w:uiPriority w:val="0"/>
  </w:style>
  <w:style w:type="character" w:customStyle="1" w:styleId="160">
    <w:name w:val="bj"/>
    <w:basedOn w:val="51"/>
    <w:qFormat/>
    <w:uiPriority w:val="0"/>
  </w:style>
  <w:style w:type="character" w:customStyle="1" w:styleId="161">
    <w:name w:val="tj"/>
    <w:basedOn w:val="51"/>
    <w:qFormat/>
    <w:uiPriority w:val="0"/>
  </w:style>
  <w:style w:type="character" w:customStyle="1" w:styleId="162">
    <w:name w:val="wlmq"/>
    <w:basedOn w:val="51"/>
    <w:qFormat/>
    <w:uiPriority w:val="0"/>
  </w:style>
  <w:style w:type="character" w:customStyle="1" w:styleId="163">
    <w:name w:val="jn"/>
    <w:basedOn w:val="51"/>
    <w:qFormat/>
    <w:uiPriority w:val="0"/>
  </w:style>
  <w:style w:type="character" w:customStyle="1" w:styleId="164">
    <w:name w:val="qd"/>
    <w:basedOn w:val="51"/>
    <w:qFormat/>
    <w:uiPriority w:val="0"/>
  </w:style>
  <w:style w:type="character" w:customStyle="1" w:styleId="165">
    <w:name w:val="nc"/>
    <w:basedOn w:val="51"/>
    <w:qFormat/>
    <w:uiPriority w:val="0"/>
  </w:style>
  <w:style w:type="character" w:customStyle="1" w:styleId="166">
    <w:name w:val="sy"/>
    <w:basedOn w:val="51"/>
    <w:qFormat/>
    <w:uiPriority w:val="0"/>
  </w:style>
  <w:style w:type="character" w:customStyle="1" w:styleId="167">
    <w:name w:val="fz"/>
    <w:basedOn w:val="51"/>
    <w:qFormat/>
    <w:uiPriority w:val="0"/>
  </w:style>
  <w:style w:type="character" w:customStyle="1" w:styleId="168">
    <w:name w:val="ui-area-common-c-i-r"/>
    <w:basedOn w:val="51"/>
    <w:qFormat/>
    <w:uiPriority w:val="0"/>
  </w:style>
  <w:style w:type="character" w:customStyle="1" w:styleId="169">
    <w:name w:val="ui-area-common-c-i-r1"/>
    <w:qFormat/>
    <w:uiPriority w:val="0"/>
    <w:rPr>
      <w:color w:val="F30213"/>
    </w:rPr>
  </w:style>
  <w:style w:type="character" w:customStyle="1" w:styleId="170">
    <w:name w:val="ui-area-common-c-i-l"/>
    <w:basedOn w:val="51"/>
    <w:qFormat/>
    <w:uiPriority w:val="0"/>
  </w:style>
  <w:style w:type="character" w:customStyle="1" w:styleId="171">
    <w:name w:val="ui-area-common-c-i-l1"/>
    <w:qFormat/>
    <w:uiPriority w:val="0"/>
    <w:rPr>
      <w:color w:val="F30213"/>
    </w:rPr>
  </w:style>
  <w:style w:type="paragraph" w:customStyle="1" w:styleId="172">
    <w:name w:val="符号列表"/>
    <w:basedOn w:val="1"/>
    <w:next w:val="75"/>
    <w:link w:val="173"/>
    <w:qFormat/>
    <w:uiPriority w:val="0"/>
    <w:pPr>
      <w:ind w:firstLine="420" w:firstLineChars="200"/>
    </w:pPr>
    <w:rPr>
      <w:rFonts w:ascii="Calibri" w:hAnsi="Calibri" w:eastAsia="宋体" w:cs="Times New Roman"/>
    </w:rPr>
  </w:style>
  <w:style w:type="character" w:customStyle="1" w:styleId="173">
    <w:name w:val="列表段落 字符"/>
    <w:link w:val="172"/>
    <w:qFormat/>
    <w:uiPriority w:val="0"/>
    <w:rPr>
      <w:rFonts w:ascii="Calibri" w:hAnsi="Calibri"/>
      <w:kern w:val="2"/>
      <w:sz w:val="21"/>
      <w:szCs w:val="22"/>
    </w:rPr>
  </w:style>
  <w:style w:type="character" w:customStyle="1" w:styleId="174">
    <w:name w:val="列出段落 字符"/>
    <w:link w:val="87"/>
    <w:qFormat/>
    <w:uiPriority w:val="34"/>
    <w:rPr>
      <w:rFonts w:ascii="Calibri" w:hAnsi="Calibri" w:cs="Calibri"/>
      <w:kern w:val="2"/>
      <w:sz w:val="21"/>
      <w:szCs w:val="21"/>
    </w:rPr>
  </w:style>
  <w:style w:type="paragraph" w:customStyle="1" w:styleId="175">
    <w:name w:val="xl77"/>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0"/>
      <w:szCs w:val="20"/>
    </w:rPr>
  </w:style>
  <w:style w:type="character" w:customStyle="1" w:styleId="176">
    <w:name w:val="No Spacing Char"/>
    <w:link w:val="5"/>
    <w:qFormat/>
    <w:locked/>
    <w:uiPriority w:val="99"/>
    <w:rPr>
      <w:rFonts w:ascii="Calibri" w:hAnsi="Calibri"/>
      <w:kern w:val="2"/>
      <w:sz w:val="21"/>
      <w:szCs w:val="22"/>
    </w:rPr>
  </w:style>
  <w:style w:type="paragraph" w:customStyle="1" w:styleId="177">
    <w:name w:val="Table Paragraph"/>
    <w:basedOn w:val="1"/>
    <w:qFormat/>
    <w:uiPriority w:val="1"/>
    <w:pPr>
      <w:spacing w:before="127"/>
      <w:ind w:left="104"/>
    </w:pPr>
  </w:style>
  <w:style w:type="table" w:customStyle="1" w:styleId="178">
    <w:name w:val="Table Normal"/>
    <w:semiHidden/>
    <w:unhideWhenUsed/>
    <w:qFormat/>
    <w:uiPriority w:val="2"/>
    <w:tblPr>
      <w:tblCellMar>
        <w:top w:w="0" w:type="dxa"/>
        <w:left w:w="0" w:type="dxa"/>
        <w:bottom w:w="0" w:type="dxa"/>
        <w:right w:w="0" w:type="dxa"/>
      </w:tblCellMar>
    </w:tblPr>
  </w:style>
  <w:style w:type="paragraph" w:customStyle="1" w:styleId="179">
    <w:name w:val="my正文"/>
    <w:basedOn w:val="1"/>
    <w:qFormat/>
    <w:uiPriority w:val="0"/>
    <w:pPr>
      <w:spacing w:line="360" w:lineRule="auto"/>
      <w:ind w:firstLine="480" w:firstLineChars="200"/>
    </w:pPr>
    <w:rPr>
      <w:kern w:val="0"/>
      <w:sz w:val="24"/>
      <w:lang w:val="zh-CN"/>
    </w:rPr>
  </w:style>
  <w:style w:type="paragraph" w:customStyle="1" w:styleId="180">
    <w:name w:val="!我的正文 Ctr+Q"/>
    <w:basedOn w:val="1"/>
    <w:qFormat/>
    <w:uiPriority w:val="0"/>
    <w:pPr>
      <w:widowControl/>
      <w:adjustRightInd w:val="0"/>
      <w:snapToGrid w:val="0"/>
      <w:ind w:firstLine="480" w:firstLineChars="200"/>
      <w:jc w:val="left"/>
    </w:pPr>
    <w:rPr>
      <w:rFonts w:ascii="Arial" w:hAnsi="Arial" w:cs="宋体"/>
      <w:kern w:val="0"/>
      <w:sz w:val="24"/>
      <w:szCs w:val="21"/>
      <w:lang w:val="zh-CN"/>
    </w:rPr>
  </w:style>
  <w:style w:type="character" w:customStyle="1" w:styleId="181">
    <w:name w:val="标题 6 字符"/>
    <w:basedOn w:val="51"/>
    <w:link w:val="8"/>
    <w:qFormat/>
    <w:uiPriority w:val="0"/>
    <w:rPr>
      <w:rFonts w:asciiTheme="majorHAnsi" w:hAnsiTheme="majorHAnsi" w:eastAsiaTheme="majorEastAsia" w:cstheme="majorBidi"/>
      <w:b/>
      <w:bCs/>
      <w:sz w:val="24"/>
      <w:szCs w:val="24"/>
    </w:rPr>
  </w:style>
  <w:style w:type="paragraph" w:customStyle="1" w:styleId="182">
    <w:name w:val="*正文"/>
    <w:basedOn w:val="10"/>
    <w:qFormat/>
    <w:uiPriority w:val="0"/>
    <w:pPr>
      <w:ind w:firstLine="560" w:firstLineChars="200"/>
    </w:pPr>
    <w:rPr>
      <w:rFonts w:ascii="宋体" w:hAnsi="宋体"/>
      <w:color w:val="000000"/>
      <w:kern w:val="0"/>
      <w:sz w:val="28"/>
      <w:szCs w:val="24"/>
    </w:rPr>
  </w:style>
  <w:style w:type="character" w:customStyle="1" w:styleId="183">
    <w:name w:val="layui-this2"/>
    <w:basedOn w:val="51"/>
    <w:qFormat/>
    <w:uiPriority w:val="0"/>
    <w:rPr>
      <w:bdr w:val="single" w:color="EEEEEE" w:sz="6" w:space="0"/>
      <w:shd w:val="clear" w:color="auto" w:fill="FFFFFF"/>
    </w:rPr>
  </w:style>
  <w:style w:type="character" w:customStyle="1" w:styleId="184">
    <w:name w:val="next-item"/>
    <w:basedOn w:val="51"/>
    <w:qFormat/>
    <w:uiPriority w:val="0"/>
    <w:rPr>
      <w:color w:val="333333"/>
      <w:bdr w:val="single" w:color="CCD0D6" w:sz="6" w:space="0"/>
    </w:rPr>
  </w:style>
  <w:style w:type="character" w:customStyle="1" w:styleId="185">
    <w:name w:val="layui-laypage-curr"/>
    <w:basedOn w:val="51"/>
    <w:qFormat/>
    <w:uiPriority w:val="0"/>
  </w:style>
  <w:style w:type="character" w:customStyle="1" w:styleId="186">
    <w:name w:val="danger"/>
    <w:basedOn w:val="51"/>
    <w:qFormat/>
    <w:uiPriority w:val="0"/>
    <w:rPr>
      <w:color w:val="FF2200"/>
    </w:rPr>
  </w:style>
  <w:style w:type="character" w:customStyle="1" w:styleId="187">
    <w:name w:val="danger1"/>
    <w:basedOn w:val="51"/>
    <w:qFormat/>
    <w:uiPriority w:val="0"/>
    <w:rPr>
      <w:color w:val="FF2200"/>
    </w:rPr>
  </w:style>
  <w:style w:type="character" w:customStyle="1" w:styleId="188">
    <w:name w:val="success"/>
    <w:basedOn w:val="51"/>
    <w:qFormat/>
    <w:uiPriority w:val="0"/>
    <w:rPr>
      <w:color w:val="2DC12D"/>
    </w:rPr>
  </w:style>
  <w:style w:type="character" w:customStyle="1" w:styleId="189">
    <w:name w:val="success1"/>
    <w:basedOn w:val="51"/>
    <w:qFormat/>
    <w:uiPriority w:val="0"/>
    <w:rPr>
      <w:color w:val="2DC12D"/>
    </w:rPr>
  </w:style>
  <w:style w:type="character" w:customStyle="1" w:styleId="190">
    <w:name w:val="first-child"/>
    <w:basedOn w:val="51"/>
    <w:qFormat/>
    <w:uiPriority w:val="0"/>
  </w:style>
  <w:style w:type="character" w:customStyle="1" w:styleId="191">
    <w:name w:val="layui-this"/>
    <w:basedOn w:val="51"/>
    <w:qFormat/>
    <w:uiPriority w:val="0"/>
    <w:rPr>
      <w:bdr w:val="single" w:color="EEEEEE" w:sz="6" w:space="0"/>
      <w:shd w:val="clear" w:color="auto" w:fill="FFFFFF"/>
    </w:rPr>
  </w:style>
  <w:style w:type="paragraph" w:customStyle="1" w:styleId="192">
    <w:name w:val="正文段落"/>
    <w:basedOn w:val="1"/>
    <w:qFormat/>
    <w:uiPriority w:val="0"/>
    <w:pPr>
      <w:spacing w:line="480" w:lineRule="auto"/>
      <w:ind w:firstLine="480"/>
    </w:pPr>
    <w:rPr>
      <w:rFonts w:ascii="宋体" w:hAnsi="宋体"/>
      <w:sz w:val="24"/>
      <w:szCs w:val="24"/>
    </w:rPr>
  </w:style>
  <w:style w:type="character" w:customStyle="1" w:styleId="193">
    <w:name w:val="font151"/>
    <w:basedOn w:val="51"/>
    <w:qFormat/>
    <w:uiPriority w:val="0"/>
    <w:rPr>
      <w:rFonts w:hint="eastAsia" w:ascii="宋体" w:hAnsi="宋体" w:eastAsia="宋体" w:cs="宋体"/>
      <w:color w:val="000000"/>
      <w:sz w:val="18"/>
      <w:szCs w:val="18"/>
      <w:u w:val="none"/>
    </w:rPr>
  </w:style>
  <w:style w:type="character" w:customStyle="1" w:styleId="194">
    <w:name w:val="font61"/>
    <w:basedOn w:val="51"/>
    <w:qFormat/>
    <w:uiPriority w:val="0"/>
    <w:rPr>
      <w:rFonts w:hint="eastAsia" w:ascii="宋体" w:hAnsi="宋体" w:eastAsia="宋体" w:cs="宋体"/>
      <w:color w:val="000000"/>
      <w:sz w:val="18"/>
      <w:szCs w:val="18"/>
      <w:u w:val="none"/>
    </w:rPr>
  </w:style>
  <w:style w:type="character" w:customStyle="1" w:styleId="195">
    <w:name w:val="font131"/>
    <w:basedOn w:val="51"/>
    <w:qFormat/>
    <w:uiPriority w:val="0"/>
    <w:rPr>
      <w:rFonts w:hint="eastAsia" w:ascii="宋体" w:hAnsi="宋体" w:eastAsia="宋体" w:cs="宋体"/>
      <w:color w:val="FF0000"/>
      <w:sz w:val="18"/>
      <w:szCs w:val="18"/>
      <w:u w:val="single"/>
    </w:rPr>
  </w:style>
  <w:style w:type="character" w:customStyle="1" w:styleId="196">
    <w:name w:val="font112"/>
    <w:basedOn w:val="51"/>
    <w:qFormat/>
    <w:uiPriority w:val="0"/>
    <w:rPr>
      <w:rFonts w:hint="eastAsia" w:ascii="仿宋" w:hAnsi="仿宋" w:eastAsia="仿宋" w:cs="仿宋"/>
      <w:color w:val="000000"/>
      <w:sz w:val="20"/>
      <w:szCs w:val="20"/>
      <w:u w:val="none"/>
      <w:vertAlign w:val="superscript"/>
    </w:rPr>
  </w:style>
  <w:style w:type="character" w:customStyle="1" w:styleId="197">
    <w:name w:val="NormalCharacter"/>
    <w:qFormat/>
    <w:uiPriority w:val="0"/>
  </w:style>
  <w:style w:type="paragraph" w:customStyle="1" w:styleId="198">
    <w:name w:val="Body text|1"/>
    <w:basedOn w:val="1"/>
    <w:qFormat/>
    <w:uiPriority w:val="0"/>
    <w:pPr>
      <w:spacing w:line="449" w:lineRule="auto"/>
      <w:ind w:firstLine="360"/>
    </w:pPr>
    <w:rPr>
      <w:rFonts w:ascii="宋体" w:hAnsi="宋体" w:eastAsia="宋体" w:cs="宋体"/>
      <w:sz w:val="22"/>
      <w:lang w:val="zh-TW" w:eastAsia="zh-TW" w:bidi="zh-TW"/>
    </w:rPr>
  </w:style>
  <w:style w:type="character" w:customStyle="1" w:styleId="199">
    <w:name w:val="font111"/>
    <w:basedOn w:val="51"/>
    <w:qFormat/>
    <w:uiPriority w:val="0"/>
    <w:rPr>
      <w:rFonts w:ascii="微软雅黑" w:hAnsi="微软雅黑" w:eastAsia="微软雅黑" w:cs="微软雅黑"/>
      <w:color w:val="000000"/>
      <w:sz w:val="20"/>
      <w:szCs w:val="20"/>
      <w:u w:val="none"/>
    </w:rPr>
  </w:style>
  <w:style w:type="character" w:customStyle="1" w:styleId="200">
    <w:name w:val="font122"/>
    <w:basedOn w:val="51"/>
    <w:qFormat/>
    <w:uiPriority w:val="0"/>
    <w:rPr>
      <w:rFonts w:hint="eastAsia" w:ascii="宋体" w:hAnsi="宋体" w:eastAsia="宋体" w:cs="宋体"/>
      <w:color w:val="000000"/>
      <w:sz w:val="20"/>
      <w:szCs w:val="20"/>
      <w:u w:val="none"/>
    </w:rPr>
  </w:style>
  <w:style w:type="character" w:customStyle="1" w:styleId="201">
    <w:name w:val="font141"/>
    <w:basedOn w:val="51"/>
    <w:qFormat/>
    <w:uiPriority w:val="0"/>
    <w:rPr>
      <w:rFonts w:hint="eastAsia" w:ascii="微软雅黑" w:hAnsi="微软雅黑" w:eastAsia="微软雅黑" w:cs="微软雅黑"/>
      <w:color w:val="000000"/>
      <w:sz w:val="18"/>
      <w:szCs w:val="18"/>
      <w:u w:val="none"/>
    </w:rPr>
  </w:style>
  <w:style w:type="paragraph" w:customStyle="1" w:styleId="202">
    <w:name w:val="Normal_0_0"/>
    <w:qFormat/>
    <w:uiPriority w:val="0"/>
    <w:rPr>
      <w:rFonts w:ascii="Times New Roman" w:hAnsi="Times New Roman" w:eastAsia="Times New Roman" w:cs="Times New Roman"/>
      <w:sz w:val="24"/>
      <w:szCs w:val="24"/>
      <w:lang w:val="en-US" w:eastAsia="zh-CN" w:bidi="ar-SA"/>
    </w:rPr>
  </w:style>
  <w:style w:type="paragraph" w:customStyle="1" w:styleId="203">
    <w:name w:val="Normal_1_0"/>
    <w:qFormat/>
    <w:uiPriority w:val="0"/>
    <w:rPr>
      <w:rFonts w:ascii="Times New Roman" w:hAnsi="Times New Roman" w:eastAsia="Times New Roman" w:cs="Times New Roman"/>
      <w:sz w:val="24"/>
      <w:szCs w:val="24"/>
      <w:lang w:val="en-US" w:eastAsia="zh-CN" w:bidi="ar-SA"/>
    </w:rPr>
  </w:style>
  <w:style w:type="paragraph" w:customStyle="1" w:styleId="204">
    <w:name w:val="Normal_2_0"/>
    <w:qFormat/>
    <w:uiPriority w:val="0"/>
    <w:rPr>
      <w:rFonts w:ascii="Times New Roman" w:hAnsi="Times New Roman" w:eastAsia="Times New Roman" w:cs="Times New Roman"/>
      <w:sz w:val="24"/>
      <w:szCs w:val="24"/>
      <w:lang w:val="en-US" w:eastAsia="zh-CN" w:bidi="ar-SA"/>
    </w:rPr>
  </w:style>
  <w:style w:type="paragraph" w:customStyle="1" w:styleId="205">
    <w:name w:val="cntrt"/>
    <w:basedOn w:val="1"/>
    <w:qFormat/>
    <w:uiPriority w:val="0"/>
    <w:rPr>
      <w:rFonts w:ascii="Arial" w:hAnsi="Arial"/>
      <w:kern w:val="0"/>
      <w:sz w:val="20"/>
      <w:szCs w:val="20"/>
      <w:lang w:val="en-AU"/>
    </w:rPr>
  </w:style>
  <w:style w:type="paragraph" w:customStyle="1" w:styleId="206">
    <w:name w:val="01 正文-首行缩进2字符"/>
    <w:basedOn w:val="1"/>
    <w:qFormat/>
    <w:uiPriority w:val="0"/>
    <w:pPr>
      <w:spacing w:before="50" w:beforeLines="50" w:after="50" w:afterLines="50" w:line="360" w:lineRule="auto"/>
      <w:ind w:firstLine="200" w:firstLineChars="200"/>
    </w:pPr>
    <w:rPr>
      <w:rFonts w:ascii="Arial" w:hAnsi="Arial" w:eastAsia="宋体"/>
      <w:color w:val="000000"/>
      <w:sz w:val="24"/>
    </w:rPr>
  </w:style>
  <w:style w:type="paragraph" w:customStyle="1" w:styleId="207">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8">
    <w:name w:val="正文11"/>
    <w:basedOn w:val="207"/>
    <w:qFormat/>
    <w:uiPriority w:val="0"/>
    <w:pPr>
      <w:tabs>
        <w:tab w:val="left" w:pos="1191"/>
      </w:tabs>
      <w:spacing w:before="60" w:after="60" w:line="400" w:lineRule="exact"/>
      <w:ind w:left="1191" w:hanging="1191"/>
    </w:pPr>
    <w:rPr>
      <w:rFonts w:ascii="Arial" w:hAnsi="Arial"/>
      <w:kern w:val="0"/>
      <w:sz w:val="24"/>
      <w:szCs w:val="20"/>
    </w:rPr>
  </w:style>
  <w:style w:type="character" w:customStyle="1" w:styleId="209">
    <w:name w:val="未处理的提及1"/>
    <w:basedOn w:val="51"/>
    <w:semiHidden/>
    <w:unhideWhenUsed/>
    <w:qFormat/>
    <w:uiPriority w:val="99"/>
    <w:rPr>
      <w:color w:val="605E5C"/>
      <w:shd w:val="clear" w:color="auto" w:fill="E1DFDD"/>
    </w:rPr>
  </w:style>
  <w:style w:type="character" w:customStyle="1" w:styleId="210">
    <w:name w:val="正文文本 2 字符"/>
    <w:basedOn w:val="51"/>
    <w:link w:val="36"/>
    <w:semiHidden/>
    <w:qFormat/>
    <w:uiPriority w:val="0"/>
    <w:rPr>
      <w:kern w:val="2"/>
      <w:sz w:val="21"/>
    </w:rPr>
  </w:style>
  <w:style w:type="paragraph" w:customStyle="1" w:styleId="211">
    <w:name w:val="msonormal"/>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character" w:customStyle="1" w:styleId="212">
    <w:name w:val="正文文本首行缩进 字符"/>
    <w:basedOn w:val="86"/>
    <w:link w:val="41"/>
    <w:qFormat/>
    <w:uiPriority w:val="0"/>
    <w:rPr>
      <w:kern w:val="2"/>
      <w:sz w:val="21"/>
      <w:szCs w:val="24"/>
    </w:rPr>
  </w:style>
  <w:style w:type="character" w:customStyle="1" w:styleId="213">
    <w:name w:val="正文文本 3 字符"/>
    <w:basedOn w:val="51"/>
    <w:link w:val="14"/>
    <w:qFormat/>
    <w:uiPriority w:val="0"/>
    <w:rPr>
      <w:kern w:val="2"/>
      <w:sz w:val="16"/>
      <w:szCs w:val="16"/>
    </w:rPr>
  </w:style>
  <w:style w:type="paragraph" w:customStyle="1" w:styleId="214">
    <w:name w:val="修订1"/>
    <w:semiHidden/>
    <w:qFormat/>
    <w:uiPriority w:val="0"/>
    <w:rPr>
      <w:rFonts w:ascii="Times New Roman" w:hAnsi="Times New Roman" w:eastAsia="宋体" w:cs="Times New Roman"/>
      <w:kern w:val="2"/>
      <w:sz w:val="21"/>
      <w:lang w:val="en-US" w:eastAsia="zh-CN" w:bidi="ar-SA"/>
    </w:rPr>
  </w:style>
  <w:style w:type="paragraph" w:customStyle="1" w:styleId="215">
    <w:name w:val="WPSOffice手动目录 1"/>
    <w:qFormat/>
    <w:uiPriority w:val="0"/>
    <w:rPr>
      <w:rFonts w:ascii="Times New Roman" w:hAnsi="Times New Roman" w:eastAsia="宋体" w:cs="Times New Roman"/>
      <w:lang w:val="en-US" w:eastAsia="zh-CN" w:bidi="ar-SA"/>
    </w:rPr>
  </w:style>
  <w:style w:type="paragraph" w:customStyle="1" w:styleId="216">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17">
    <w:name w:val="文档正文"/>
    <w:basedOn w:val="1"/>
    <w:qFormat/>
    <w:uiPriority w:val="0"/>
    <w:pPr>
      <w:autoSpaceDE w:val="0"/>
      <w:autoSpaceDN w:val="0"/>
      <w:adjustRightInd w:val="0"/>
      <w:spacing w:line="480" w:lineRule="atLeast"/>
      <w:ind w:firstLine="567"/>
    </w:pPr>
    <w:rPr>
      <w:rFonts w:ascii="长城仿宋" w:hAnsi="Times New Roman" w:eastAsia="仿宋_GB2312" w:cs="Times New Roman"/>
      <w:kern w:val="0"/>
      <w:sz w:val="28"/>
      <w:szCs w:val="20"/>
    </w:rPr>
  </w:style>
  <w:style w:type="paragraph" w:customStyle="1" w:styleId="218">
    <w:name w:val="标准文本"/>
    <w:basedOn w:val="1"/>
    <w:qFormat/>
    <w:uiPriority w:val="0"/>
    <w:pPr>
      <w:spacing w:line="360" w:lineRule="auto"/>
      <w:ind w:firstLine="480" w:firstLineChars="200"/>
    </w:pPr>
    <w:rPr>
      <w:rFonts w:ascii="Calibri" w:hAnsi="Calibri" w:eastAsia="宋体" w:cs="宋体"/>
      <w:sz w:val="24"/>
      <w:szCs w:val="24"/>
    </w:rPr>
  </w:style>
  <w:style w:type="paragraph" w:customStyle="1" w:styleId="219">
    <w:name w:val="样式10"/>
    <w:basedOn w:val="1"/>
    <w:qFormat/>
    <w:uiPriority w:val="0"/>
    <w:pPr>
      <w:pBdr>
        <w:bottom w:val="single" w:color="auto" w:sz="4" w:space="1"/>
      </w:pBdr>
    </w:pPr>
    <w:rPr>
      <w:rFonts w:ascii="宋体" w:hAnsi="宋体" w:eastAsia="宋体" w:cs="宋体"/>
      <w:i/>
      <w:kern w:val="0"/>
      <w:szCs w:val="21"/>
    </w:rPr>
  </w:style>
  <w:style w:type="paragraph" w:customStyle="1" w:styleId="220">
    <w:name w:val="List Paragraph1"/>
    <w:basedOn w:val="1"/>
    <w:qFormat/>
    <w:uiPriority w:val="0"/>
    <w:pPr>
      <w:ind w:firstLine="420" w:firstLineChars="200"/>
    </w:pPr>
    <w:rPr>
      <w:rFonts w:ascii="Calibri" w:hAnsi="Calibri" w:eastAsia="宋体" w:cs="Times New Roman"/>
    </w:rPr>
  </w:style>
  <w:style w:type="paragraph" w:customStyle="1" w:styleId="221">
    <w:name w:val="Char1"/>
    <w:basedOn w:val="1"/>
    <w:qFormat/>
    <w:uiPriority w:val="0"/>
    <w:rPr>
      <w:rFonts w:ascii="仿宋_GB2312" w:hAnsi="Times New Roman" w:eastAsia="仿宋_GB2312" w:cs="Times New Roman"/>
      <w:b/>
      <w:sz w:val="32"/>
      <w:szCs w:val="32"/>
    </w:rPr>
  </w:style>
  <w:style w:type="paragraph" w:customStyle="1" w:styleId="222">
    <w:name w:val="样式1"/>
    <w:basedOn w:val="27"/>
    <w:qFormat/>
    <w:uiPriority w:val="0"/>
    <w:pPr>
      <w:pBdr>
        <w:bottom w:val="none" w:color="auto" w:sz="0" w:space="0"/>
      </w:pBdr>
      <w:jc w:val="both"/>
    </w:pPr>
    <w:rPr>
      <w:rFonts w:ascii="Times New Roman" w:hAnsi="Times New Roman" w:eastAsia="宋体" w:cs="Times New Roman"/>
      <w:szCs w:val="20"/>
    </w:rPr>
  </w:style>
  <w:style w:type="paragraph" w:customStyle="1" w:styleId="223">
    <w:name w:val="默认段落字体 Para Char Char Char Char"/>
    <w:basedOn w:val="1"/>
    <w:qFormat/>
    <w:uiPriority w:val="0"/>
    <w:rPr>
      <w:rFonts w:ascii="Arial" w:hAnsi="Arial" w:eastAsia="宋体" w:cs="Arial"/>
      <w:szCs w:val="21"/>
    </w:rPr>
  </w:style>
  <w:style w:type="paragraph" w:customStyle="1" w:styleId="224">
    <w:name w:val="样式2"/>
    <w:basedOn w:val="27"/>
    <w:qFormat/>
    <w:uiPriority w:val="0"/>
    <w:pPr>
      <w:pBdr>
        <w:bottom w:val="none" w:color="auto" w:sz="0" w:space="0"/>
      </w:pBdr>
      <w:jc w:val="both"/>
    </w:pPr>
    <w:rPr>
      <w:rFonts w:ascii="Times New Roman" w:hAnsi="Times New Roman" w:eastAsia="宋体" w:cs="Times New Roman"/>
      <w:szCs w:val="20"/>
    </w:rPr>
  </w:style>
  <w:style w:type="paragraph" w:customStyle="1" w:styleId="225">
    <w:name w:val="Char Char Char1 Char"/>
    <w:basedOn w:val="12"/>
    <w:qFormat/>
    <w:uiPriority w:val="0"/>
    <w:pPr>
      <w:shd w:val="clear" w:color="auto" w:fill="auto"/>
    </w:pPr>
    <w:rPr>
      <w:rFonts w:ascii="Tahoma" w:hAnsi="Tahoma" w:cs="Tahoma"/>
      <w:kern w:val="0"/>
      <w:sz w:val="18"/>
    </w:rPr>
  </w:style>
  <w:style w:type="character" w:customStyle="1" w:styleId="226">
    <w:name w:val="列出段落 Char"/>
    <w:qFormat/>
    <w:locked/>
    <w:uiPriority w:val="0"/>
    <w:rPr>
      <w:rFonts w:ascii="Calibri" w:hAnsi="Calibri" w:cs="Calibri"/>
      <w:kern w:val="2"/>
      <w:sz w:val="21"/>
      <w:szCs w:val="22"/>
    </w:rPr>
  </w:style>
  <w:style w:type="paragraph" w:customStyle="1" w:styleId="227">
    <w:name w:val="！正文文字缩进--WRY"/>
    <w:basedOn w:val="1"/>
    <w:qFormat/>
    <w:uiPriority w:val="0"/>
    <w:pPr>
      <w:adjustRightInd w:val="0"/>
      <w:snapToGrid w:val="0"/>
      <w:spacing w:line="360" w:lineRule="auto"/>
      <w:ind w:firstLine="200" w:firstLineChars="200"/>
    </w:pPr>
    <w:rPr>
      <w:rFonts w:ascii="Times New Roman" w:hAnsi="Times New Roman" w:eastAsia="宋体" w:cs="Times New Roman"/>
      <w:sz w:val="24"/>
      <w:szCs w:val="20"/>
    </w:rPr>
  </w:style>
  <w:style w:type="paragraph" w:customStyle="1" w:styleId="228">
    <w:name w:val="nr4"/>
    <w:basedOn w:val="1"/>
    <w:qFormat/>
    <w:uiPriority w:val="0"/>
    <w:pPr>
      <w:widowControl/>
      <w:spacing w:line="390" w:lineRule="atLeast"/>
      <w:ind w:firstLine="375"/>
      <w:jc w:val="left"/>
    </w:pPr>
    <w:rPr>
      <w:rFonts w:ascii="宋体" w:hAnsi="宋体" w:eastAsia="宋体" w:cs="宋体"/>
      <w:color w:val="555555"/>
      <w:kern w:val="0"/>
      <w:sz w:val="24"/>
      <w:szCs w:val="24"/>
    </w:rPr>
  </w:style>
  <w:style w:type="paragraph" w:customStyle="1" w:styleId="229">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230">
    <w:name w:val="正文文本 3 Char1"/>
    <w:qFormat/>
    <w:uiPriority w:val="0"/>
    <w:rPr>
      <w:rFonts w:hint="default" w:ascii="Times New Roman" w:hAnsi="Times New Roman" w:eastAsia="宋体" w:cs="Times New Roman"/>
      <w:kern w:val="2"/>
      <w:sz w:val="16"/>
      <w:szCs w:val="16"/>
    </w:rPr>
  </w:style>
  <w:style w:type="character" w:customStyle="1" w:styleId="231">
    <w:name w:val="16"/>
    <w:qFormat/>
    <w:uiPriority w:val="0"/>
    <w:rPr>
      <w:rFonts w:hint="default" w:ascii="Times New Roman" w:hAnsi="Times New Roman" w:eastAsia="宋体" w:cs="Times New Roman"/>
      <w:color w:val="0000FF"/>
      <w:u w:val="single"/>
    </w:rPr>
  </w:style>
  <w:style w:type="character" w:customStyle="1" w:styleId="232">
    <w:name w:val="未处理的提及2"/>
    <w:basedOn w:val="51"/>
    <w:semiHidden/>
    <w:unhideWhenUsed/>
    <w:qFormat/>
    <w:uiPriority w:val="99"/>
    <w:rPr>
      <w:color w:val="605E5C"/>
      <w:shd w:val="clear" w:color="auto" w:fill="E1DFDD"/>
    </w:rPr>
  </w:style>
  <w:style w:type="paragraph" w:customStyle="1" w:styleId="233">
    <w:name w:val="列表段落1"/>
    <w:basedOn w:val="1"/>
    <w:qFormat/>
    <w:uiPriority w:val="0"/>
    <w:pPr>
      <w:ind w:firstLine="420" w:firstLineChars="200"/>
    </w:pPr>
    <w:rPr>
      <w:rFonts w:ascii="Calibri" w:hAnsi="Calibri" w:eastAsia="宋体" w:cs="Times New Roman"/>
    </w:rPr>
  </w:style>
  <w:style w:type="paragraph" w:customStyle="1" w:styleId="234">
    <w:name w:val="Char11"/>
    <w:basedOn w:val="1"/>
    <w:qFormat/>
    <w:uiPriority w:val="0"/>
    <w:rPr>
      <w:rFonts w:ascii="仿宋_GB2312" w:hAnsi="Times New Roman" w:eastAsia="仿宋_GB2312" w:cs="Times New Roman"/>
      <w:b/>
      <w:sz w:val="32"/>
      <w:szCs w:val="32"/>
    </w:rPr>
  </w:style>
  <w:style w:type="paragraph" w:customStyle="1" w:styleId="235">
    <w:name w:val="Char Char Char1 Char1"/>
    <w:basedOn w:val="12"/>
    <w:qFormat/>
    <w:uiPriority w:val="0"/>
    <w:rPr>
      <w:rFonts w:ascii="Tahoma" w:hAnsi="Tahoma" w:cs="Tahoma"/>
      <w:kern w:val="0"/>
      <w:sz w:val="18"/>
    </w:rPr>
  </w:style>
  <w:style w:type="paragraph" w:customStyle="1" w:styleId="236">
    <w:name w:val="修订2"/>
    <w:qFormat/>
    <w:uiPriority w:val="0"/>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66d5756d-be81-4f27-bfb4-39f05354ef47</errorID>
      <errorWord>、</errorWord>
      <group>L1_Punc</group>
      <groupName>标点问题</groupName>
      <ability>L2_Punc_CN</ability>
      <abilityName>标点符号问题</abilityName>
      <candidateList>
        <item> </item>
      </candidateList>
      <explain/>
      <paraID>2478B1C5</paraID>
      <start>3</start>
      <end>4</end>
      <status>modified</status>
      <modifiedWord> </modifiedWord>
      <trackRevisions>false</trackRevisions>
    </reviewItem>
    <reviewItem>
      <errorID>092ac0e8-d742-4c2e-a1e8-6920212ae708</errorID>
      <errorWord>全部完全</errorWord>
      <group>L1_Grammar</group>
      <groupName>语法问题</groupName>
      <ability>L2_Grammar</ability>
      <abilityName>语法错误</abilityName>
      <candidateList>
        <item>全部</item>
      </candidateList>
      <explain/>
      <paraID>3F3B4833</paraID>
      <start>33</start>
      <end>35</end>
      <status>modified</status>
      <modifiedWord>全部</modifiedWord>
      <trackRevisions>false</trackRevisions>
    </reviewItem>
    <reviewItem>
      <errorID>98768eb7-d7aa-49e5-b2fe-ac09bd72c839</errorID>
      <errorWord>备份手段的</errorWord>
      <group>L1_Grammar</group>
      <groupName>语法问题</groupName>
      <ability>L2_Grammar</ability>
      <abilityName>语法错误</abilityName>
      <candidateList>
        <item>备份</item>
      </candidateList>
      <explain/>
      <paraID>2D6B5510</paraID>
      <start>35</start>
      <end>40</end>
      <status>ignored</status>
      <modifiedWord/>
      <trackRevisions>false</trackRevisions>
    </reviewItem>
    <reviewItem>
      <errorID>7778bcee-bb98-48cf-8c52-4633dac38dc0</errorID>
      <errorWord>互联网汇总</errorWord>
      <group>L1_Grammar</group>
      <groupName>语法问题</groupName>
      <ability>L2_Grammar</ability>
      <abilityName>语法错误</abilityName>
      <candidateList>
        <item>互联网</item>
      </candidateList>
      <explain/>
      <paraID> 1B5498B</paraID>
      <start>77</start>
      <end>82</end>
      <status>ignored</status>
      <modifiedWord/>
      <trackRevisions>false</trackRevisions>
    </reviewItem>
    <reviewItem>
      <errorID>f700828f-3e2a-48cf-9e0e-906bd7b3931b</errorID>
      <errorWord>如下</errorWord>
      <group>L1_Grammar</group>
      <groupName>语法问题</groupName>
      <ability>L2_Grammar</ability>
      <abilityName>语法错误</abilityName>
      <candidateList>
        <item>以下内容</item>
      </candidateList>
      <explain/>
      <paraID> 98480D7</paraID>
      <start>17</start>
      <end>21</end>
      <status>modified</status>
      <modifiedWord>以下内容</modifiedWord>
      <trackRevisions>false</trackRevisions>
    </reviewItem>
    <reviewItem>
      <errorID>f973c036-5c5f-4326-9120-740e5333ff3d</errorID>
      <errorWord>、</errorWord>
      <group>L1_Punc</group>
      <groupName>标点问题</groupName>
      <ability>L2_Punc_CN</ability>
      <abilityName>标点符号问题</abilityName>
      <candidateList>
        <item>，</item>
      </candidateList>
      <explain/>
      <paraID>77423F84</paraID>
      <start>44</start>
      <end>45</end>
      <status>ignored</status>
      <modifiedWord/>
      <trackRevisions>false</trackRevisions>
    </reviewItem>
    <reviewItem>
      <errorID>d79e7fe6-859b-493c-b22f-b30a9731d576</errorID>
      <errorWord>，</errorWord>
      <group>L1_Word</group>
      <groupName>字词问题</groupName>
      <ability>L2_Typo</ability>
      <abilityName>字词错误</abilityName>
      <candidateList>
        <item>，具</item>
      </candidateList>
      <explain/>
      <paraID>74DDBF36</paraID>
      <start>65</start>
      <end>66</end>
      <status>ignored</status>
      <modifiedWord/>
      <trackRevisions>false</trackRevisions>
    </reviewItem>
    <reviewItem>
      <errorID>7c9bf03a-1e5a-48f7-ab52-dec847d38013</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74DDBF36</paraID>
      <start>85</start>
      <end>86</end>
      <status>modified</status>
      <modifiedWord>对</modifiedWord>
      <trackRevisions>false</trackRevisions>
    </reviewItem>
    <reviewItem>
      <errorID>beda61a6-fe2a-4671-9614-2a411cacf05a</errorID>
      <errorWord>，</errorWord>
      <group>L1_Punc</group>
      <groupName>标点问题</groupName>
      <ability>L2_Punc_CN</ability>
      <abilityName>标点符号问题</abilityName>
      <candidateList>
        <item>、</item>
      </candidateList>
      <explain/>
      <paraID>726B2978</paraID>
      <start>31</start>
      <end>32</end>
      <status>modified</status>
      <modifiedWord>、</modifiedWord>
      <trackRevisions>false</trackRevisions>
    </reviewItem>
    <reviewItem>
      <errorID>e1449803-e771-460f-bc40-4ac8f14a52f2</errorID>
      <errorWord>，</errorWord>
      <group>L1_Punc</group>
      <groupName>标点问题</groupName>
      <ability>L2_Punc_CN</ability>
      <abilityName>标点符号问题</abilityName>
      <candidateList>
        <item>、</item>
      </candidateList>
      <explain/>
      <paraID>726B2978</paraID>
      <start>37</start>
      <end>38</end>
      <status>modified</status>
      <modifiedWord>、</modifiedWord>
      <trackRevisions>false</trackRevisions>
    </reviewItem>
    <reviewItem>
      <errorID>85a89e04-d462-4e47-9c07-b67c4cdec42f</errorID>
      <errorWord>，</errorWord>
      <group>L1_Punc</group>
      <groupName>标点问题</groupName>
      <ability>L2_Punc_CN</ability>
      <abilityName>标点符号问题</abilityName>
      <candidateList>
        <item>、</item>
      </candidateList>
      <explain/>
      <paraID>726B2978</paraID>
      <start>42</start>
      <end>43</end>
      <status>modified</status>
      <modifiedWord>、</modifiedWord>
      <trackRevisions>false</trackRevisions>
    </reviewItem>
    <reviewItem>
      <errorID>7fdbed3e-8545-4857-a9a8-002ec5e3459b</errorID>
      <errorWord>即时通讯</errorWord>
      <group>L1_Word</group>
      <groupName>字词问题</groupName>
      <ability>L2_Typo</ability>
      <abilityName>字词错误</abilityName>
      <candidateList>
        <item>即时通信</item>
      </candidateList>
      <explain/>
      <paraID>726B2978</paraID>
      <start>43</start>
      <end>47</end>
      <status>ignored</status>
      <modifiedWord/>
      <trackRevisions>false</trackRevisions>
    </reviewItem>
    <reviewItem>
      <errorID>b44392f6-45c9-41ae-856f-9d76478b8ce0</errorID>
      <errorWord>，</errorWord>
      <group>L1_Punc</group>
      <groupName>标点问题</groupName>
      <ability>L2_Punc_CN</ability>
      <abilityName>标点符号问题</abilityName>
      <candidateList>
        <item>、</item>
      </candidateList>
      <explain/>
      <paraID>726B2978</paraID>
      <start>47</start>
      <end>48</end>
      <status>modified</status>
      <modifiedWord>、</modifiedWord>
      <trackRevisions>false</trackRevisions>
    </reviewItem>
    <reviewItem>
      <errorID>3003f082-8171-4e4b-b19d-a75debb676e3</errorID>
      <errorWord>，</errorWord>
      <group>L1_Punc</group>
      <groupName>标点问题</groupName>
      <ability>L2_Punc_CN</ability>
      <abilityName>标点符号问题</abilityName>
      <candidateList>
        <item>、</item>
      </candidateList>
      <explain/>
      <paraID>726B2978</paraID>
      <start>54</start>
      <end>55</end>
      <status>modified</status>
      <modifiedWord>、</modifiedWord>
      <trackRevisions>false</trackRevisions>
    </reviewItem>
    <reviewItem>
      <errorID>69907fe1-51a9-4a6f-83c8-bcd1b76ef067</errorID>
      <errorWord>网络安全法</errorWord>
      <group>L1_Knowledge</group>
      <groupName>知识性问题</groupName>
      <ability>L2_Knowledge</ability>
      <abilityName>其他知识</abilityName>
      <candidateList>
        <item>中华人民共和国网络安全法</item>
      </candidateList>
      <explain>当前法律法规名称使用简称，请注意是否应当使用全称。</explain>
      <paraID>726B2978</paraID>
      <start>71</start>
      <end>83</end>
      <status>modified</status>
      <modifiedWord>中华人民共和国网络安全法</modifiedWord>
      <trackRevisions>false</trackRevisions>
    </reviewItem>
    <reviewItem>
      <errorID>c6f63a0c-e826-448b-8ce3-7e7ee3450760</errorID>
      <errorWord>网路</errorWord>
      <group>L1_Word</group>
      <groupName>字词问题</groupName>
      <ability>L2_Alias</ability>
      <abilityName>也作/曾用词</abilityName>
      <candidateList>
        <item>网络</item>
      </candidateList>
      <explain>词汇[网路]为不规范表述或旧称，其规范书面表述为[网络]。</explain>
      <paraID>708369B1</paraID>
      <start>22</start>
      <end>24</end>
      <status>ignored</status>
      <modifiedWord/>
      <trackRevisions>false</trackRevisions>
    </reviewItem>
    <reviewItem>
      <errorID>edb3a7bc-8ec5-41af-8910-87b9d5691b2c</errorID>
      <errorWord>。</errorWord>
      <group>L1_Grammar</group>
      <groupName>语法问题</groupName>
      <ability>L2_Grammar</ability>
      <abilityName>语法错误</abilityName>
      <candidateList>
        <item>措施。</item>
      </candidateList>
      <explain/>
      <paraID>2A94ABC6</paraID>
      <start>51</start>
      <end>52</end>
      <status>ignored</status>
      <modifiedWord/>
      <trackRevisions>false</trackRevisions>
    </reviewItem>
    <reviewItem>
      <errorID>80df8e5e-0a8c-4c8b-b8fc-fa872dd98821</errorID>
      <errorWord>东西湖区长</errorWord>
      <group>L1_Political</group>
      <groupName>政治性问题</groupName>
      <ability>L2_Unpolitical</ability>
      <abilityName>政治敏感错误</abilityName>
      <candidateList>
        <item>东西湖区区长</item>
      </candidateList>
      <explain/>
      <paraID>582C0C71</paraID>
      <start>3</start>
      <end>8</end>
      <status>ignored</status>
      <modifiedWord/>
      <trackRevisions>false</trackRevisions>
    </reviewItem>
    <reviewItem>
      <errorID>3d714781-4060-4c7a-ae7d-e155b8d88287</errorID>
      <errorWord>武汉市万科西半岛小学</errorWord>
      <group>L1_Other</group>
      <groupName>其他问题</groupName>
      <ability>L2_Consistency</ability>
      <abilityName>一致性检查</abilityName>
      <candidateList>
        <item>武汉市东西湖区万科西半岛小学</item>
      </candidateList>
      <explain>实体一致性错误：前文学校明细清单中该学校的全称为“武汉市东西湖区万科西半岛小学”，此处实体名称表述不一致</explain>
      <paraID>20953759</paraID>
      <start>0</start>
      <end>14</end>
      <status>modified</status>
      <modifiedWord>武汉市东西湖区万科西半岛小学</modifiedWord>
      <trackRevisions>false</trackRevisions>
    </reviewItem>
    <reviewItem>
      <errorID>c540afbe-997f-437f-bc8f-a7fd74eac698</errorID>
      <errorWord>武汉市金银湖小学</errorWord>
      <group>L1_Other</group>
      <groupName>其他问题</groupName>
      <ability>L2_Consistency</ability>
      <abilityName>一致性检查</abilityName>
      <candidateList>
        <item>武汉市东西湖区金银湖小学</item>
      </candidateList>
      <explain>实体一致性错误：前文学校明细清单中该学校的全称为“武汉市东西湖区金银湖小学”，此处实体名称表述不一致</explain>
      <paraID>3F1E3829</paraID>
      <start>0</start>
      <end>12</end>
      <status>modified</status>
      <modifiedWord>武汉市东西湖区金银湖小学</modifiedWord>
      <trackRevisions>false</trackRevisions>
    </reviewItem>
    <reviewItem>
      <errorID>b8de1800-d86b-4d56-a326-15109564dc68</errorID>
      <errorWord>。</errorWord>
      <group>L1_Grammar</group>
      <groupName>语法问题</groupName>
      <ability>L2_Grammar</ability>
      <abilityName>语法错误</abilityName>
      <candidateList>
        <item>。此句无错误。</item>
      </candidateList>
      <explain/>
      <paraID>4188C748</paraID>
      <start>39</start>
      <end>46</end>
      <status>modified</status>
      <modifiedWord>。此句无错误。</modifiedWord>
      <trackRevisions>false</trackRevisions>
    </reviewItem>
    <reviewItem>
      <errorID>44b4a0cb-0ff6-4504-a4e1-3e8db3850280</errorID>
      <errorWord>投标人提供割接方案</errorWord>
      <group>L1_Grammar</group>
      <groupName>语法问题</groupName>
      <ability>L2_Grammar</ability>
      <abilityName>语法错误</abilityName>
      <candidateList>
        <item>投标人</item>
      </candidateList>
      <explain/>
      <paraID>7D56A939</paraID>
      <start>3</start>
      <end>6</end>
      <status>modified</status>
      <modifiedWord>投标人</modifiedWord>
      <trackRevisions>false</trackRevisions>
    </reviewItem>
    <reviewItem>
      <errorID>2e205a4c-0552-42aa-b71b-92c72b7b9190</errorID>
      <errorWord>、</errorWord>
      <group>L1_Punc</group>
      <groupName>标点问题</groupName>
      <ability>L2_Punc_CN</ability>
      <abilityName>标点符号问题</abilityName>
      <candidateList>
        <item>，</item>
      </candidateList>
      <explain/>
      <paraID>52F4A2BD</paraID>
      <start>21</start>
      <end>22</end>
      <status>modified</status>
      <modifiedWord>，</modifiedWord>
      <trackRevisions>false</trackRevisions>
    </reviewItem>
    <reviewItem>
      <errorID>3d04d578-2fcb-43d4-9ad5-3f3745316387</errorID>
      <errorWord>完</errorWord>
      <group>L1_Word</group>
      <groupName>字词问题</groupName>
      <ability>L2_Typo</ability>
      <abilityName>字词错误</abilityName>
      <candidateList>
        <item>完成</item>
      </candidateList>
      <explain>〈动〉按照预期的目的结束；做成：～任务｜～作业｜计划完得成。</explain>
      <paraID>3F88300E</paraID>
      <start>39</start>
      <end>41</end>
      <status>modified</status>
      <modifiedWord>完成</modifiedWord>
      <trackRevisions>false</trackRevisions>
    </reviewItem>
    <reviewItem>
      <errorID>2584ecaf-cdb6-4d9c-8a26-6622ff10a6a2</errorID>
      <errorWord>初步</errorWord>
      <group>L1_Grammar</group>
      <groupName>语法问题</groupName>
      <ability>L2_Grammar</ability>
      <abilityName>语法错误</abilityName>
      <candidateList>
        <item>进行初步</item>
      </candidateList>
      <explain/>
      <paraID>3F88300E</paraID>
      <start>77</start>
      <end>81</end>
      <status>modified</status>
      <modifiedWord>进行初步</modifiedWord>
      <trackRevisions>false</trackRevisions>
    </reviewItem>
    <reviewItem>
      <errorID>1bdc1c3c-993b-4aea-88e3-937f6d292957</errorID>
      <errorWord>：</errorWord>
      <group>L1_Word</group>
      <groupName>字词问题</groupName>
      <ability>L2_Typo</ability>
      <abilityName>字词错误</abilityName>
      <candidateList>
        <item>：检</item>
      </candidateList>
      <explain/>
      <paraID>55CA16E6</paraID>
      <start>6</start>
      <end>7</end>
      <status>ignored</status>
      <modifiedWord/>
      <trackRevisions>false</trackRevisions>
    </reviewItem>
    <reviewItem>
      <errorID>366c8dbf-0a5a-4a26-a3ea-74f156505d6b</errorID>
      <errorWord>选</errorWord>
      <group>L1_Word</group>
      <groupName>字词问题</groupName>
      <ability>L2_Typo</ability>
      <abilityName>字词错误</abilityName>
      <candidateList>
        <item>选择</item>
      </candidateList>
      <explain>〈动〉挑选：～对象｜～地点。</explain>
      <paraID>5908EF91</paraID>
      <start>13</start>
      <end>15</end>
      <status>modified</status>
      <modifiedWord>选择</modifiedWord>
      <trackRevisions>false</trackRevisions>
    </reviewItem>
    <reviewItem>
      <errorID>11573f40-93dc-44e5-95ea-a1e794634952</errorID>
      <errorWord>+</errorWord>
      <group>L1_Grammar</group>
      <groupName>语法问题</groupName>
      <ability>L2_Grammar</ability>
      <abilityName>语法错误</abilityName>
      <candidateList>
        <item>并提交</item>
      </candidateList>
      <explain/>
      <paraID> C779039</paraID>
      <start>10</start>
      <end>13</end>
      <status>modified</status>
      <modifiedWord>并提交</modifiedWord>
      <trackRevisions>false</trackRevisions>
    </reviewItem>
    <reviewItem>
      <errorID>179d8243-ba88-43db-9ae8-883092a3e726</errorID>
      <errorWord>5</errorWord>
      <group>L1_Word</group>
      <groupName>字词问题</groupName>
      <ability>L2_Typo</ability>
      <abilityName>字词错误</abilityName>
      <candidateList>
        <item>在5</item>
      </candidateList>
      <explain/>
      <paraID>324018F8</paraID>
      <start>9</start>
      <end>11</end>
      <status>modified</status>
      <modifiedWord>在5</modifiedWord>
      <trackRevisions>false</trackRevisions>
    </reviewItem>
    <reviewItem>
      <errorID>75c7d061-359f-4ff0-82b4-53d9d2c6dc16</errorID>
      <errorWord>工作日</errorWord>
      <group>L1_Word</group>
      <groupName>字词问题</groupName>
      <ability>L2_Typo</ability>
      <abilityName>字词错误</abilityName>
      <candidateList>
        <item>工作日内</item>
      </candidateList>
      <explain/>
      <paraID>324018F8</paraID>
      <start>12</start>
      <end>16</end>
      <status>modified</status>
      <modifiedWord>工作日内</modifiedWord>
      <trackRevisions>false</trackRevisions>
    </reviewItem>
    <reviewItem>
      <errorID>5540794a-ab02-48c8-b902-33b792651925</errorID>
      <errorWord>全</errorWord>
      <group>L1_Grammar</group>
      <groupName>语法问题</groupName>
      <ability>L2_Grammar</ability>
      <abilityName>语法错误</abilityName>
      <candidateList>
        <item>资料齐全</item>
      </candidateList>
      <explain/>
      <paraID>324018F8</paraID>
      <start>21</start>
      <end>25</end>
      <status>modified</status>
      <modifiedWord>资料齐全</modifiedWord>
      <trackRevisions>false</trackRevisions>
    </reviewItem>
    <reviewItem>
      <errorID>fc511b76-52d6-415a-980c-3b97f2ac3d01</errorID>
      <errorWord>全</errorWord>
      <group>L1_Word</group>
      <groupName>字词问题</groupName>
      <ability>L2_Typo</ability>
      <abilityName>字词错误</abilityName>
      <candidateList>
        <item>齐全</item>
      </candidateList>
      <explain/>
      <paraID>324018F8</paraID>
      <start>33</start>
      <end>35</end>
      <status>modified</status>
      <modifiedWord>齐全</modifiedWord>
      <trackRevisions>false</trackRevisions>
    </reviewItem>
    <reviewItem>
      <errorID>cce6e98b-0fc7-495a-b05d-d0f38b88539f</errorID>
      <errorWord>补</errorWord>
      <group>L1_Grammar</group>
      <groupName>语法问题</groupName>
      <ability>L2_Grammar</ability>
      <abilityName>语法错误</abilityName>
      <candidateList>
        <item>要求补正</item>
      </candidateList>
      <explain/>
      <paraID>324018F8</paraID>
      <start>36</start>
      <end>37</end>
      <status>ignored</status>
      <modifiedWord/>
      <trackRevisions>false</trackRevisions>
    </reviewItem>
    <reviewItem>
      <errorID>503de511-fbcc-44a5-a9d7-911b08de870f</errorID>
      <errorWord>约</errorWord>
      <group>L1_Grammar</group>
      <groupName>语法问题</groupName>
      <ability>L2_Grammar</ability>
      <abilityName>语法错误</abilityName>
      <candidateList>
        <item>约定进行</item>
      </candidateList>
      <explain/>
      <paraID>3B039855</paraID>
      <start>6</start>
      <end>10</end>
      <status>modified</status>
      <modifiedWord>约定进行</modifiedWord>
      <trackRevisions>false</trackRevisions>
    </reviewItem>
    <reviewItem>
      <errorID>a8b8b1bb-d829-4550-813c-40aca41b9dec</errorID>
      <errorWord>记</errorWord>
      <group>L1_Word</group>
      <groupName>字词问题</groupName>
      <ability>L2_Typo</ability>
      <abilityName>字词错误</abilityName>
      <candidateList>
        <item>记录</item>
      </candidateList>
      <explain/>
      <paraID>3B039855</paraID>
      <start>15</start>
      <end>17</end>
      <status>modified</status>
      <modifiedWord>记录</modifiedWord>
      <trackRevisions>false</trackRevisions>
    </reviewItem>
    <reviewItem>
      <errorID>fc6ecfba-88c8-4520-8fca-eccd87ac3d71</errorID>
      <errorWord>出</errorWord>
      <group>L1_Word</group>
      <groupName>字词问题</groupName>
      <ability>L2_Typo</ability>
      <abilityName>字词错误</abilityName>
      <candidateList>
        <item>出具</item>
      </candidateList>
      <explain/>
      <paraID>31D8090A</paraID>
      <start>7</start>
      <end>9</end>
      <status>modified</status>
      <modifiedWord>出具</modifiedWord>
      <trackRevisions>false</trackRevisions>
    </reviewItem>
    <reviewItem>
      <errorID>8c1c12f3-13b7-45f9-9006-8aabc13bf77c</errorID>
      <errorWord>签字</errorWord>
      <group>L1_Word</group>
      <groupName>字词问题</groupName>
      <ability>L2_Typo</ability>
      <abilityName>字词错误</abilityName>
      <candidateList>
        <item>并签字</item>
      </candidateList>
      <explain/>
      <paraID>31D8090A</paraID>
      <start>17</start>
      <end>20</end>
      <status>modified</status>
      <modifiedWord>并签字</modifiedWord>
      <trackRevisions>false</trackRevisions>
    </reviewItem>
    <reviewItem>
      <errorID>a2ca55b9-a52f-4072-93b1-8b1d4ace20bb</errorID>
      <errorWord>过</errorWord>
      <group>L1_Word</group>
      <groupName>字词问题</groupName>
      <ability>L2_Typo</ability>
      <abilityName>字词错误</abilityName>
      <candidateList>
        <item>通过</item>
      </candidateList>
      <explain/>
      <paraID>31D8090A</paraID>
      <start>22</start>
      <end>24</end>
      <status>modified</status>
      <modifiedWord>通过</modifiedWord>
      <trackRevisions>false</trackRevisions>
    </reviewItem>
    <reviewItem>
      <errorID>789f8043-3216-436e-a8b7-2c77e4104c75</errorID>
      <errorWord>分为</errorWord>
      <group>L1_Word</group>
      <groupName>字词问题</groupName>
      <ability>L2_Typo</ability>
      <abilityName>字词错误</abilityName>
      <candidateList>
        <item>得分为</item>
      </candidateList>
      <explain/>
      <paraID>164D5A64</paraID>
      <start>35</start>
      <end>37</end>
      <status>ignored</status>
      <modifiedWord/>
      <trackRevisions>false</trackRevisions>
    </reviewItem>
    <reviewItem>
      <errorID>058e6222-41d0-4f8b-937e-e2adb79f01ae</errorID>
      <errorWord>软考</errorWord>
      <group>L1_Word</group>
      <groupName>字词问题</groupName>
      <ability>L2_Typo</ability>
      <abilityName>字词错误</abilityName>
      <candidateList>
        <item>软件</item>
      </candidateList>
      <explain/>
      <paraID>2BAA2C8A</paraID>
      <start>39</start>
      <end>41</end>
      <status>ignored</status>
      <modifiedWord/>
      <trackRevisions>false</trackRevisions>
    </reviewItem>
    <reviewItem>
      <errorID>a609ac13-4f3f-453c-81f0-fa4892c1a1e3</errorID>
      <errorWord>:</errorWord>
      <group>L1_Punc</group>
      <groupName>标点问题</groupName>
      <ability>L2_Punc_CN</ability>
      <abilityName>标点符号问题</abilityName>
      <candidateList>
        <item>：</item>
      </candidateList>
      <explain/>
      <paraID>66B63DF2</paraID>
      <start>25</start>
      <end>26</end>
      <status>modified</status>
      <modifiedWord>：</modifiedWord>
      <trackRevisions>false</trackRevisions>
    </reviewItem>
    <reviewItem>
      <errorID>275938e7-1504-4e5a-881e-bdb02f9151dd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4A05ABA7</paraID>
      <start>0</start>
      <end>3</end>
      <status>modified</status>
      <modifiedWord>（1）</modifiedWord>
      <trackRevisions>false</trackRevisions>
    </reviewItem>
    <reviewItem>
      <errorID>4cd779c8-05b6-4830-8ca7-86f0f82476b2</errorID>
      <errorWord>条款</errorWord>
      <group>L1_Word</group>
      <groupName>字词问题</groupName>
      <ability>L2_Typo</ability>
      <abilityName>字词错误</abilityName>
      <candidateList>
        <item>的条款</item>
      </candidateList>
      <explain/>
      <paraID>4A05ABA7</paraID>
      <start>14</start>
      <end>16</end>
      <status>ignored</status>
      <modifiedWord/>
      <trackRevisions>false</trackRevisions>
    </reviewItem>
    <reviewItem>
      <errorID>2cbea561-8a06-443f-abf8-df6d7b5a76a3</errorID>
      <errorWord>(</errorWord>
      <group>L1_Format</group>
      <groupName>格式问题</groupName>
      <ability>L2_HalfPunc_CN</ability>
      <abilityName>全半角问题</abilityName>
      <candidateList>
        <item>（</item>
      </candidateList>
      <explain>文本全半角错误。</explain>
      <paraID>4A05ABA7</paraID>
      <start>23</start>
      <end>24</end>
      <status>modified</status>
      <modifiedWord>（</modifiedWord>
      <trackRevisions>false</trackRevisions>
    </reviewItem>
    <reviewItem>
      <errorID>af77eb22-6cd3-43b3-a3f6-3cf6b4f9e10e</errorID>
      <errorWord>)</errorWord>
      <group>L1_Format</group>
      <groupName>格式问题</groupName>
      <ability>L2_HalfPunc_CN</ability>
      <abilityName>全半角问题</abilityName>
      <candidateList>
        <item>）</item>
      </candidateList>
      <explain>文本全半角错误。</explain>
      <paraID>5D51E7F7</paraID>
      <start>1</start>
      <end>2</end>
      <status>modified</status>
      <modifiedWord>）</modifiedWord>
      <trackRevisions>false</trackRevisions>
    </reviewItem>
    <reviewItem>
      <errorID>04fa7c94-d807-4263-9172-4a86035f260e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2CDCF7CC</paraID>
      <start>0</start>
      <end>3</end>
      <status>modified</status>
      <modifiedWord>（2）</modifiedWord>
      <trackRevisions>false</trackRevisions>
    </reviewItem>
    <reviewItem>
      <errorID>35f2db71-41bf-4de1-a230-a3d0ed9cb64d</errorID>
      <errorWord>为</errorWord>
      <group>L1_Word</group>
      <groupName>字词问题</groupName>
      <ability>L2_Typo</ability>
      <abilityName>字词错误</abilityName>
      <candidateList>
        <item>的为</item>
      </candidateList>
      <explain/>
      <paraID>2CDCF7CC</paraID>
      <start>8</start>
      <end>9</end>
      <status>ignored</status>
      <modifiedWord/>
      <trackRevisions>false</trackRevisions>
    </reviewItem>
    <reviewItem>
      <errorID>f8663114-b786-4f4a-8258-2f5d7d2c7784</errorID>
      <errorWord>技术</errorWord>
      <group>L1_Grammar</group>
      <groupName>语法问题</groupName>
      <ability>L2_Grammar</ability>
      <abilityName>语法错误</abilityName>
      <candidateList>
        <item>技术参数</item>
      </candidateList>
      <explain/>
      <paraID>2CDCF7CC</paraID>
      <start>11</start>
      <end>15</end>
      <status>modified</status>
      <modifiedWord>技术参数</modifiedWord>
      <trackRevisions>false</trackRevisions>
    </reviewItem>
    <reviewItem>
      <errorID>ff4b8832-571b-4028-a7ff-52949159e791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10D52264</paraID>
      <start>0</start>
      <end>3</end>
      <status>modified</status>
      <modifiedWord>（3）</modifiedWord>
      <trackRevisions>false</trackRevisions>
    </reviewItem>
    <reviewItem>
      <errorID>c39f1898-239b-4cc0-a26b-dcb7280cb00d</errorID>
      <errorWord>，</errorWord>
      <group>L1_Punc</group>
      <groupName>标点问题</groupName>
      <ability>L2_Punc_CN</ability>
      <abilityName>标点符号问题</abilityName>
      <candidateList>
        <item>、</item>
      </candidateList>
      <explain/>
      <paraID> A6C20C0</paraID>
      <start>9</start>
      <end>10</end>
      <status>modified</status>
      <modifiedWord>、</modifiedWord>
      <trackRevisions>false</trackRevisions>
    </reviewItem>
    <reviewItem>
      <errorID>cfeb777a-a42b-4aba-9f9d-bd59f5eec355</errorID>
      <errorWord>，</errorWord>
      <group>L1_Punc</group>
      <groupName>标点问题</groupName>
      <ability>L2_Punc_CN</ability>
      <abilityName>标点符号问题</abilityName>
      <candidateList>
        <item>、</item>
      </candidateList>
      <explain/>
      <paraID> A6C20C0</paraID>
      <start>36</start>
      <end>37</end>
      <status>modified</status>
      <modifiedWord>、</modifiedWord>
      <trackRevisions>false</trackRevisions>
    </reviewItem>
    <reviewItem>
      <errorID>f28bdd84-4e8f-4c0b-adf0-0d9d4721ee1f</errorID>
      <errorWord>之一的</errorWord>
      <group>L1_Word</group>
      <groupName>字词问题</groupName>
      <ability>L2_Typo</ability>
      <abilityName>字词错误</abilityName>
      <candidateList>
        <item>一项</item>
      </candidateList>
      <explain/>
      <paraID>7131297C</paraID>
      <start>6</start>
      <end>8</end>
      <status>modified</status>
      <modifiedWord>一项</modifiedWord>
      <trackRevisions>false</trackRevisions>
    </reviewItem>
    <reviewItem>
      <errorID>22279ebd-aab4-4d25-883d-71b55d3eeea0</errorID>
      <errorWord>、</errorWord>
      <group>L1_Punc</group>
      <groupName>标点问题</groupName>
      <ability>L2_Punc_CN</ability>
      <abilityName>标点符号问题</abilityName>
      <candidateList>
        <item>，</item>
      </candidateList>
      <explain/>
      <paraID>7131297C</paraID>
      <start>24</start>
      <end>25</end>
      <status>modified</status>
      <modifiedWord>，</modifiedWord>
      <trackRevisions>false</trackRevisions>
    </reviewItem>
    <reviewItem>
      <errorID>8b2099bb-9e51-476e-a19a-ca8bc2fa51c5</errorID>
      <errorWord>标准的</errorWord>
      <group>L1_Word</group>
      <groupName>字词问题</groupName>
      <ability>L2_Typo</ability>
      <abilityName>字词错误</abilityName>
      <candidateList>
        <item>标准</item>
      </candidateList>
      <explain/>
      <paraID>71B0AAF5</paraID>
      <start>9</start>
      <end>11</end>
      <status>modified</status>
      <modifiedWord>标准</modifiedWord>
      <trackRevisions>false</trackRevisions>
    </reviewItem>
    <reviewItem>
      <errorID>284f6409-47e4-4f81-a90f-0d006e783c62</errorID>
      <errorWord>，</errorWord>
      <group>L1_Punc</group>
      <groupName>标点问题</groupName>
      <ability>L2_Punc_CN</ability>
      <abilityName>标点符号问题</abilityName>
      <candidateList>
        <item>；</item>
      </candidateList>
      <explain/>
      <paraID>10D5FEAB</paraID>
      <start>17</start>
      <end>18</end>
      <status>modified</status>
      <modifiedWord>；</modifiedWord>
      <trackRevisions>false</trackRevisions>
    </reviewItem>
    <reviewItem>
      <errorID>f7b28a4d-22a2-4e35-b39f-5d66155ca6d6</errorID>
      <errorWord>，</errorWord>
      <group>L1_Punc</group>
      <groupName>标点问题</groupName>
      <ability>L2_Punc_CN</ability>
      <abilityName>标点符号问题</abilityName>
      <candidateList>
        <item>、</item>
      </candidateList>
      <explain/>
      <paraID>7C97AB20</paraID>
      <start>13</start>
      <end>14</end>
      <status>modified</status>
      <modifiedWord>、</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f9ee6-eb4a-4642-8b8c-7dcfdeb4969c}">
  <ds:schemaRefs/>
</ds:datastoreItem>
</file>

<file path=customXml/itemProps2.xml><?xml version="1.0" encoding="utf-8"?>
<ds:datastoreItem xmlns:ds="http://schemas.openxmlformats.org/officeDocument/2006/customXml" ds:itemID="{5548A5EB-48F7-4B01-BC0F-DE9B095A4ABF}">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18</Pages>
  <Words>2134</Words>
  <Characters>2223</Characters>
  <Lines>1217</Lines>
  <Paragraphs>1379</Paragraphs>
  <TotalTime>60</TotalTime>
  <ScaleCrop>false</ScaleCrop>
  <LinksUpToDate>false</LinksUpToDate>
  <CharactersWithSpaces>2237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2026-06-25T10:36:00Z</dcterms:created>
  <dc:creator>502-2</dc:creator>
  <cp:lastModifiedBy>ls</cp:lastModifiedBy>
  <cp:lastPrinted>2026-07-09T06:42:00Z</cp:lastPrinted>
  <dcterms:modified xsi:type="dcterms:W3CDTF">2026-07-20T02:39:32Z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25E773CC5BB647858F2BB0670F02CD67_13</vt:lpwstr>
  </property>
  <property fmtid="{D5CDD505-2E9C-101B-9397-08002B2CF9AE}" pid="4" name="KSOTemplateDocerSaveRecord">
    <vt:lpwstr>eyJoZGlkIjoiM2VmNDQ1YWFkMzFlZjU4MGIxYzJiZjVkMDdkMGM1MWIiLCJ1c2VySWQiOiIxMDQxNTA2NzA1In0=</vt:lpwstr>
  </property>
</Properties>
</file>